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Glossary, Definitions &amp; Pro Tips</w:t>
      </w:r>
    </w:p>
    <w:p>
      <w:pPr>
        <w:pStyle w:val="Subtitle"/>
      </w:pPr>
      <w:r>
        <w:t xml:space="preserve">Companion to the Platform Engineering Handbook</w:t>
      </w:r>
    </w:p>
    <w:p>
      <w:pPr>
        <w:pStyle w:val="Author"/>
      </w:pPr>
      <w:r>
        <w:t xml:space="preserve">Gopal Khandale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how-to-use-this-companion"/>
    <w:p>
      <w:pPr>
        <w:pStyle w:val="Heading1"/>
      </w:pPr>
      <w:r>
        <w:t xml:space="preserve">How to use this companion</w:t>
      </w:r>
    </w:p>
    <w:p>
      <w:pPr>
        <w:pStyle w:val="FirstParagraph"/>
      </w:pPr>
      <w:r>
        <w:t xml:space="preserve">Keep this open alongside the main handbook. When you hit a term in the handbook that’s unfamiliar, look it up here.</w:t>
      </w:r>
    </w:p>
    <w:p>
      <w:pPr>
        <w:pStyle w:val="BodyText"/>
      </w:pPr>
      <w:r>
        <w:t xml:space="preserve">Each entry has: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Term</w:t>
      </w:r>
      <w:r>
        <w:t xml:space="preserve"> </w:t>
      </w:r>
      <w:r>
        <w:t xml:space="preserve">— the word/phrase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Plain English</w:t>
      </w:r>
      <w:r>
        <w:t xml:space="preserve"> </w:t>
      </w:r>
      <w:r>
        <w:t xml:space="preserve">— what it actually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Technical definition</w:t>
      </w:r>
      <w:r>
        <w:t xml:space="preserve"> </w:t>
      </w:r>
      <w:r>
        <w:t xml:space="preserve">— the formal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 it matters</w:t>
      </w:r>
      <w:r>
        <w:t xml:space="preserve"> </w:t>
      </w:r>
      <w:r>
        <w:t xml:space="preserve">— when you’d actually use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Gotcha</w:t>
      </w:r>
      <w:r>
        <w:t xml:space="preserve"> </w:t>
      </w:r>
      <w:r>
        <w:t xml:space="preserve">— the thing that trips people 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Interview line</w:t>
      </w:r>
      <w:r>
        <w:t xml:space="preserve"> </w:t>
      </w:r>
      <w:r>
        <w:t xml:space="preserve">— how to drop it in a conversation</w:t>
      </w:r>
    </w:p>
    <w:p>
      <w:r>
        <w:pict>
          <v:rect style="width:0;height:1.5pt" o:hralign="center" o:hrstd="t" o:hr="t"/>
        </w:pict>
      </w:r>
    </w:p>
    <w:bookmarkEnd w:id="9"/>
    <w:bookmarkStart w:id="15" w:name="section-a-cloud-fundamentals"/>
    <w:p>
      <w:pPr>
        <w:pStyle w:val="Heading1"/>
      </w:pPr>
      <w:r>
        <w:t xml:space="preserve">Section A — Cloud Fundamentals</w:t>
      </w:r>
    </w:p>
    <w:bookmarkStart w:id="10" w:name="cloud"/>
    <w:p>
      <w:pPr>
        <w:pStyle w:val="Heading2"/>
      </w:pPr>
      <w:r>
        <w:t xml:space="preserve">Cloud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Renting computers and services from a big provider like Microsoft, Amazon, or Google instead of buying them yourself.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Pay-per-use access to compute, storage, networking, and services exposed via APIs, hosted in geographically distributed data centers.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You can scale from one server to thousands in minutes, pay only for what you use, and rebuild your entire infrastructure as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Cloud costs spiral when nobody’s watching. A forgotten VM is $80/month. Always tag resources and set budgets.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 line</w:t>
            </w:r>
          </w:p>
        </w:tc>
        <w:tc>
          <w:tcPr/>
          <w:p>
            <w:pPr>
              <w:pStyle w:val="Compact"/>
            </w:pPr>
            <w:r>
              <w:t xml:space="preserve">“The cloud lets us treat infrastructure like cattle, not pets — destroyable and re-creatable from code.”</w:t>
            </w:r>
          </w:p>
        </w:tc>
      </w:tr>
    </w:tbl>
    <w:bookmarkEnd w:id="10"/>
    <w:bookmarkStart w:id="11" w:name="iaas-paas-saas"/>
    <w:p>
      <w:pPr>
        <w:pStyle w:val="Heading2"/>
      </w:pPr>
      <w:r>
        <w:t xml:space="preserve">IaaS, PaaS, SaaS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How much of the stack the provider runs versus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IaaS = you run OS up. PaaS = you run app up. SaaS = you run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Picking the right level avoids over-engineering. Don’t run a VM if a PaaS will 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Lock-in increases as you go up the stack. SaaS is easy to start, painful to leave.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 line</w:t>
            </w:r>
          </w:p>
        </w:tc>
        <w:tc>
          <w:tcPr/>
          <w:p>
            <w:pPr>
              <w:pStyle w:val="Compact"/>
            </w:pPr>
            <w:r>
              <w:t xml:space="preserve">“We picked AKS (managed K8s, a PaaS) instead of self-managed K8s on VMs because we want the cloud handling control plane and certificate rotation, not us.”</w:t>
            </w:r>
          </w:p>
        </w:tc>
      </w:tr>
    </w:tbl>
    <w:bookmarkEnd w:id="11"/>
    <w:bookmarkStart w:id="12" w:name="region"/>
    <w:p>
      <w:pPr>
        <w:pStyle w:val="Heading2"/>
      </w:pPr>
      <w:r>
        <w:t xml:space="preserve">Region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geographic area with cloud data centers.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set of data centers within the same physical location, low-latency networked, usually 3 AZs.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Latency to users, data residency (GDPR), service availability (some services aren’t in all regions), disaster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Costs vary by region.</w:t>
            </w:r>
            <w:r>
              <w:t xml:space="preserve"> </w:t>
            </w:r>
            <w:r>
              <w:rPr>
                <w:rStyle w:val="VerbatimChar"/>
              </w:rPr>
              <w:t xml:space="preserve">eastus</w:t>
            </w:r>
            <w:r>
              <w:t xml:space="preserve"> </w:t>
            </w:r>
            <w:r>
              <w:t xml:space="preserve">is usually cheapest,</w:t>
            </w:r>
            <w:r>
              <w:t xml:space="preserve"> </w:t>
            </w:r>
            <w:r>
              <w:rPr>
                <w:rStyle w:val="VerbatimChar"/>
              </w:rPr>
              <w:t xml:space="preserve">centralindia</w:t>
            </w:r>
            <w:r>
              <w:t xml:space="preserve"> </w:t>
            </w:r>
            <w:r>
              <w:t xml:space="preserve">is sometimes 20% more.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 line</w:t>
            </w:r>
          </w:p>
        </w:tc>
        <w:tc>
          <w:tcPr/>
          <w:p>
            <w:pPr>
              <w:pStyle w:val="Compact"/>
            </w:pPr>
            <w:r>
              <w:t xml:space="preserve">“We picked</w:t>
            </w:r>
            <w:r>
              <w:t xml:space="preserve"> </w:t>
            </w:r>
            <w:r>
              <w:rPr>
                <w:rStyle w:val="VerbatimChar"/>
              </w:rPr>
              <w:t xml:space="preserve">eastus2</w:t>
            </w:r>
            <w:r>
              <w:t xml:space="preserve"> </w:t>
            </w:r>
            <w:r>
              <w:t xml:space="preserve">because it has the latest SKUs and broad service coverage. For HA we’d pair it with</w:t>
            </w:r>
            <w:r>
              <w:t xml:space="preserve"> </w:t>
            </w:r>
            <w:r>
              <w:rPr>
                <w:rStyle w:val="VerbatimChar"/>
              </w:rPr>
              <w:t xml:space="preserve">westus2</w:t>
            </w:r>
            <w:r>
              <w:t xml:space="preserve">.”</w:t>
            </w:r>
          </w:p>
        </w:tc>
      </w:tr>
    </w:tbl>
    <w:bookmarkEnd w:id="12"/>
    <w:bookmarkStart w:id="13" w:name="availability-zone-az"/>
    <w:p>
      <w:pPr>
        <w:pStyle w:val="Heading2"/>
      </w:pPr>
      <w:r>
        <w:t xml:space="preserve">Availability Zone (AZ)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One independent data center within a region.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physically isolated location with independent power, cooling, and network. Tied to a region.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If a data center burns down, your workloads in other AZs keep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AZ-aware scheduling costs more (cross-AZ network charges). Some workloads benefit, others don’t.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 line</w:t>
            </w:r>
          </w:p>
        </w:tc>
        <w:tc>
          <w:tcPr/>
          <w:p>
            <w:pPr>
              <w:pStyle w:val="Compact"/>
            </w:pPr>
            <w:r>
              <w:t xml:space="preserve">“We spread our AKS node pool across 3 AZs so a data center failure doesn’t take us out. Cross-AZ pod traffic costs slightly more but the reliability gain pays for it.”</w:t>
            </w:r>
          </w:p>
        </w:tc>
      </w:tr>
    </w:tbl>
    <w:bookmarkEnd w:id="13"/>
    <w:bookmarkStart w:id="14" w:name="resource-group"/>
    <w:p>
      <w:pPr>
        <w:pStyle w:val="Heading2"/>
      </w:pPr>
      <w:r>
        <w:t xml:space="preserve">Resource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folder for related Azure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logical Azure container whose lifecycle is managed together. RBAC and tags can apply at this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 group delete</w:t>
            </w:r>
            <w:r>
              <w:t xml:space="preserve"> </w:t>
            </w:r>
            <w:r>
              <w:t xml:space="preserve">cleans up everything inside in one call. Simplifies cost allocation.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A resource can only be in ONE RG. Moving resources between RGs is supported but tricky.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 line</w:t>
            </w:r>
          </w:p>
        </w:tc>
        <w:tc>
          <w:tcPr/>
          <w:p>
            <w:pPr>
              <w:pStyle w:val="Compact"/>
            </w:pPr>
            <w:r>
              <w:t xml:space="preserve">“We use one RG per environment-app combination —</w:t>
            </w:r>
            <w:r>
              <w:t xml:space="preserve"> </w:t>
            </w:r>
            <w:r>
              <w:rPr>
                <w:rStyle w:val="VerbatimChar"/>
              </w:rPr>
              <w:t xml:space="preserve">gskplat-rg-platform</w:t>
            </w:r>
            <w:r>
              <w:t xml:space="preserve"> </w:t>
            </w:r>
            <w:r>
              <w:t xml:space="preserve">for the cluster. Makes teardown trivial and cost reporting clean.”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2" w:name="section-b-linux-shell"/>
    <w:p>
      <w:pPr>
        <w:pStyle w:val="Heading1"/>
      </w:pPr>
      <w:r>
        <w:t xml:space="preserve">Section B — Linux &amp; Shell</w:t>
      </w:r>
    </w:p>
    <w:bookmarkStart w:id="16" w:name="shell"/>
    <w:p>
      <w:pPr>
        <w:pStyle w:val="Heading2"/>
      </w:pPr>
      <w:r>
        <w:t xml:space="preserve">Shell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The thing that reads what you type and runs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command interpreter that provides a user interface to the OS. Common ones: bash, zsh, fish.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You’ll spend hours every day in a shell. Mastering it 5x’s your productivity.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bash and zsh have subtle differences —</w:t>
            </w:r>
            <w:r>
              <w:t xml:space="preserve"> </w:t>
            </w:r>
            <w:r>
              <w:rPr>
                <w:rStyle w:val="VerbatimChar"/>
              </w:rPr>
              <w:t xml:space="preserve">[ $x -eq 5 ]</w:t>
            </w:r>
            <w:r>
              <w:t xml:space="preserve"> </w:t>
            </w:r>
            <w:r>
              <w:t xml:space="preserve">works in bash,</w:t>
            </w:r>
            <w:r>
              <w:t xml:space="preserve"> </w:t>
            </w:r>
            <w:r>
              <w:rPr>
                <w:rStyle w:val="VerbatimChar"/>
              </w:rPr>
              <w:t xml:space="preserve">[[ $x -eq 5 ]]</w:t>
            </w:r>
            <w:r>
              <w:t xml:space="preserve"> </w:t>
            </w:r>
            <w:r>
              <w:t xml:space="preserve">is the modern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Learn one shell deeply (bash for portability, zsh for daily use). Memorize 10 patterns, copy-paste the rest.</w:t>
            </w:r>
          </w:p>
        </w:tc>
      </w:tr>
    </w:tbl>
    <w:bookmarkEnd w:id="16"/>
    <w:bookmarkStart w:id="17" w:name="pipe"/>
    <w:p>
      <w:pPr>
        <w:pStyle w:val="Heading2"/>
      </w:pPr>
      <w:r>
        <w:t xml:space="preserve">Pipe (</w:t>
      </w:r>
      <w:r>
        <w:rPr>
          <w:rStyle w:val="VerbatimChar"/>
        </w:rPr>
        <w:t xml:space="preserve">|</w:t>
      </w:r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Takes the output of one command and feeds it to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Unix construct that connects stdout of one process to stdin of another via a kernel pipe.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Lets you chain simple commands into powerful workflows.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 aux \| grep node \| awk '{print $2}'</w:t>
            </w:r>
            <w:r>
              <w:t xml:space="preserve"> </w:t>
            </w:r>
            <w:r>
              <w:t xml:space="preserve">→ list processes, filter for</w:t>
            </w:r>
            <w:r>
              <w:t xml:space="preserve"> </w:t>
            </w:r>
            <w:r>
              <w:t xml:space="preserve">“node”</w:t>
            </w:r>
            <w:r>
              <w:t xml:space="preserve">, extract PIDs.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Pipes are stream-oriented. They start everything in parallel — the second command starts before the first finishes.</w:t>
            </w:r>
          </w:p>
        </w:tc>
      </w:tr>
    </w:tbl>
    <w:bookmarkEnd w:id="17"/>
    <w:bookmarkStart w:id="18" w:name="background-process"/>
    <w:p>
      <w:pPr>
        <w:pStyle w:val="Heading2"/>
      </w:pPr>
      <w:r>
        <w:t xml:space="preserve">Background process (</w:t>
      </w:r>
      <w:r>
        <w:rPr>
          <w:rStyle w:val="VerbatimChar"/>
        </w:rPr>
        <w:t xml:space="preserve">&amp;</w:t>
      </w:r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Run something but don’t wait for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Forks the process so the shell returns control immediately. The process keeps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port-forward svc/web 8080:80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Closing the terminal usually kills background jobs. Use</w:t>
            </w:r>
            <w:r>
              <w:t xml:space="preserve"> </w:t>
            </w:r>
            <w:r>
              <w:rPr>
                <w:rStyle w:val="VerbatimChar"/>
              </w:rPr>
              <w:t xml:space="preserve">nohup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disown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  <w:r>
              <w:t xml:space="preserve">/</w:t>
            </w:r>
            <w:r>
              <w:rPr>
                <w:rStyle w:val="VerbatimChar"/>
              </w:rPr>
              <w:t xml:space="preserve">tmux</w:t>
            </w:r>
            <w:r>
              <w:t xml:space="preserve"> </w:t>
            </w:r>
            <w:r>
              <w:t xml:space="preserve">to keep them.</w:t>
            </w:r>
          </w:p>
        </w:tc>
      </w:tr>
    </w:tbl>
    <w:bookmarkEnd w:id="18"/>
    <w:bookmarkStart w:id="19" w:name="ssh"/>
    <w:p>
      <w:pPr>
        <w:pStyle w:val="Heading2"/>
      </w:pPr>
      <w:r>
        <w:t xml:space="preserve">SSH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secure way to log into a remote computer.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Secure Shell — an encrypted protocol for remote access, file transfer (scp/sftp), and tunneling.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Every server you work with is reached via SSH.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Use SSH keys, not passwords. Auto-rotate keys (or use cert-based SSH like Teleport).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Keep an</w:t>
            </w:r>
            <w:r>
              <w:t xml:space="preserve"> </w:t>
            </w:r>
            <w:r>
              <w:rPr>
                <w:rStyle w:val="VerbatimChar"/>
              </w:rPr>
              <w:t xml:space="preserve">~/.ssh/config</w:t>
            </w:r>
            <w:r>
              <w:t xml:space="preserve"> </w:t>
            </w:r>
            <w:r>
              <w:t xml:space="preserve">file with aliases for every server you touch. Saves typing the IP every time.</w:t>
            </w:r>
          </w:p>
        </w:tc>
      </w:tr>
    </w:tbl>
    <w:bookmarkEnd w:id="19"/>
    <w:bookmarkStart w:id="20" w:name="ssh-localforward-port-forwarding"/>
    <w:p>
      <w:pPr>
        <w:pStyle w:val="Heading2"/>
      </w:pPr>
      <w:r>
        <w:t xml:space="preserve">SSH LocalForward (port forwarding)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Make a remote service show up as if it’s on your local machine.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Tunnels TCP traffic from</w:t>
            </w:r>
            <w:r>
              <w:t xml:space="preserve"> </w:t>
            </w:r>
            <w:r>
              <w:rPr>
                <w:rStyle w:val="VerbatimChar"/>
              </w:rPr>
              <w:t xml:space="preserve">localhost:&lt;port&gt;</w:t>
            </w:r>
            <w:r>
              <w:t xml:space="preserve"> </w:t>
            </w:r>
            <w:r>
              <w:t xml:space="preserve">on your laptop through the SSH connection to</w:t>
            </w:r>
            <w:r>
              <w:t xml:space="preserve"> </w:t>
            </w:r>
            <w:r>
              <w:rPr>
                <w:rStyle w:val="VerbatimChar"/>
              </w:rPr>
              <w:t xml:space="preserve">&lt;remote-host&gt;:&lt;port&gt;</w:t>
            </w:r>
            <w:r>
              <w:t xml:space="preserve"> </w:t>
            </w:r>
            <w:r>
              <w:t xml:space="preserve">on the server.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-L 8080:localhost:8080 user@server</w:t>
            </w:r>
            <w:r>
              <w:t xml:space="preserve"> </w:t>
            </w:r>
            <w:r>
              <w:t xml:space="preserve">— accessing</w:t>
            </w:r>
            <w:r>
              <w:t xml:space="preserve"> </w:t>
            </w:r>
            <w:r>
              <w:rPr>
                <w:rStyle w:val="VerbatimChar"/>
              </w:rPr>
              <w:t xml:space="preserve">localhost:8080</w:t>
            </w:r>
            <w:r>
              <w:t xml:space="preserve"> </w:t>
            </w:r>
            <w:r>
              <w:t xml:space="preserve">on laptop hits port 8080 on the server.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Access internal/firewalled services without exposing them publicly. We use this constantly in the 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The forwarded service might bind to 127.0.0.1 only on the server — that’s fine, the tunnel target side is</w:t>
            </w:r>
            <w:r>
              <w:t xml:space="preserve"> </w:t>
            </w:r>
            <w:r>
              <w:t xml:space="preserve">“localhost from the server’s perspective”</w:t>
            </w:r>
            <w:r>
              <w:t xml:space="preserve">.</w:t>
            </w:r>
          </w:p>
        </w:tc>
      </w:tr>
    </w:tbl>
    <w:bookmarkEnd w:id="20"/>
    <w:bookmarkStart w:id="21" w:name="systemd"/>
    <w:p>
      <w:pPr>
        <w:pStyle w:val="Heading2"/>
      </w:pPr>
      <w:r>
        <w:t xml:space="preserve">systemd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The boss process that starts and watches all the services on a Linux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An init system and service manager for Linux. PID 1 on most modern distros.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All your long-running daemons (nginx, postgres, docker) live under systemd. Diagnose with</w:t>
            </w:r>
            <w:r>
              <w:t xml:space="preserve"> </w:t>
            </w:r>
            <w:r>
              <w:rPr>
                <w:rStyle w:val="VerbatimChar"/>
              </w:rPr>
              <w:t xml:space="preserve">systemctl status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journalctl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Containers don’t need systemd — the container runtime IS the supervisor. Running systemd in a container is rare and awkward.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section-c-git"/>
    <w:p>
      <w:pPr>
        <w:pStyle w:val="Heading1"/>
      </w:pPr>
      <w:r>
        <w:t xml:space="preserve">Section C — Git</w:t>
      </w:r>
    </w:p>
    <w:bookmarkStart w:id="23" w:name="repository-repo"/>
    <w:p>
      <w:pPr>
        <w:pStyle w:val="Heading2"/>
      </w:pPr>
      <w:r>
        <w:t xml:space="preserve">Repository (repo)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project’s folder with version history attached.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directory containing a</w:t>
            </w:r>
            <w:r>
              <w:t xml:space="preserve"> </w:t>
            </w:r>
            <w:r>
              <w:rPr>
                <w:rStyle w:val="VerbatimChar"/>
              </w:rPr>
              <w:t xml:space="preserve">.git/</w:t>
            </w:r>
            <w:r>
              <w:t xml:space="preserve"> </w:t>
            </w:r>
            <w:r>
              <w:t xml:space="preserve">subdirectory that holds the entire history of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Always start projects with</w:t>
            </w:r>
            <w:r>
              <w:t xml:space="preserve"> </w:t>
            </w:r>
            <w:r>
              <w:rPr>
                <w:rStyle w:val="VerbatimChar"/>
              </w:rPr>
              <w:t xml:space="preserve">git init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 clone</w:t>
            </w:r>
            <w:r>
              <w:t xml:space="preserve">. Even for</w:t>
            </w:r>
            <w:r>
              <w:t xml:space="preserve"> </w:t>
            </w:r>
            <w:r>
              <w:t xml:space="preserve">“just experimenting”</w:t>
            </w:r>
            <w:r>
              <w:t xml:space="preserve"> </w:t>
            </w:r>
            <w:r>
              <w:t xml:space="preserve">— you’ll thank yourself later.</w:t>
            </w:r>
          </w:p>
        </w:tc>
      </w:tr>
    </w:tbl>
    <w:bookmarkEnd w:id="23"/>
    <w:bookmarkStart w:id="24" w:name="commit"/>
    <w:p>
      <w:pPr>
        <w:pStyle w:val="Heading2"/>
      </w:pPr>
      <w:r>
        <w:t xml:space="preserve">Commit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snapshot of your project at a moment in time, with a message describing what 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Git object containing a tree (file states), author/committer info, parent commit references, and a message. Identified by a 40-char SHA hash.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Smaller commits = easier to review, easier to revert, better blame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Write commit messages in imperative mood:</w:t>
            </w:r>
            <w:r>
              <w:t xml:space="preserve"> </w:t>
            </w:r>
            <w:r>
              <w:t xml:space="preserve">“Add X”</w:t>
            </w:r>
            <w:r>
              <w:t xml:space="preserve">, not</w:t>
            </w:r>
            <w:r>
              <w:t xml:space="preserve"> </w:t>
            </w:r>
            <w:r>
              <w:t xml:space="preserve">“Added X”</w:t>
            </w:r>
            <w:r>
              <w:t xml:space="preserve">. Industry convention.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 line</w:t>
            </w:r>
          </w:p>
        </w:tc>
        <w:tc>
          <w:tcPr/>
          <w:p>
            <w:pPr>
              <w:pStyle w:val="Compact"/>
            </w:pPr>
            <w:r>
              <w:t xml:space="preserve">“We tag images by git short SHA. Every deploy is traceable to a specific commit — rollback is just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and ArgoCD reconciles.”</w:t>
            </w:r>
          </w:p>
        </w:tc>
      </w:tr>
    </w:tbl>
    <w:bookmarkEnd w:id="24"/>
    <w:bookmarkStart w:id="25" w:name="branch"/>
    <w:p>
      <w:pPr>
        <w:pStyle w:val="Heading2"/>
      </w:pPr>
      <w:r>
        <w:t xml:space="preserve">Branch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line of work, like a parallel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movable pointer to a commit. The</w:t>
            </w:r>
            <w:r>
              <w:t xml:space="preserve"> </w:t>
            </w:r>
            <w:r>
              <w:t xml:space="preserve">“current branch”</w:t>
            </w:r>
            <w:r>
              <w:t xml:space="preserve"> </w:t>
            </w:r>
            <w:r>
              <w:t xml:space="preserve">is what HEAD points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Keep branches short-lived. Long branches = painful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does two things (switch branch, restore file). Newer Git splits this into</w:t>
            </w:r>
            <w:r>
              <w:t xml:space="preserve"> </w:t>
            </w:r>
            <w:r>
              <w:rPr>
                <w:rStyle w:val="VerbatimChar"/>
              </w:rPr>
              <w:t xml:space="preserve">git switch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git restore</w:t>
            </w:r>
            <w:r>
              <w:t xml:space="preserve">.</w:t>
            </w:r>
          </w:p>
        </w:tc>
      </w:tr>
    </w:tbl>
    <w:bookmarkEnd w:id="25"/>
    <w:bookmarkStart w:id="26" w:name="pull-request-pr-merge-request-mr"/>
    <w:p>
      <w:pPr>
        <w:pStyle w:val="Heading2"/>
      </w:pPr>
      <w:r>
        <w:t xml:space="preserve">Pull Request (PR) / Merge Request (MR)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“Please merge my branch into the main branch.”</w:t>
            </w:r>
            <w:r>
              <w:t xml:space="preserve"> </w:t>
            </w:r>
            <w:r>
              <w:t xml:space="preserve">A GitHub/GitLab concept, not Git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web-UI workflow for proposing changes from one branch to another, with review, comments, CI integration.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This is THE gate between work and production. Code review, automated tests, security scans all run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Open the PR early as draft. Use the description for what + why + how-to-test. Reviewers love that.</w:t>
            </w:r>
          </w:p>
        </w:tc>
      </w:tr>
    </w:tbl>
    <w:bookmarkEnd w:id="26"/>
    <w:bookmarkStart w:id="27" w:name="rebase-vs-merge"/>
    <w:p>
      <w:pPr>
        <w:pStyle w:val="Heading2"/>
      </w:pPr>
      <w:r>
        <w:t xml:space="preserve">Rebase vs Merge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Two ways to combine branches. Merge keeps history; rebase rewrites it linear.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creates a new commit with two parents.</w:t>
            </w:r>
            <w:r>
              <w:t xml:space="preserve"> </w:t>
            </w:r>
            <w:r>
              <w:rPr>
                <w:rStyle w:val="VerbatimChar"/>
              </w:rPr>
              <w:t xml:space="preserve">rebase</w:t>
            </w:r>
            <w:r>
              <w:t xml:space="preserve"> </w:t>
            </w:r>
            <w:r>
              <w:t xml:space="preserve">replays your commits on top of the target branch, creating new commits.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Rebased history is cleaner. Merge history shows what actually happened. Teams pick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Never rebase shared branches — you rewrite history that others have based on. Local branches: rebase. Shared branches: merge.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git pull --rebase origin master</w:t>
            </w:r>
            <w:r>
              <w:t xml:space="preserve"> </w:t>
            </w:r>
            <w:r>
              <w:t xml:space="preserve">to keep your local work on top of the latest master.</w:t>
            </w:r>
          </w:p>
        </w:tc>
      </w:tr>
    </w:tbl>
    <w:bookmarkEnd w:id="27"/>
    <w:bookmarkStart w:id="28" w:name="merge-conflict"/>
    <w:p>
      <w:pPr>
        <w:pStyle w:val="Heading2"/>
      </w:pPr>
      <w:r>
        <w:t xml:space="preserve">Merge conflict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Two changes on the same line — Git can’t decide. You decide.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When the 3-way merge algorithm can’t auto-resolve overlapping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to fix</w:t>
            </w:r>
          </w:p>
        </w:tc>
        <w:tc>
          <w:tcPr/>
          <w:p>
            <w:pPr>
              <w:pStyle w:val="Compact"/>
            </w:pPr>
            <w:r>
              <w:t xml:space="preserve">Open the file. Find</w:t>
            </w:r>
            <w:r>
              <w:t xml:space="preserve"> </w:t>
            </w:r>
            <w:r>
              <w:rPr>
                <w:rStyle w:val="VerbatimChar"/>
              </w:rPr>
              <w:t xml:space="preserve">&lt;&lt;&lt;&lt;&lt;&lt;&lt;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=======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&gt;&gt;&gt;&gt;&gt;&gt;&gt;</w:t>
            </w:r>
            <w:r>
              <w:t xml:space="preserve"> </w:t>
            </w:r>
            <w:r>
              <w:t xml:space="preserve">markers. Pick what you want. Remove the markers.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 </w:t>
            </w:r>
            <w:r>
              <w:t xml:space="preserve">and continue.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diff --name-only --diff-filter=U</w:t>
            </w:r>
            <w:r>
              <w:t xml:space="preserve"> </w:t>
            </w:r>
            <w:r>
              <w:t xml:space="preserve">lists files with conflicts.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9" w:name="section-d-networking"/>
    <w:p>
      <w:pPr>
        <w:pStyle w:val="Heading1"/>
      </w:pPr>
      <w:r>
        <w:t xml:space="preserve">Section D — Networking</w:t>
      </w:r>
    </w:p>
    <w:bookmarkStart w:id="30" w:name="ip-address"/>
    <w:p>
      <w:pPr>
        <w:pStyle w:val="Heading2"/>
      </w:pPr>
      <w:r>
        <w:t xml:space="preserve">IP Address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computer’s mailing address on a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32-bit (IPv4) or 128-bit (IPv6) number identifying a network interface.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Everything network-related ultimately resolves to IP addresses.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A single host can have many IPs (one per network interface, multiple per interface).</w:t>
            </w:r>
          </w:p>
        </w:tc>
      </w:tr>
    </w:tbl>
    <w:bookmarkEnd w:id="30"/>
    <w:bookmarkStart w:id="31" w:name="cidr-classless-inter-domain-routing"/>
    <w:p>
      <w:pPr>
        <w:pStyle w:val="Heading2"/>
      </w:pPr>
      <w:r>
        <w:t xml:space="preserve">CIDR (Classless Inter-Domain Routing)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compact way to write</w:t>
            </w:r>
            <w:r>
              <w:t xml:space="preserve"> </w:t>
            </w:r>
            <w:r>
              <w:t xml:space="preserve">“this range of IPs”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IP address followed by</w:t>
            </w:r>
            <w:r>
              <w:t xml:space="preserve"> </w:t>
            </w:r>
            <w:r>
              <w:rPr>
                <w:rStyle w:val="VerbatimChar"/>
              </w:rPr>
              <w:t xml:space="preserve">/N</w:t>
            </w:r>
            <w:r>
              <w:t xml:space="preserve">, where N is the count of network-prefix bits.</w:t>
            </w:r>
            <w:r>
              <w:t xml:space="preserve"> </w:t>
            </w:r>
            <w:r>
              <w:rPr>
                <w:rStyle w:val="VerbatimChar"/>
              </w:rPr>
              <w:t xml:space="preserve">/24</w:t>
            </w:r>
            <w:r>
              <w:t xml:space="preserve"> </w:t>
            </w:r>
            <w:r>
              <w:t xml:space="preserve">= first 24 bits fixed, last 8 bits free = 256 addresses.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Memorize:</w:t>
            </w:r>
            <w:r>
              <w:t xml:space="preserve"> </w:t>
            </w:r>
            <w:r>
              <w:rPr>
                <w:rStyle w:val="VerbatimChar"/>
              </w:rPr>
              <w:t xml:space="preserve">/8</w:t>
            </w:r>
            <w:r>
              <w:t xml:space="preserve"> </w:t>
            </w:r>
            <w:r>
              <w:t xml:space="preserve">= 16M,</w:t>
            </w:r>
            <w:r>
              <w:t xml:space="preserve"> </w:t>
            </w:r>
            <w:r>
              <w:rPr>
                <w:rStyle w:val="VerbatimChar"/>
              </w:rPr>
              <w:t xml:space="preserve">/16</w:t>
            </w:r>
            <w:r>
              <w:t xml:space="preserve"> </w:t>
            </w:r>
            <w:r>
              <w:t xml:space="preserve">= 64K,</w:t>
            </w:r>
            <w:r>
              <w:t xml:space="preserve"> </w:t>
            </w:r>
            <w:r>
              <w:rPr>
                <w:rStyle w:val="VerbatimChar"/>
              </w:rPr>
              <w:t xml:space="preserve">/24</w:t>
            </w:r>
            <w:r>
              <w:t xml:space="preserve"> </w:t>
            </w:r>
            <w:r>
              <w:t xml:space="preserve">= 256,</w:t>
            </w:r>
            <w:r>
              <w:t xml:space="preserve"> </w:t>
            </w:r>
            <w:r>
              <w:rPr>
                <w:rStyle w:val="VerbatimChar"/>
              </w:rPr>
              <w:t xml:space="preserve">/27</w:t>
            </w:r>
            <w:r>
              <w:t xml:space="preserve"> </w:t>
            </w:r>
            <w:r>
              <w:t xml:space="preserve">= 32,</w:t>
            </w:r>
            <w:r>
              <w:t xml:space="preserve"> </w:t>
            </w:r>
            <w:r>
              <w:rPr>
                <w:rStyle w:val="VerbatimChar"/>
              </w:rPr>
              <w:t xml:space="preserve">/30</w:t>
            </w:r>
            <w:r>
              <w:t xml:space="preserve"> </w:t>
            </w:r>
            <w:r>
              <w:t xml:space="preserve">= 4,</w:t>
            </w:r>
            <w:r>
              <w:t xml:space="preserve"> </w:t>
            </w:r>
            <w:r>
              <w:rPr>
                <w:rStyle w:val="VerbatimChar"/>
              </w:rPr>
              <w:t xml:space="preserve">/32</w:t>
            </w:r>
            <w:r>
              <w:t xml:space="preserve"> </w:t>
            </w:r>
            <w:r>
              <w:t xml:space="preserve">=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Cloud VNets and subnets are sized in CIDR. Get this wrong and you can’t fit your pods.</w:t>
            </w:r>
          </w:p>
        </w:tc>
      </w:tr>
    </w:tbl>
    <w:bookmarkEnd w:id="31"/>
    <w:bookmarkStart w:id="32" w:name="subnet"/>
    <w:p>
      <w:pPr>
        <w:pStyle w:val="Heading2"/>
      </w:pPr>
      <w:r>
        <w:t xml:space="preserve">Subnet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slice of a larger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range of IPs within a VNet, often with its own routing and security rules.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Logical separation —</w:t>
            </w:r>
            <w:r>
              <w:t xml:space="preserve"> </w:t>
            </w:r>
            <w:r>
              <w:rPr>
                <w:rStyle w:val="VerbatimChar"/>
              </w:rPr>
              <w:t xml:space="preserve">snet-aks</w:t>
            </w:r>
            <w:r>
              <w:t xml:space="preserve"> </w:t>
            </w:r>
            <w:r>
              <w:t xml:space="preserve">for cluster,</w:t>
            </w:r>
            <w:r>
              <w:t xml:space="preserve"> </w:t>
            </w:r>
            <w:r>
              <w:rPr>
                <w:rStyle w:val="VerbatimChar"/>
              </w:rPr>
              <w:t xml:space="preserve">snet-mgmt</w:t>
            </w:r>
            <w:r>
              <w:t xml:space="preserve"> </w:t>
            </w:r>
            <w:r>
              <w:t xml:space="preserve">for jumpboxes,</w:t>
            </w:r>
            <w:r>
              <w:t xml:space="preserve"> </w:t>
            </w:r>
            <w:r>
              <w:rPr>
                <w:rStyle w:val="VerbatimChar"/>
              </w:rPr>
              <w:t xml:space="preserve">snet-apps</w:t>
            </w:r>
            <w:r>
              <w:t xml:space="preserve"> </w:t>
            </w:r>
            <w:r>
              <w:t xml:space="preserve">for future services.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Plan subnet sizes BEFORE deploying. Resizing is hard.</w:t>
            </w:r>
          </w:p>
        </w:tc>
      </w:tr>
    </w:tbl>
    <w:bookmarkEnd w:id="32"/>
    <w:bookmarkStart w:id="33" w:name="nsg-network-security-group"/>
    <w:p>
      <w:pPr>
        <w:pStyle w:val="Heading2"/>
      </w:pPr>
      <w:r>
        <w:t xml:space="preserve">NSG (Network Security Group)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stateful firewall attached to subnets or VMs.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An Azure resource holding a list of allow/deny rules with priorities. Connection tracking means return traffic is auto-allowed.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High-priority Deny rules shadow lower-priority Allow rules. Including Azure’s IMPLICIT Allow rules. Our lab broke iter 4 with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If you write an explicit</w:t>
            </w:r>
            <w:r>
              <w:t xml:space="preserve"> </w:t>
            </w:r>
            <w:r>
              <w:t xml:space="preserve">“DenyAll”</w:t>
            </w:r>
            <w:r>
              <w:t xml:space="preserve"> </w:t>
            </w:r>
            <w:r>
              <w:t xml:space="preserve">rule at priority 4000, you MUST add explicit</w:t>
            </w:r>
            <w:r>
              <w:t xml:space="preserve"> </w:t>
            </w:r>
            <w:r>
              <w:rPr>
                <w:rStyle w:val="VerbatimChar"/>
              </w:rPr>
              <w:t xml:space="preserve">AllowVnetInbound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AllowAzureLoadBalancerInbound</w:t>
            </w:r>
            <w:r>
              <w:t xml:space="preserve"> </w:t>
            </w:r>
            <w:r>
              <w:t xml:space="preserve">at lower priorities.</w:t>
            </w:r>
          </w:p>
        </w:tc>
      </w:tr>
    </w:tbl>
    <w:bookmarkEnd w:id="33"/>
    <w:bookmarkStart w:id="34" w:name="dns"/>
    <w:p>
      <w:pPr>
        <w:pStyle w:val="Heading2"/>
      </w:pPr>
      <w:r>
        <w:t xml:space="preserve">DNS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The phone book of the internet. Names to numbers.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Distributed hierarchical naming system. Resolvers query authoritative servers for records (A, AAAA, CNAME, MX, TXT).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Kubernetes</w:t>
            </w:r>
          </w:p>
        </w:tc>
        <w:tc>
          <w:tcPr/>
          <w:p>
            <w:pPr>
              <w:pStyle w:val="Compact"/>
            </w:pPr>
            <w:r>
              <w:t xml:space="preserve">CoreDNS resolves cluster-internal names like</w:t>
            </w:r>
            <w:r>
              <w:t xml:space="preserve"> </w:t>
            </w:r>
            <w:r>
              <w:rPr>
                <w:rStyle w:val="VerbatimChar"/>
              </w:rPr>
              <w:t xml:space="preserve">backend.dev.svc.cluster.local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DNS caching delays propagation. Set TTLs intentionally.</w:t>
            </w:r>
          </w:p>
        </w:tc>
      </w:tr>
    </w:tbl>
    <w:bookmarkEnd w:id="34"/>
    <w:bookmarkStart w:id="35" w:name="port"/>
    <w:p>
      <w:pPr>
        <w:pStyle w:val="Heading2"/>
      </w:pPr>
      <w:r>
        <w:t xml:space="preserve">Port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door number on a computer. Different apps listen on different 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16-bit number (0-65535) identifying a specific endpoint on an IP address for TCP/UDP.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Common ports</w:t>
            </w:r>
          </w:p>
        </w:tc>
        <w:tc>
          <w:tcPr/>
          <w:p>
            <w:pPr>
              <w:pStyle w:val="Compact"/>
            </w:pPr>
            <w:r>
              <w:t xml:space="preserve">22 SSH, 80 HTTP, 443 HTTPS, 5432 Postgres, 6443 Kubernetes API.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Ports below 1024 require root to bind. Always use ≥1024 for user apps.</w:t>
            </w:r>
          </w:p>
        </w:tc>
      </w:tr>
    </w:tbl>
    <w:bookmarkEnd w:id="35"/>
    <w:bookmarkStart w:id="36" w:name="tls-https"/>
    <w:p>
      <w:pPr>
        <w:pStyle w:val="Heading2"/>
      </w:pPr>
      <w:r>
        <w:t xml:space="preserve">TLS / HTTPS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Encrypted communication over the internet. The padlock in the browser.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Transport Layer Security — protocol for confidentiality, integrity, and authentication using asymmetric (handshake) + symmetric (bulk) cryptography.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All public traffic should be HTTPS. Service-to-service inside clusters should use mTLS.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TLS certs expire. Auto-renew with cert-manager.</w:t>
            </w:r>
          </w:p>
        </w:tc>
      </w:tr>
    </w:tbl>
    <w:bookmarkEnd w:id="36"/>
    <w:bookmarkStart w:id="37" w:name="mtls-mutual-tls"/>
    <w:p>
      <w:pPr>
        <w:pStyle w:val="Heading2"/>
      </w:pPr>
      <w:r>
        <w:t xml:space="preserve">mTLS (mutual TLS)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TLS where BOTH sides prove who they are.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Bidirectional certificate validation. Both client and server present certificates.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Service mesh (Istio) uses mTLS so services authenticate each other, not just users. Zero-trust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Istio</w:t>
            </w:r>
            <w:r>
              <w:t xml:space="preserve"> </w:t>
            </w:r>
            <w:r>
              <w:t xml:space="preserve">“PERMISSIVE”</w:t>
            </w:r>
            <w:r>
              <w:t xml:space="preserve"> </w:t>
            </w:r>
            <w:r>
              <w:t xml:space="preserve">mTLS accepts both plaintext and mTLS during rollout.</w:t>
            </w:r>
            <w:r>
              <w:t xml:space="preserve"> </w:t>
            </w:r>
            <w:r>
              <w:t xml:space="preserve">“STRICT”</w:t>
            </w:r>
            <w:r>
              <w:t xml:space="preserve"> </w:t>
            </w:r>
            <w:r>
              <w:t xml:space="preserve">rejects plaintext.</w:t>
            </w:r>
          </w:p>
        </w:tc>
      </w:tr>
    </w:tbl>
    <w:bookmarkEnd w:id="37"/>
    <w:bookmarkStart w:id="38" w:name="load-balancer"/>
    <w:p>
      <w:pPr>
        <w:pStyle w:val="Heading2"/>
      </w:pPr>
      <w:r>
        <w:t xml:space="preserve">Load Balancer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Distributes incoming traffic across multiple backend servers.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Operates at L4 (TCP/UDP, like Azure LB) or L7 (HTTP, like Application Gateway or Istio ingress).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Single point of entry, automatic failover, traffic spreading.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L4 LBs don’t understand HTTP — they can’t route by URL or header.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7" w:name="section-e-containers"/>
    <w:p>
      <w:pPr>
        <w:pStyle w:val="Heading1"/>
      </w:pPr>
      <w:r>
        <w:t xml:space="preserve">Section E — Containers</w:t>
      </w:r>
    </w:p>
    <w:bookmarkStart w:id="40" w:name="container"/>
    <w:p>
      <w:pPr>
        <w:pStyle w:val="Heading2"/>
      </w:pPr>
      <w:r>
        <w:t xml:space="preserve">Container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lightweight, isolated package containing an app and everything it needs to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process or group of processes isolated by Linux kernel features (namespaces, cgroups, union FS).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A container is NOT a tiny VM. It shares the host kernel.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Containers solve</w:t>
            </w:r>
            <w:r>
              <w:t xml:space="preserve"> </w:t>
            </w:r>
            <w:r>
              <w:t xml:space="preserve">“works on my machine”</w:t>
            </w:r>
            <w:r>
              <w:t xml:space="preserve"> </w:t>
            </w:r>
            <w:r>
              <w:t xml:space="preserve">— same image runs identically anywhere.</w:t>
            </w:r>
          </w:p>
        </w:tc>
      </w:tr>
    </w:tbl>
    <w:bookmarkEnd w:id="40"/>
    <w:bookmarkStart w:id="41" w:name="image"/>
    <w:p>
      <w:pPr>
        <w:pStyle w:val="Heading2"/>
      </w:pPr>
      <w:r>
        <w:t xml:space="preserve">Image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blueprint for a container.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An ordered set of read-only filesystem layers + metadata (config, entrypoint, env vars), identified by a digest (SHA).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Images can be huge. Aim for small base images (alpine, distroless, scratch).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Tag images with the git SHA.</w:t>
            </w:r>
            <w:r>
              <w:t xml:space="preserve"> </w:t>
            </w:r>
            <w:r>
              <w:rPr>
                <w:rStyle w:val="VerbatimChar"/>
              </w:rPr>
              <w:t xml:space="preserve">:latest</w:t>
            </w:r>
            <w:r>
              <w:t xml:space="preserve"> </w:t>
            </w:r>
            <w:r>
              <w:t xml:space="preserve">is a footgun — it changes silently.</w:t>
            </w:r>
          </w:p>
        </w:tc>
      </w:tr>
    </w:tbl>
    <w:bookmarkEnd w:id="41"/>
    <w:bookmarkStart w:id="42" w:name="dockerfile"/>
    <w:p>
      <w:pPr>
        <w:pStyle w:val="Heading2"/>
      </w:pPr>
      <w:r>
        <w:t xml:space="preserve">Dockerfile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recipe for building a container image.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text file with instructions (</w:t>
            </w:r>
            <w:r>
              <w:rPr>
                <w:rStyle w:val="VerbatimChar"/>
              </w:rPr>
              <w:t xml:space="preserve">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 etc.) executed by</w:t>
            </w:r>
            <w:r>
              <w:t xml:space="preserve"> </w:t>
            </w:r>
            <w:r>
              <w:rPr>
                <w:rStyle w:val="VerbatimChar"/>
              </w:rPr>
              <w:t xml:space="preserve">docker build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Order instructions by frequency of change — base image first (rarely changes), code last (changes often). Maximizes layer cache.</w:t>
            </w:r>
          </w:p>
        </w:tc>
      </w:tr>
    </w:tbl>
    <w:bookmarkEnd w:id="42"/>
    <w:bookmarkStart w:id="43" w:name="layer"/>
    <w:p>
      <w:pPr>
        <w:pStyle w:val="Heading2"/>
      </w:pPr>
      <w:r>
        <w:t xml:space="preserve">Layer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One step in an image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filesystem diff produced by a Dockerfile instruction. Stacked via overlayFS to produce the container’s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Cached layers don’t rebuild. Smart layer ordering = fast builds.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creates a layer. Chain commands with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 </w:t>
            </w:r>
            <w:r>
              <w:t xml:space="preserve">to reduce layers.</w:t>
            </w:r>
          </w:p>
        </w:tc>
      </w:tr>
    </w:tbl>
    <w:bookmarkEnd w:id="43"/>
    <w:bookmarkStart w:id="44" w:name="multi-stage-build"/>
    <w:p>
      <w:pPr>
        <w:pStyle w:val="Heading2"/>
      </w:pPr>
      <w:r>
        <w:t xml:space="preserve">Multi-stage build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Build in one container, run in another. Throw away build tools in the final image.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Dockerfile with multiple</w:t>
            </w:r>
            <w:r>
              <w:t xml:space="preserve"> </w:t>
            </w:r>
            <w:r>
              <w:rPr>
                <w:rStyle w:val="VerbatimChar"/>
              </w:rPr>
              <w:t xml:space="preserve">FROM ... AS &lt;name&gt;</w:t>
            </w:r>
            <w:r>
              <w:t xml:space="preserve"> </w:t>
            </w:r>
            <w:r>
              <w:t xml:space="preserve">stages.</w:t>
            </w:r>
            <w:r>
              <w:t xml:space="preserve"> </w:t>
            </w:r>
            <w:r>
              <w:rPr>
                <w:rStyle w:val="VerbatimChar"/>
              </w:rPr>
              <w:t xml:space="preserve">COPY --from=&lt;stage&gt;</w:t>
            </w:r>
            <w:r>
              <w:t xml:space="preserve"> </w:t>
            </w:r>
            <w:r>
              <w:t xml:space="preserve">copies between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Final image is smaller, has fewer CVEs, fewer attack vectors.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Build Node app in</w:t>
            </w:r>
            <w:r>
              <w:t xml:space="preserve"> </w:t>
            </w:r>
            <w:r>
              <w:rPr>
                <w:rStyle w:val="VerbatimChar"/>
              </w:rPr>
              <w:t xml:space="preserve">node:20</w:t>
            </w:r>
            <w:r>
              <w:t xml:space="preserve">, run final from</w:t>
            </w:r>
            <w:r>
              <w:t xml:space="preserve"> </w:t>
            </w:r>
            <w:r>
              <w:rPr>
                <w:rStyle w:val="VerbatimChar"/>
              </w:rPr>
              <w:t xml:space="preserve">nginx:alpine</w:t>
            </w:r>
            <w:r>
              <w:t xml:space="preserve"> </w:t>
            </w:r>
            <w:r>
              <w:t xml:space="preserve">with just the built files.</w:t>
            </w:r>
          </w:p>
        </w:tc>
      </w:tr>
    </w:tbl>
    <w:bookmarkEnd w:id="44"/>
    <w:bookmarkStart w:id="45" w:name="registry"/>
    <w:p>
      <w:pPr>
        <w:pStyle w:val="Heading2"/>
      </w:pPr>
      <w:r>
        <w:t xml:space="preserve">Registry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Where Docker images live online.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server speaking the OCI distribution spec, hosting images at namespaced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Common ones</w:t>
            </w:r>
          </w:p>
        </w:tc>
        <w:tc>
          <w:tcPr/>
          <w:p>
            <w:pPr>
              <w:pStyle w:val="Compact"/>
            </w:pPr>
            <w:r>
              <w:t xml:space="preserve">Docker Hub, ACR (Azure), ECR (AWS), GCR/Artifact Registry (GCP), GHCR (GitHub).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Use a private registry for production. Docker Hub has rate limits and security concerns.</w:t>
            </w:r>
          </w:p>
        </w:tc>
      </w:tr>
    </w:tbl>
    <w:bookmarkEnd w:id="45"/>
    <w:bookmarkStart w:id="46" w:name="image-digest"/>
    <w:p>
      <w:pPr>
        <w:pStyle w:val="Heading2"/>
      </w:pPr>
      <w:r>
        <w:t xml:space="preserve">Image digest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cryptographic fingerprint of an image. Truly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SHA-256 hash of the image’s manifest. Written as</w:t>
            </w:r>
            <w:r>
              <w:t xml:space="preserve"> </w:t>
            </w:r>
            <w:r>
              <w:rPr>
                <w:rStyle w:val="VerbatimChar"/>
              </w:rPr>
              <w:t xml:space="preserve">myimage@sha256:abc...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Tags can change (</w:t>
            </w:r>
            <w:r>
              <w:t xml:space="preserve">“latest”</w:t>
            </w:r>
            <w:r>
              <w:t xml:space="preserve"> </w:t>
            </w:r>
            <w:r>
              <w:t xml:space="preserve">today vs tomorrow). Digests never change. Production-grade pinning.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 line</w:t>
            </w:r>
          </w:p>
        </w:tc>
        <w:tc>
          <w:tcPr/>
          <w:p>
            <w:pPr>
              <w:pStyle w:val="Compact"/>
            </w:pPr>
            <w:r>
              <w:t xml:space="preserve">“We’re moving from tag-pinning to digest-pinning so even a malicious registry push can’t poison our deploys.”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64" w:name="section-f-kubernetes"/>
    <w:p>
      <w:pPr>
        <w:pStyle w:val="Heading1"/>
      </w:pPr>
      <w:r>
        <w:t xml:space="preserve">Section F — Kubernetes</w:t>
      </w:r>
    </w:p>
    <w:bookmarkStart w:id="48" w:name="pod"/>
    <w:p>
      <w:pPr>
        <w:pStyle w:val="Heading2"/>
      </w:pPr>
      <w:r>
        <w:t xml:space="preserve">Pod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One or more containers that always live together on the same node, sharing network and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The smallest deployable unit in Kubernetes. A scheduling boundary.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Single container per Pod is the common case. Multi-container (</w:t>
            </w:r>
            <w:r>
              <w:t xml:space="preserve">“sidecar pattern”</w:t>
            </w:r>
            <w:r>
              <w:t xml:space="preserve">) is for logging agents, mesh proxies, init logic.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You almost never create Pods directly. Use Deployments, StatefulSets, Jobs.</w:t>
            </w:r>
          </w:p>
        </w:tc>
      </w:tr>
    </w:tbl>
    <w:bookmarkEnd w:id="48"/>
    <w:bookmarkStart w:id="49" w:name="node"/>
    <w:p>
      <w:pPr>
        <w:pStyle w:val="Heading2"/>
      </w:pPr>
      <w:r>
        <w:t xml:space="preserve">Node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worker machine in the cluster. Runs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VM (or physical) machine with kubelet (talks to API server), kube-proxy (networking), and a container runtime (containerd).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More smaller nodes ≠ less complexity. Fewer larger nodes are often easier to manage but worse for bin-packing.</w:t>
            </w:r>
          </w:p>
        </w:tc>
      </w:tr>
    </w:tbl>
    <w:bookmarkEnd w:id="49"/>
    <w:bookmarkStart w:id="50" w:name="namespace"/>
    <w:p>
      <w:pPr>
        <w:pStyle w:val="Heading2"/>
      </w:pPr>
      <w:r>
        <w:t xml:space="preserve">Namespace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folder inside the cluster.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scope for names. Most objects (Pods, Services, ConfigMaps) are namespaced; some (Nodes, ClusterRoles) are not.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Logical separation between teams, environments, or apps. RBAC and quotas attach to namespaces.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Use namespaces aggressively. They’re free.</w:t>
            </w:r>
          </w:p>
        </w:tc>
      </w:tr>
    </w:tbl>
    <w:bookmarkEnd w:id="50"/>
    <w:bookmarkStart w:id="51" w:name="deployment"/>
    <w:p>
      <w:pPr>
        <w:pStyle w:val="Heading2"/>
      </w:pPr>
      <w:r>
        <w:t xml:space="preserve">Deployment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way to run N copies of a Pod and update them safely.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higher-level object that manages a ReplicaSet, which manages Pods. Provides rolling updates and rollbacks.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The default way to run stateless apps.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replicas: 3</w:t>
            </w:r>
            <w:r>
              <w:t xml:space="preserve"> </w:t>
            </w:r>
            <w:r>
              <w:t xml:space="preserve">doesn’t always mean 3 are running — readiness probes can keep some</w:t>
            </w:r>
            <w:r>
              <w:t xml:space="preserve"> </w:t>
            </w:r>
            <w:r>
              <w:t xml:space="preserve">“not ready”</w:t>
            </w:r>
            <w:r>
              <w:t xml:space="preserve">.</w:t>
            </w:r>
          </w:p>
        </w:tc>
      </w:tr>
    </w:tbl>
    <w:bookmarkEnd w:id="51"/>
    <w:bookmarkStart w:id="52" w:name="replicaset"/>
    <w:p>
      <w:pPr>
        <w:pStyle w:val="Heading2"/>
      </w:pPr>
      <w:r>
        <w:t xml:space="preserve">ReplicaSet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“Make sure exactly N copies of this Pod exist.”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controller that ensures the desired number of Pod replicas matching a selector. Usually managed by a Deployment.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You rarely manage ReplicaSets directly. Look at them when debugging weird Deployment behavior.</w:t>
            </w:r>
          </w:p>
        </w:tc>
      </w:tr>
    </w:tbl>
    <w:bookmarkEnd w:id="52"/>
    <w:bookmarkStart w:id="53" w:name="statefulset"/>
    <w:p>
      <w:pPr>
        <w:pStyle w:val="Heading2"/>
      </w:pPr>
      <w:r>
        <w:t xml:space="preserve">StatefulSet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Like Deployment but for things with identity — databases, brokers, leader-elected systems.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Manages Pods with stable names (</w:t>
            </w:r>
            <w:r>
              <w:rPr>
                <w:rStyle w:val="VerbatimChar"/>
              </w:rPr>
              <w:t xml:space="preserve">db-0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db-1</w:t>
            </w:r>
            <w:r>
              <w:t xml:space="preserve">), stable network identity, stable storage (PVCs per ordinal), ordered start/stop.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Scaling down a StatefulSet doesn’t delete the PVCs. Data sticks around until you delete them explicitly.</w:t>
            </w:r>
          </w:p>
        </w:tc>
      </w:tr>
    </w:tbl>
    <w:bookmarkEnd w:id="53"/>
    <w:bookmarkStart w:id="54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stable network endpoint for a set of Pods. Pods come and go; Service stays.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Object with a selector and ports. kube-proxy programs iptables/IPVS to load-balance to backing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ClusterIP</w:t>
            </w:r>
            <w:r>
              <w:t xml:space="preserve"> </w:t>
            </w:r>
            <w:r>
              <w:t xml:space="preserve">(internal),</w:t>
            </w:r>
            <w:r>
              <w:t xml:space="preserve"> </w:t>
            </w:r>
            <w:r>
              <w:rPr>
                <w:rStyle w:val="VerbatimChar"/>
              </w:rPr>
              <w:t xml:space="preserve">NodePort</w:t>
            </w:r>
            <w:r>
              <w:t xml:space="preserve"> </w:t>
            </w:r>
            <w:r>
              <w:t xml:space="preserve">(each node’s IP),</w:t>
            </w:r>
            <w:r>
              <w:t xml:space="preserve"> </w:t>
            </w:r>
            <w:r>
              <w:rPr>
                <w:rStyle w:val="VerbatimChar"/>
              </w:rPr>
              <w:t xml:space="preserve">LoadBalancer</w:t>
            </w:r>
            <w:r>
              <w:t xml:space="preserve"> </w:t>
            </w:r>
            <w:r>
              <w:t xml:space="preserve">(cloud LB),</w:t>
            </w:r>
            <w:r>
              <w:t xml:space="preserve"> </w:t>
            </w:r>
            <w:r>
              <w:rPr>
                <w:rStyle w:val="VerbatimChar"/>
              </w:rPr>
              <w:t xml:space="preserve">ExternalName</w:t>
            </w:r>
            <w:r>
              <w:t xml:space="preserve"> </w:t>
            </w:r>
            <w:r>
              <w:t xml:space="preserve">(DNS alias).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Default ClusterIP is enough for most cases. Use Ingress/Gateway for external traffic.</w:t>
            </w:r>
          </w:p>
        </w:tc>
      </w:tr>
    </w:tbl>
    <w:bookmarkEnd w:id="54"/>
    <w:bookmarkStart w:id="55" w:name="configmap"/>
    <w:p>
      <w:pPr>
        <w:pStyle w:val="Heading2"/>
      </w:pPr>
      <w:r>
        <w:t xml:space="preserve">ConfigMap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bag of key-value config for your app.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namespaced object holding string data. Mountable as files or env vars.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Decouple config from code/images. Same image, different ConfigMap per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ConfigMap data isn’t encrypted. Don’t use for secrets.</w:t>
            </w:r>
          </w:p>
        </w:tc>
      </w:tr>
    </w:tbl>
    <w:bookmarkEnd w:id="55"/>
    <w:bookmarkStart w:id="56" w:name="secret"/>
    <w:p>
      <w:pPr>
        <w:pStyle w:val="Heading2"/>
      </w:pPr>
      <w:r>
        <w:t xml:space="preserve">Secret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bag of sensitive config for your app.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Like ConfigMap but base64-encoded. Optionally encrypted at rest (etcd).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“Base64-encoded”</w:t>
            </w:r>
            <w:r>
              <w:t xml:space="preserve"> </w:t>
            </w:r>
            <w:r>
              <w:t xml:space="preserve">is NOT encryption. Real production uses External Secrets + KMS.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Enable etcd encryption-at-rest on your cluster. Easy to forget.</w:t>
            </w:r>
          </w:p>
        </w:tc>
      </w:tr>
    </w:tbl>
    <w:bookmarkEnd w:id="56"/>
    <w:bookmarkStart w:id="57" w:name="persistentvolume-persistentvolumeclaim"/>
    <w:p>
      <w:pPr>
        <w:pStyle w:val="Heading2"/>
      </w:pPr>
      <w:r>
        <w:t xml:space="preserve">PersistentVolume / PersistentVolumeClaim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Persistent storage that survives Pod restarts.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PV is the actual storage resource (provisioned by StorageClass). PVC is a request for storage that gets bound to a PV.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Without PV/PVC, restarting a Pod loses everything in its filesystem.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ReadWriteOnce</w:t>
            </w:r>
            <w:r>
              <w:t xml:space="preserve"> </w:t>
            </w:r>
            <w:r>
              <w:t xml:space="preserve">access mode means one node at a time. Multiple Pods on different nodes can’t share. Use</w:t>
            </w:r>
            <w:r>
              <w:t xml:space="preserve"> </w:t>
            </w:r>
            <w:r>
              <w:rPr>
                <w:rStyle w:val="VerbatimChar"/>
              </w:rPr>
              <w:t xml:space="preserve">ReadWriteMany</w:t>
            </w:r>
            <w:r>
              <w:t xml:space="preserve"> </w:t>
            </w:r>
            <w:r>
              <w:t xml:space="preserve">if needed (Azure Files, NFS).</w:t>
            </w:r>
          </w:p>
        </w:tc>
      </w:tr>
    </w:tbl>
    <w:bookmarkEnd w:id="57"/>
    <w:bookmarkStart w:id="58" w:name="ingress-gateway"/>
    <w:p>
      <w:pPr>
        <w:pStyle w:val="Heading2"/>
      </w:pPr>
      <w:r>
        <w:t xml:space="preserve">Ingress / Gateway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“front door”</w:t>
            </w:r>
            <w:r>
              <w:t xml:space="preserve"> </w:t>
            </w:r>
            <w:r>
              <w:t xml:space="preserve">of the cluster — public URL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Ingress = older API. Gateway API = modern replacement. Both define how external traffic reaches Services.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Without Ingress/Gateway, every Service needs its own LoadBalancer (expensive) or NodePort (ugly).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our lab</w:t>
            </w:r>
          </w:p>
        </w:tc>
        <w:tc>
          <w:tcPr/>
          <w:p>
            <w:pPr>
              <w:pStyle w:val="Compact"/>
            </w:pPr>
            <w:r>
              <w:t xml:space="preserve">Istio Gateway + VirtualService is our front door. Routes by Host header.</w:t>
            </w:r>
          </w:p>
        </w:tc>
      </w:tr>
    </w:tbl>
    <w:bookmarkEnd w:id="58"/>
    <w:bookmarkStart w:id="59" w:name="serviceaccount"/>
    <w:p>
      <w:pPr>
        <w:pStyle w:val="Heading2"/>
      </w:pPr>
      <w:r>
        <w:t xml:space="preserve">ServiceAccount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workload’s identity.</w:t>
            </w:r>
            <w:r>
              <w:t xml:space="preserve"> </w:t>
            </w:r>
            <w:r>
              <w:t xml:space="preserve">“Who is this Pod?”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namespaced object representing a non-human identity. Bound to RBAC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Every Pod has a ServiceAccount (default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if you don’t specify). Used for talking to the Kubernetes API.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Never use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. Create a specific SA per workload.</w:t>
            </w:r>
          </w:p>
        </w:tc>
      </w:tr>
    </w:tbl>
    <w:bookmarkEnd w:id="59"/>
    <w:bookmarkStart w:id="60" w:name="rbac-role-based-access-control"/>
    <w:p>
      <w:pPr>
        <w:pStyle w:val="Heading2"/>
      </w:pPr>
      <w:r>
        <w:t xml:space="preserve">RBAC (Role-Based Access Control)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Who can do what in the cluster.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Roles (sets of permissions) bound to subjects (users, groups, ServiceAccounts) via RoleBindings.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Least privilege. Start with no permissions, add only what’s needed. Audit quarterly.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ClusterRole + ClusterRoleBinding is cluster-wide. Easy to over-grant. Prefer Role + RoleBinding (namespace-scoped).</w:t>
            </w:r>
          </w:p>
        </w:tc>
      </w:tr>
    </w:tbl>
    <w:bookmarkEnd w:id="60"/>
    <w:bookmarkStart w:id="61" w:name="controller"/>
    <w:p>
      <w:pPr>
        <w:pStyle w:val="Heading2"/>
      </w:pPr>
      <w:r>
        <w:t xml:space="preserve">Controller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program that watches the cluster and makes things match the desired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control loop that reconciles</w:t>
            </w:r>
            <w:r>
              <w:t xml:space="preserve"> </w:t>
            </w:r>
            <w:r>
              <w:rPr>
                <w:rStyle w:val="VerbatimChar"/>
              </w:rPr>
              <w:t xml:space="preserve">actual state → desired state</w:t>
            </w:r>
            <w:r>
              <w:t xml:space="preserve">. Built-in (DeploymentController) or custom (Operators).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“Kubernetes way”</w:t>
            </w:r>
            <w:r>
              <w:t xml:space="preserve"> </w:t>
            </w:r>
            <w:r>
              <w:t xml:space="preserve">— declarative, eventually consistent. You declare what you want, controllers make it 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 line</w:t>
            </w:r>
          </w:p>
        </w:tc>
        <w:tc>
          <w:tcPr/>
          <w:p>
            <w:pPr>
              <w:pStyle w:val="Compact"/>
            </w:pPr>
            <w:r>
              <w:t xml:space="preserve">“Argo Rollouts is a custom controller — it has its own CRD (Rollout) and reconciles by managing ReplicaSets and Services itself, just like the built-in DeploymentController.”</w:t>
            </w:r>
          </w:p>
        </w:tc>
      </w:tr>
    </w:tbl>
    <w:bookmarkEnd w:id="61"/>
    <w:bookmarkStart w:id="62" w:name="crd-custom-resource-definition"/>
    <w:p>
      <w:pPr>
        <w:pStyle w:val="Heading2"/>
      </w:pPr>
      <w:r>
        <w:t xml:space="preserve">CRD (Custom Resource Definition)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way to define your own Kubernetes object types.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YAML manifest that adds a new API kind to the cluster. Coupled with a controller that knows what to do with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Argo Rollouts, ArgoCD, Istio, Prometheus all add CRDs. The pattern is everywhere.</w:t>
            </w:r>
          </w:p>
        </w:tc>
      </w:tr>
    </w:tbl>
    <w:bookmarkEnd w:id="62"/>
    <w:bookmarkStart w:id="63" w:name="operator"/>
    <w:p>
      <w:pPr>
        <w:pStyle w:val="Heading2"/>
      </w:pPr>
      <w:r>
        <w:t xml:space="preserve">Operator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custom controller that knows about a specific application.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CRD(s) + controller that encodes operational expertise (install, upgrade, backup, scale) for a specific app.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Prometheus Operator, Cert Manager, ArgoCD, KEDA.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If you find yourself writing complex Helm charts to handle</w:t>
            </w:r>
            <w:r>
              <w:t xml:space="preserve"> </w:t>
            </w:r>
            <w:r>
              <w:t xml:space="preserve">“if upgrading from version X, run job Y”</w:t>
            </w:r>
            <w:r>
              <w:t xml:space="preserve"> </w:t>
            </w:r>
            <w:r>
              <w:t xml:space="preserve">— that’s a sign you want an Operator.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3" w:name="section-g-terraform"/>
    <w:p>
      <w:pPr>
        <w:pStyle w:val="Heading1"/>
      </w:pPr>
      <w:r>
        <w:t xml:space="preserve">Section G — Terraform</w:t>
      </w:r>
    </w:p>
    <w:bookmarkStart w:id="65" w:name="infrastructure-as-code-iac"/>
    <w:p>
      <w:pPr>
        <w:pStyle w:val="Heading2"/>
      </w:pPr>
      <w:r>
        <w:t xml:space="preserve">Infrastructure as Code (IaC)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Describe infrastructure in text files instead of clicking in cloud consoles.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Reproducible, reviewable, versioned. Same code anywhere. Destroy + rebuild from scratch.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Terraform (multi-cloud), Pulumi (real languages), CloudFormation (AWS), ARM/Bicep (Azure native).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 line</w:t>
            </w:r>
          </w:p>
        </w:tc>
        <w:tc>
          <w:tcPr/>
          <w:p>
            <w:pPr>
              <w:pStyle w:val="Compact"/>
            </w:pPr>
            <w:r>
              <w:t xml:space="preserve">“We use Terraform because it’s cloud-agnostic, has the largest provider ecosystem, and a clear declarative model.”</w:t>
            </w:r>
          </w:p>
        </w:tc>
      </w:tr>
    </w:tbl>
    <w:bookmarkEnd w:id="65"/>
    <w:bookmarkStart w:id="66" w:name="state-terraform-state"/>
    <w:p>
      <w:pPr>
        <w:pStyle w:val="Heading2"/>
      </w:pPr>
      <w:r>
        <w:t xml:space="preserve">State (Terraform state)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file mapping your code to real cloud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JSON file (</w:t>
            </w:r>
            <w:r>
              <w:rPr>
                <w:rStyle w:val="VerbatimChar"/>
              </w:rPr>
              <w:t xml:space="preserve">terraform.tfstate</w:t>
            </w:r>
            <w:r>
              <w:t xml:space="preserve">) tracking resource IDs, dependencies, and attributes.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Without state, Terraform can’t compute diffs. State IS the source of truth for</w:t>
            </w:r>
            <w:r>
              <w:t xml:space="preserve"> </w:t>
            </w:r>
            <w:r>
              <w:t xml:space="preserve">“what exists”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State contains secrets (passwords, keys). Encrypt at rest. Never commit to Git.</w:t>
            </w:r>
          </w:p>
        </w:tc>
      </w:tr>
    </w:tbl>
    <w:bookmarkEnd w:id="66"/>
    <w:bookmarkStart w:id="67" w:name="remote-backend"/>
    <w:p>
      <w:pPr>
        <w:pStyle w:val="Heading2"/>
      </w:pPr>
      <w:r>
        <w:t xml:space="preserve">Remote backend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Store state in the cloud, not on your laptop.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state storage location (Azure Storage, S3, etc.) supporting locking for concurrent applies.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Team collaboration. Without it, two people running apply simultaneously corrupts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Always use remote backend in production. Local state is for personal toys only.</w:t>
            </w:r>
          </w:p>
        </w:tc>
      </w:tr>
    </w:tbl>
    <w:bookmarkEnd w:id="67"/>
    <w:bookmarkStart w:id="68" w:name="provider"/>
    <w:p>
      <w:pPr>
        <w:pStyle w:val="Heading2"/>
      </w:pPr>
      <w:r>
        <w:t xml:space="preserve">Provider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plugin Terraform uses to talk to a specific cloud or service.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Go binary that translates Terraform HCL operations into API calls.</w:t>
            </w:r>
            <w:r>
              <w:t xml:space="preserve"> </w:t>
            </w:r>
            <w:r>
              <w:rPr>
                <w:rStyle w:val="VerbatimChar"/>
              </w:rPr>
              <w:t xml:space="preserve">hashicorp/azurerm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hashicorp/kubernetes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Pin provider versions (</w:t>
            </w:r>
            <w:r>
              <w:rPr>
                <w:rStyle w:val="VerbatimChar"/>
              </w:rPr>
              <w:t xml:space="preserve">version = "~&gt; 3.0"</w:t>
            </w:r>
            <w:r>
              <w:t xml:space="preserve">) to avoid surprise breakage.</w:t>
            </w:r>
          </w:p>
        </w:tc>
      </w:tr>
    </w:tbl>
    <w:bookmarkEnd w:id="68"/>
    <w:bookmarkStart w:id="69" w:name="module"/>
    <w:p>
      <w:pPr>
        <w:pStyle w:val="Heading2"/>
      </w:pPr>
      <w:r>
        <w:t xml:space="preserve">Module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reusable bundle of Terraform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directory of</w:t>
            </w:r>
            <w:r>
              <w:t xml:space="preserve"> </w:t>
            </w:r>
            <w:r>
              <w:rPr>
                <w:rStyle w:val="VerbatimChar"/>
              </w:rPr>
              <w:t xml:space="preserve">.tf</w:t>
            </w:r>
            <w:r>
              <w:t xml:space="preserve"> </w:t>
            </w:r>
            <w:r>
              <w:t xml:space="preserve">files invocable with</w:t>
            </w:r>
            <w:r>
              <w:t xml:space="preserve"> </w:t>
            </w:r>
            <w:r>
              <w:rPr>
                <w:rStyle w:val="VerbatimChar"/>
              </w:rPr>
              <w:t xml:space="preserve">module "name" { source = "..." 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DRY. Define an</w:t>
            </w:r>
            <w:r>
              <w:t xml:space="preserve"> </w:t>
            </w:r>
            <w:r>
              <w:t xml:space="preserve">“aks-cluster”</w:t>
            </w:r>
            <w:r>
              <w:t xml:space="preserve"> </w:t>
            </w:r>
            <w:r>
              <w:t xml:space="preserve">module once, use it in dev/staging/prod.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Publish modules to a private registry (Terraform Cloud) or pin them by Git tag.</w:t>
            </w:r>
          </w:p>
        </w:tc>
      </w:tr>
    </w:tbl>
    <w:bookmarkEnd w:id="69"/>
    <w:bookmarkStart w:id="70" w:name="state-locking"/>
    <w:p>
      <w:pPr>
        <w:pStyle w:val="Heading2"/>
      </w:pPr>
      <w:r>
        <w:t xml:space="preserve">State locking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“Don’t let two people change state at once.”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Backend acquires a lock (blob lease in Azure, DynamoDB row in AWS) before apply. Releases on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Prevents state corruption from concurrent writes.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terraform apply</w:t>
            </w:r>
            <w:r>
              <w:t xml:space="preserve"> </w:t>
            </w:r>
            <w:r>
              <w:t xml:space="preserve">crashes, locks can stick. Use</w:t>
            </w:r>
            <w:r>
              <w:t xml:space="preserve"> </w:t>
            </w:r>
            <w:r>
              <w:rPr>
                <w:rStyle w:val="VerbatimChar"/>
              </w:rPr>
              <w:t xml:space="preserve">terraform force-unlock</w:t>
            </w:r>
            <w:r>
              <w:t xml:space="preserve"> </w:t>
            </w:r>
            <w:r>
              <w:t xml:space="preserve">carefully.</w:t>
            </w:r>
          </w:p>
        </w:tc>
      </w:tr>
    </w:tbl>
    <w:bookmarkEnd w:id="70"/>
    <w:bookmarkStart w:id="71" w:name="plan-vs-apply"/>
    <w:p>
      <w:pPr>
        <w:pStyle w:val="Heading2"/>
      </w:pPr>
      <w:r>
        <w:t xml:space="preserve">Plan vs Apply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Plan =</w:t>
            </w:r>
            <w:r>
              <w:t xml:space="preserve"> </w:t>
            </w:r>
            <w:r>
              <w:t xml:space="preserve">“show me what would change”</w:t>
            </w:r>
            <w:r>
              <w:t xml:space="preserve">. Apply =</w:t>
            </w:r>
            <w:r>
              <w:t xml:space="preserve"> </w:t>
            </w:r>
            <w:r>
              <w:t xml:space="preserve">“do it”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first. Save with</w:t>
            </w:r>
            <w:r>
              <w:t xml:space="preserve"> </w:t>
            </w:r>
            <w:r>
              <w:rPr>
                <w:rStyle w:val="VerbatimChar"/>
              </w:rPr>
              <w:t xml:space="preserve">-out=tfplan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apply tfplan</w:t>
            </w:r>
            <w:r>
              <w:t xml:space="preserve"> </w:t>
            </w:r>
            <w:r>
              <w:t xml:space="preserve">— guarantees no surprise changes between plan and apply.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Every cloud change should be previewed before execution.</w:t>
            </w:r>
          </w:p>
        </w:tc>
      </w:tr>
    </w:tbl>
    <w:bookmarkEnd w:id="71"/>
    <w:bookmarkStart w:id="72" w:name="drift"/>
    <w:p>
      <w:pPr>
        <w:pStyle w:val="Heading2"/>
      </w:pPr>
      <w:r>
        <w:t xml:space="preserve">Drift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Difference between what Terraform thinks exists and what really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When real cloud resources are modified outside Terraform (manual edits, other tools), state goes out of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 refresh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which refreshes implicitly) shows the drift. Adopt the changes or revert.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End w:id="73"/>
    <w:bookmarkStart w:id="79" w:name="section-h-helm"/>
    <w:p>
      <w:pPr>
        <w:pStyle w:val="Heading1"/>
      </w:pPr>
      <w:r>
        <w:t xml:space="preserve">Section H — Helm</w:t>
      </w:r>
    </w:p>
    <w:bookmarkStart w:id="74" w:name="helm"/>
    <w:p>
      <w:pPr>
        <w:pStyle w:val="Heading2"/>
      </w:pPr>
      <w:r>
        <w:t xml:space="preserve">Helm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package manager for Kubernetes.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Templates + values combine to produce manifests. Track installed packages (Releases).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Don’t reinvent install/upgrade logic for every app. Reuse community charts.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Use Helm for installs of third-party software. Hand-write or kustomize for in-house apps.</w:t>
            </w:r>
          </w:p>
        </w:tc>
      </w:tr>
    </w:tbl>
    <w:bookmarkEnd w:id="74"/>
    <w:bookmarkStart w:id="75" w:name="chart"/>
    <w:p>
      <w:pPr>
        <w:pStyle w:val="Heading2"/>
      </w:pPr>
      <w:r>
        <w:t xml:space="preserve">Chart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package of Kubernetes manifests with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Directory with</w:t>
            </w:r>
            <w:r>
              <w:t xml:space="preserve"> </w:t>
            </w:r>
            <w:r>
              <w:rPr>
                <w:rStyle w:val="VerbatimChar"/>
              </w:rPr>
              <w:t xml:space="preserve">Chart.yaml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values.yaml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 </w:t>
            </w:r>
            <w:r>
              <w:t xml:space="preserve">containing Go templated YAML.</w:t>
            </w:r>
          </w:p>
        </w:tc>
      </w:tr>
    </w:tbl>
    <w:bookmarkEnd w:id="75"/>
    <w:bookmarkStart w:id="76" w:name="release"/>
    <w:p>
      <w:pPr>
        <w:pStyle w:val="Heading2"/>
      </w:pPr>
      <w:r>
        <w:t xml:space="preserve">Release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An installation of a chart with a specific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named, versioned deployment of a chart in a namespace. Each</w:t>
            </w:r>
            <w:r>
              <w:t xml:space="preserve"> </w:t>
            </w:r>
            <w:r>
              <w:rPr>
                <w:rStyle w:val="VerbatimChar"/>
              </w:rPr>
              <w:t xml:space="preserve">helm install</w:t>
            </w:r>
            <w:r>
              <w:t xml:space="preserve"> </w:t>
            </w:r>
            <w:r>
              <w:t xml:space="preserve">creates a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helm upgrade --install</w:t>
            </w:r>
            <w:r>
              <w:t xml:space="preserve"> </w:t>
            </w:r>
            <w:r>
              <w:t xml:space="preserve">for idempotency — installs if missing, upgrades if exists.</w:t>
            </w:r>
          </w:p>
        </w:tc>
      </w:tr>
    </w:tbl>
    <w:bookmarkEnd w:id="76"/>
    <w:bookmarkStart w:id="77" w:name="values"/>
    <w:p>
      <w:pPr>
        <w:pStyle w:val="Heading2"/>
      </w:pPr>
      <w:r>
        <w:t xml:space="preserve">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Variables you pass to a chart.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YAML data merged with chart defaults to produce the final manifests.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Separate values per environment:</w:t>
            </w:r>
            <w:r>
              <w:t xml:space="preserve"> </w:t>
            </w:r>
            <w:r>
              <w:rPr>
                <w:rStyle w:val="VerbatimChar"/>
              </w:rPr>
              <w:t xml:space="preserve">values-dev.yaml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values-prod.yaml</w:t>
            </w:r>
            <w:r>
              <w:t xml:space="preserve">.</w:t>
            </w:r>
          </w:p>
        </w:tc>
      </w:tr>
    </w:tbl>
    <w:bookmarkEnd w:id="77"/>
    <w:bookmarkStart w:id="78" w:name="umbrella-chart"/>
    <w:p>
      <w:pPr>
        <w:pStyle w:val="Heading2"/>
      </w:pPr>
      <w:r>
        <w:t xml:space="preserve">Umbrella chart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chart that depends on other charts.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parent chart with</w:t>
            </w:r>
            <w:r>
              <w:t xml:space="preserve"> </w:t>
            </w:r>
            <w:r>
              <w:rPr>
                <w:rStyle w:val="VerbatimChar"/>
              </w:rPr>
              <w:t xml:space="preserve">dependencies:</w:t>
            </w:r>
            <w:r>
              <w:t xml:space="preserve"> </w:t>
            </w:r>
            <w:r>
              <w:t xml:space="preserve">in Chart.yaml. Sub-charts under</w:t>
            </w:r>
            <w:r>
              <w:t xml:space="preserve"> </w:t>
            </w:r>
            <w:r>
              <w:rPr>
                <w:rStyle w:val="VerbatimChar"/>
              </w:rPr>
              <w:t xml:space="preserve">charts/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Compose complex apps (frontend + backend + DB) into one Helm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lab</w:t>
            </w:r>
          </w:p>
        </w:tc>
        <w:tc>
          <w:tcPr/>
          <w:p>
            <w:pPr>
              <w:pStyle w:val="Compact"/>
            </w:pP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three-tier</w:t>
            </w:r>
            <w:r>
              <w:t xml:space="preserve"> </w:t>
            </w:r>
            <w:r>
              <w:t xml:space="preserve">chart has subcharts for frontend, backend, database.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6" w:name="section-i-azure"/>
    <w:p>
      <w:pPr>
        <w:pStyle w:val="Heading1"/>
      </w:pPr>
      <w:r>
        <w:t xml:space="preserve">Section I — Azure</w:t>
      </w:r>
    </w:p>
    <w:bookmarkStart w:id="80" w:name="service-principal-sp"/>
    <w:p>
      <w:pPr>
        <w:pStyle w:val="Heading2"/>
      </w:pPr>
      <w:r>
        <w:t xml:space="preserve">Service Principal (SP)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non-human identity for automation tools.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An Azure AD application with a client ID and a secret (or cert). Has RBAC role assignments.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CI tools and scripts need an identity. SP is the explicit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SPs have long-lived secrets. Rotate them. Or use Workload Identity instead (no secrets).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 line</w:t>
            </w:r>
          </w:p>
        </w:tc>
        <w:tc>
          <w:tcPr/>
          <w:p>
            <w:pPr>
              <w:pStyle w:val="Compact"/>
            </w:pPr>
            <w:r>
              <w:t xml:space="preserve">“We use SP for the Terraform pipeline because we run it outside Azure. Inside Azure (AKS), we’d use Workload Identity to eliminate long-lived secrets.”</w:t>
            </w:r>
          </w:p>
        </w:tc>
      </w:tr>
    </w:tbl>
    <w:bookmarkEnd w:id="80"/>
    <w:bookmarkStart w:id="81" w:name="managed-identity"/>
    <w:p>
      <w:pPr>
        <w:pStyle w:val="Heading2"/>
      </w:pPr>
      <w:r>
        <w:t xml:space="preserve">Managed Identity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An automatically managed identity for Azure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Azure resource gets an identity, Azure handles credential rotation. Two types: System-Assigned (tied to resource lifecycle) and User-Assigned (independent).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No secrets to store, no rotation to manage. The cloud handles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Always prefer Managed Identity over Service Principal when possible.</w:t>
            </w:r>
          </w:p>
        </w:tc>
      </w:tr>
    </w:tbl>
    <w:bookmarkEnd w:id="81"/>
    <w:bookmarkStart w:id="82" w:name="workload-identity-aks"/>
    <w:p>
      <w:pPr>
        <w:pStyle w:val="Heading2"/>
      </w:pPr>
      <w:r>
        <w:t xml:space="preserve">Workload Identity (AKS)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Pods get Azure AD identities without storing secrets.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OIDC federation — Azure trusts tokens issued by your AKS cluster’s OIDC issuer. Pods get a JWT, exchange it for an Azure AD access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Modern, secure, no long-lived credentials.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--enable-oidc-issuer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--enable-workload-identity</w:t>
            </w:r>
            <w:r>
              <w:t xml:space="preserve"> </w:t>
            </w:r>
            <w:r>
              <w:t xml:space="preserve">flags on AKS. Older clusters need an upgrade.</w:t>
            </w:r>
          </w:p>
        </w:tc>
      </w:tr>
    </w:tbl>
    <w:bookmarkEnd w:id="82"/>
    <w:bookmarkStart w:id="83" w:name="aks-azure-kubernetes-service"/>
    <w:p>
      <w:pPr>
        <w:pStyle w:val="Heading2"/>
      </w:pPr>
      <w:r>
        <w:t xml:space="preserve">AKS (Azure Kubernetes Service)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Managed Kubernetes on Azure.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Azure runs the control plane (free in non-paid SKU). You manage worker nodes.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 aks stop</w:t>
            </w:r>
            <w:r>
              <w:t xml:space="preserve"> </w:t>
            </w:r>
            <w:r>
              <w:t xml:space="preserve">saves money — control plane stays free, nodes don’t bill.</w:t>
            </w:r>
          </w:p>
        </w:tc>
      </w:tr>
    </w:tbl>
    <w:bookmarkEnd w:id="83"/>
    <w:bookmarkStart w:id="84" w:name="acr-azure-container-registry"/>
    <w:p>
      <w:pPr>
        <w:pStyle w:val="Heading2"/>
      </w:pPr>
      <w:r>
        <w:t xml:space="preserve">ACR (Azure Container Registry)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Docker image hosting on Azure.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OCI-compliant registry. Three SKUs: Basic, Standard, Premium (with geo-replication).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 aks update --attach-acr &lt;acr&gt;</w:t>
            </w:r>
            <w:r>
              <w:t xml:space="preserve"> </w:t>
            </w:r>
            <w:r>
              <w:t xml:space="preserve">wires permissions so cluster can pull images. No pull secrets needed.</w:t>
            </w:r>
          </w:p>
        </w:tc>
      </w:tr>
    </w:tbl>
    <w:bookmarkEnd w:id="84"/>
    <w:bookmarkStart w:id="85" w:name="log-analytics-workspace-law"/>
    <w:p>
      <w:pPr>
        <w:pStyle w:val="Heading2"/>
      </w:pPr>
      <w:r>
        <w:t xml:space="preserve">Log Analytics Workspace (LAW)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Centralized log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Azure Monitor’s underlying log storage. Queried with Kusto Query Language (KQL).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AKS sends container logs here via OMS agent. App logs, audit logs, system events all land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Costs scale with ingestion volume. Set retention carefully.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93" w:name="section-j-cicd"/>
    <w:p>
      <w:pPr>
        <w:pStyle w:val="Heading1"/>
      </w:pPr>
      <w:r>
        <w:t xml:space="preserve">Section J — CI/CD</w:t>
      </w:r>
    </w:p>
    <w:bookmarkStart w:id="87" w:name="ci-continuous-integration"/>
    <w:p>
      <w:pPr>
        <w:pStyle w:val="Heading2"/>
      </w:pPr>
      <w:r>
        <w:t xml:space="preserve">CI (Continuous Integration)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Every code change is automatically built and tested.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Pipeline that runs on every commit/PR — compile, lint, test, package.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Catch bugs early. Enforce standards. Confidence to merge.</w:t>
            </w:r>
          </w:p>
        </w:tc>
      </w:tr>
    </w:tbl>
    <w:bookmarkEnd w:id="87"/>
    <w:bookmarkStart w:id="88" w:name="cd-continuous-delivery-vs-deployment"/>
    <w:p>
      <w:pPr>
        <w:pStyle w:val="Heading2"/>
      </w:pPr>
      <w:r>
        <w:t xml:space="preserve">CD (Continuous Delivery vs Deployment)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Delivery = always ready to deploy. Deployment = auto-deploy on every successful CI.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The difference is whether a human pushes the deploy button.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Most teams use</w:t>
            </w:r>
            <w:r>
              <w:t xml:space="preserve"> </w:t>
            </w:r>
            <w:r>
              <w:t xml:space="preserve">“CD”</w:t>
            </w:r>
            <w:r>
              <w:t xml:space="preserve"> </w:t>
            </w:r>
            <w:r>
              <w:t xml:space="preserve">loosely. Be precise in interviews —</w:t>
            </w:r>
            <w:r>
              <w:t xml:space="preserve"> </w:t>
            </w:r>
            <w:r>
              <w:t xml:space="preserve">“we have continuous delivery; production deploys are gated by an approver”</w:t>
            </w:r>
            <w:r>
              <w:t xml:space="preserve">.</w:t>
            </w:r>
          </w:p>
        </w:tc>
      </w:tr>
    </w:tbl>
    <w:bookmarkEnd w:id="88"/>
    <w:bookmarkStart w:id="89" w:name="pipeline"/>
    <w:p>
      <w:pPr>
        <w:pStyle w:val="Heading2"/>
      </w:pPr>
      <w:r>
        <w:t xml:space="preserve">Pipeline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An automated sequence of build/test/deploy steps.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Code (Jenkinsfile, ci-cd.yaml) defining stages, jobs, and conditions.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Pipelines should be in the repo (</w:t>
            </w:r>
            <w:r>
              <w:rPr>
                <w:rStyle w:val="VerbatimChar"/>
              </w:rPr>
              <w:t xml:space="preserve">pipelines as code</w:t>
            </w:r>
            <w:r>
              <w:t xml:space="preserve">), not in the CI tool’s UI.</w:t>
            </w:r>
          </w:p>
        </w:tc>
      </w:tr>
    </w:tbl>
    <w:bookmarkEnd w:id="89"/>
    <w:bookmarkStart w:id="90" w:name="artifact"/>
    <w:p>
      <w:pPr>
        <w:pStyle w:val="Heading2"/>
      </w:pPr>
      <w:r>
        <w:t xml:space="preserve">Artifact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The output of a build that you keep — image, JAR, ZIP.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built, immutable output of CI, stored for traceability and reuse.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Tag artifacts with git SHA. Promote the same artifact through environments — don’t rebuild for prod.</w:t>
            </w:r>
          </w:p>
        </w:tc>
      </w:tr>
    </w:tbl>
    <w:bookmarkEnd w:id="90"/>
    <w:bookmarkStart w:id="91" w:name="gitops"/>
    <w:p>
      <w:pPr>
        <w:pStyle w:val="Heading2"/>
      </w:pPr>
      <w:r>
        <w:t xml:space="preserve">GitOps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Git is the source of truth for what should be deployed.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 controller (ArgoCD, Flux) watches Git and applies changes to the cluster.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Audit trail, easy rollback (git revert), declarative.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 line</w:t>
            </w:r>
          </w:p>
        </w:tc>
        <w:tc>
          <w:tcPr/>
          <w:p>
            <w:pPr>
              <w:pStyle w:val="Compact"/>
            </w:pPr>
            <w:r>
              <w:t xml:space="preserve">“We adopted GitOps so every deploy is a Git commit reviewable in</w:t>
            </w:r>
            <w:r>
              <w:t xml:space="preserve"> </w:t>
            </w:r>
            <w:r>
              <w:rPr>
                <w:rStyle w:val="VerbatimChar"/>
              </w:rPr>
              <w:t xml:space="preserve">git log</w:t>
            </w:r>
            <w:r>
              <w:t xml:space="preserve">. Rollback =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. No more</w:t>
            </w:r>
            <w:r>
              <w:t xml:space="preserve"> </w:t>
            </w:r>
            <w:r>
              <w:t xml:space="preserve">‘cluster diverged from Git silently’</w:t>
            </w:r>
            <w:r>
              <w:t xml:space="preserve">.”</w:t>
            </w:r>
          </w:p>
        </w:tc>
      </w:tr>
    </w:tbl>
    <w:bookmarkEnd w:id="91"/>
    <w:bookmarkStart w:id="92" w:name="image-promotion-build-once-deploy-many"/>
    <w:p>
      <w:pPr>
        <w:pStyle w:val="Heading2"/>
      </w:pPr>
      <w:r>
        <w:t xml:space="preserve">Image promotion (build-once-deploy-many)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Same image goes through dev → staging → prod. Don’t rebuild per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CI builds one image with a unique tag (git SHA), promotes by updating values.yaml in each env.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The image you tested in dev is byte-for-byte the image in prod. Eliminates</w:t>
            </w:r>
            <w:r>
              <w:t xml:space="preserve"> </w:t>
            </w:r>
            <w:r>
              <w:t xml:space="preserve">“works in staging”</w:t>
            </w:r>
            <w:r>
              <w:t xml:space="preserve"> </w:t>
            </w:r>
            <w:r>
              <w:t xml:space="preserve">mystery.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End w:id="93"/>
    <w:bookmarkStart w:id="99" w:name="section-k-progressive-delivery"/>
    <w:p>
      <w:pPr>
        <w:pStyle w:val="Heading1"/>
      </w:pPr>
      <w:r>
        <w:t xml:space="preserve">Section K — Progressive Delivery</w:t>
      </w:r>
    </w:p>
    <w:bookmarkStart w:id="94" w:name="bluegreen-deployment"/>
    <w:p>
      <w:pPr>
        <w:pStyle w:val="Heading2"/>
      </w:pPr>
      <w:r>
        <w:t xml:space="preserve">Blue/Green deployment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Run two versions side-by-side. Switch traffic over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Active ReplicaSet (blue) serves traffic. New version (green) deployed alongside. Service selector flips from blue to green when ready.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Instant rollback — keep blue running for X seconds after promotion.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Costs 2x resources during deploy.</w:t>
            </w:r>
          </w:p>
        </w:tc>
      </w:tr>
    </w:tbl>
    <w:bookmarkEnd w:id="94"/>
    <w:bookmarkStart w:id="95" w:name="canary-deployment"/>
    <w:p>
      <w:pPr>
        <w:pStyle w:val="Heading2"/>
      </w:pPr>
      <w:r>
        <w:t xml:space="preserve">Canary deployment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Gradually shift X% of traffic to the new version. Watch. Increase.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Route a percentage of traffic to new ReplicaSet via Service mesh or Ingress weights. Increase based on health.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Catch issues that only manifest at scale, with real users, on a small slice.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Pair with metric-based analysis. If error rate spikes during the 10% phase, auto-abort.</w:t>
            </w:r>
          </w:p>
        </w:tc>
      </w:tr>
    </w:tbl>
    <w:bookmarkEnd w:id="95"/>
    <w:bookmarkStart w:id="96" w:name="argo-rollouts"/>
    <w:p>
      <w:pPr>
        <w:pStyle w:val="Heading2"/>
      </w:pPr>
      <w:r>
        <w:t xml:space="preserve">Argo Rollouts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Kubernetes controller that does blue/green and canary deployments.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CRD (</w:t>
            </w:r>
            <w:r>
              <w:rPr>
                <w:rStyle w:val="VerbatimChar"/>
              </w:rPr>
              <w:t xml:space="preserve">Rollout</w:t>
            </w:r>
            <w:r>
              <w:t xml:space="preserve">) replacing Deployment. Manages ReplicaSets, Services,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First-class progressive delivery, not bolt-on.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argo rollouts promote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 rollout</w:t>
            </w:r>
            <w:r>
              <w:t xml:space="preserve">.</w:t>
            </w:r>
          </w:p>
        </w:tc>
      </w:tr>
    </w:tbl>
    <w:bookmarkEnd w:id="96"/>
    <w:bookmarkStart w:id="97" w:name="analysistemplate"/>
    <w:p>
      <w:pPr>
        <w:pStyle w:val="Heading2"/>
      </w:pPr>
      <w:r>
        <w:t xml:space="preserve">AnalysisTemplate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“Check metrics before promoting.”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Argo Rollouts CRD defining queries (against Prometheus, Datadog, etc.) and success/failure conditions.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Metric-gated promotion = automatic safety net.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 line</w:t>
            </w:r>
          </w:p>
        </w:tc>
        <w:tc>
          <w:tcPr/>
          <w:p>
            <w:pPr>
              <w:pStyle w:val="Compact"/>
            </w:pPr>
            <w:r>
              <w:t xml:space="preserve">“Our AnalysisTemplate has two gates: min-traffic (≥1 req/sec on preview) and success-rate (≥95% non-5xx). Both must pass 3 consecutive checks before promotion.”</w:t>
            </w:r>
          </w:p>
        </w:tc>
      </w:tr>
    </w:tbl>
    <w:bookmarkEnd w:id="97"/>
    <w:bookmarkStart w:id="98" w:name="min-traffic-gate"/>
    <w:p>
      <w:pPr>
        <w:pStyle w:val="Heading2"/>
      </w:pPr>
      <w:r>
        <w:t xml:space="preserve">Min-traffic gate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“Don’t trust the success-rate gate if no traffic is flowing.”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Pre-promotion analysis metric that requires a minimum request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Without it,</w:t>
            </w:r>
            <w:r>
              <w:t xml:space="preserve"> </w:t>
            </w:r>
            <w:r>
              <w:rPr>
                <w:rStyle w:val="VerbatimChar"/>
              </w:rPr>
              <w:t xml:space="preserve">or vector(1)</w:t>
            </w:r>
            <w:r>
              <w:t xml:space="preserve"> </w:t>
            </w:r>
            <w:r>
              <w:t xml:space="preserve">falsely returns 100% success on zero traffic. Min-traffic gate forces real traffic to flow before evaluation.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5" w:name="section-l-observability"/>
    <w:p>
      <w:pPr>
        <w:pStyle w:val="Heading1"/>
      </w:pPr>
      <w:r>
        <w:t xml:space="preserve">Section L — Observability</w:t>
      </w:r>
    </w:p>
    <w:bookmarkStart w:id="100" w:name="metric"/>
    <w:p>
      <w:pPr>
        <w:pStyle w:val="Heading2"/>
      </w:pPr>
      <w:r>
        <w:t xml:space="preserve">Metric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A number measured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Time-series data point: name, labels, value, timestamp.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http_requests_total{method="GET",status="200"} 1234</w:t>
            </w:r>
          </w:p>
        </w:tc>
      </w:tr>
    </w:tbl>
    <w:bookmarkEnd w:id="100"/>
    <w:bookmarkStart w:id="101" w:name="cardinality"/>
    <w:p>
      <w:pPr>
        <w:pStyle w:val="Heading2"/>
      </w:pPr>
      <w:r>
        <w:t xml:space="preserve">Cardinality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How many unique combinations of labels a metric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Each unique label tuple = one time series. Sum across all metrics = cardinality.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Gotcha</w:t>
            </w:r>
          </w:p>
        </w:tc>
        <w:tc>
          <w:tcPr/>
          <w:p>
            <w:pPr>
              <w:pStyle w:val="Compact"/>
            </w:pPr>
            <w:r>
              <w:t xml:space="preserve">High cardinality kills Prometheus (memory). Don’t use unbounded values as labels (user_id, request_id).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Use histogram buckets, not unique values, when you can.</w:t>
            </w:r>
          </w:p>
        </w:tc>
      </w:tr>
    </w:tbl>
    <w:bookmarkEnd w:id="101"/>
    <w:bookmarkStart w:id="102" w:name="promql"/>
    <w:p>
      <w:pPr>
        <w:pStyle w:val="Heading2"/>
      </w:pPr>
      <w:r>
        <w:t xml:space="preserve">PromQL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The query language for Prometheus.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Functional, declarative language for selecting and aggregating time-series.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 by (status) (rate(http_requests_total[5m]))</w:t>
            </w:r>
            <w:r>
              <w:t xml:space="preserve"> </w:t>
            </w:r>
            <w:r>
              <w:t xml:space="preserve">— request rate grouped by status, over 5-minute window.</w:t>
            </w:r>
          </w:p>
        </w:tc>
      </w:tr>
    </w:tbl>
    <w:bookmarkEnd w:id="102"/>
    <w:bookmarkStart w:id="103" w:name="sli-slo-sla"/>
    <w:p>
      <w:pPr>
        <w:pStyle w:val="Heading2"/>
      </w:pPr>
      <w:r>
        <w:t xml:space="preserve">SLI / SLO / SLA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</w:t>
            </w:r>
          </w:p>
        </w:tc>
        <w:tc>
          <w:tcPr/>
          <w:p>
            <w:pPr>
              <w:pStyle w:val="Compact"/>
            </w:pPr>
            <w:r>
              <w:t xml:space="preserve">Service Level Indicator — a metric (e.g., success rate).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Service Level Objective — an internal target (e.g., 99.9%).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Service Level Agreement — a contract with consequences.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Define SLOs from the user’s perspective, not from CPU/memory.</w:t>
            </w:r>
          </w:p>
        </w:tc>
      </w:tr>
    </w:tbl>
    <w:bookmarkEnd w:id="103"/>
    <w:bookmarkStart w:id="104" w:name="error-budget"/>
    <w:p>
      <w:pPr>
        <w:pStyle w:val="Heading2"/>
      </w:pPr>
      <w:r>
        <w:t xml:space="preserve">Error budget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English</w:t>
            </w:r>
          </w:p>
        </w:tc>
        <w:tc>
          <w:tcPr/>
          <w:p>
            <w:pPr>
              <w:pStyle w:val="Compact"/>
            </w:pPr>
            <w:r>
              <w:t xml:space="preserve">How much downtime you’re allowed before missing your SLO.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(1 - SLO) × time. For 99.9% over 30 days, error budget = 43 minutes.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Burn rate alerting — page on-call when budget is being consumed too fast.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6" w:name="reading-the-handbook-pro-tips"/>
    <w:p>
      <w:pPr>
        <w:pStyle w:val="Heading1"/>
      </w:pPr>
      <w:r>
        <w:t xml:space="preserve">Reading the Handbook — Pro Tips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Don’t read straight through.</w:t>
      </w:r>
      <w:r>
        <w:t xml:space="preserve"> </w:t>
      </w:r>
      <w:r>
        <w:t xml:space="preserve">Read one chapter, do the exercises, come back next day.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Type, don’t copy.</w:t>
      </w:r>
      <w:r>
        <w:t xml:space="preserve"> </w:t>
      </w:r>
      <w:r>
        <w:t xml:space="preserve">Every command, every YAML — type it. Muscle memory matters.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Break things on purpose.</w:t>
      </w:r>
      <w:r>
        <w:t xml:space="preserve"> </w:t>
      </w:r>
      <w:r>
        <w:t xml:space="preserve">Best learning is recovery from mistakes you made.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 the labs you’ve built.</w:t>
      </w:r>
      <w:r>
        <w:t xml:space="preserve"> </w:t>
      </w:r>
      <w:r>
        <w:t xml:space="preserve">This handbook is paired with a real working repo. Run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Talk through concepts.</w:t>
      </w:r>
      <w:r>
        <w:t xml:space="preserve"> </w:t>
      </w:r>
      <w:r>
        <w:t xml:space="preserve">Explain to a rubber duck. If you can’t explain it, you don’t understand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Take notes in your own words.</w:t>
      </w:r>
      <w:r>
        <w:t xml:space="preserve"> </w:t>
      </w:r>
      <w:r>
        <w:t xml:space="preserve">Don’t highlight the handbook. Write your own summary.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Drill the interview questions.</w:t>
      </w:r>
      <w:r>
        <w:t xml:space="preserve"> </w:t>
      </w:r>
      <w:r>
        <w:t xml:space="preserve">Every chapter has them — actually rehearse out loud.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to your previous knowledge.</w:t>
      </w:r>
      <w:r>
        <w:t xml:space="preserve"> </w:t>
      </w:r>
      <w:r>
        <w:t xml:space="preserve">“How is Kubernetes Service like a load balancer I already know?”</w:t>
      </w:r>
    </w:p>
    <w:p>
      <w:r>
        <w:pict>
          <v:rect style="width:0;height:1.5pt" o:hralign="center" o:hrstd="t" o:hr="t"/>
        </w:pict>
      </w:r>
    </w:p>
    <w:bookmarkEnd w:id="106"/>
    <w:bookmarkStart w:id="112" w:name="common-cross-cutting-tips"/>
    <w:p>
      <w:pPr>
        <w:pStyle w:val="Heading1"/>
      </w:pPr>
      <w:r>
        <w:t xml:space="preserve">Common Cross-Cutting Tips</w:t>
      </w:r>
    </w:p>
    <w:bookmarkStart w:id="107" w:name="when-you-hit-an-error"/>
    <w:p>
      <w:pPr>
        <w:pStyle w:val="Heading2"/>
      </w:pPr>
      <w:r>
        <w:t xml:space="preserve">When you hit an error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the error.</w:t>
      </w:r>
      <w:r>
        <w:t xml:space="preserve"> </w:t>
      </w:r>
      <w:r>
        <w:t xml:space="preserve">Slowly. Twice. 80% of errors tell you exactly what’s wrong.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Look at events.</w:t>
      </w:r>
      <w:r>
        <w:t xml:space="preserve"> </w:t>
      </w:r>
      <w:r>
        <w:rPr>
          <w:rStyle w:val="VerbatimChar"/>
        </w:rPr>
        <w:t xml:space="preserve">kubectl get events -A --sort-by='.lastTimestamp' | tail</w:t>
      </w:r>
      <w:r>
        <w:t xml:space="preserve"> </w:t>
      </w:r>
      <w:r>
        <w:t xml:space="preserve">shows recent issues.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Check logs.</w:t>
      </w:r>
      <w:r>
        <w:t xml:space="preserve"> </w:t>
      </w:r>
      <w:r>
        <w:rPr>
          <w:rStyle w:val="VerbatimChar"/>
        </w:rPr>
        <w:t xml:space="preserve">kubectl logs &lt;pod&gt;</w:t>
      </w:r>
      <w:r>
        <w:t xml:space="preserve"> </w:t>
      </w:r>
      <w:r>
        <w:t xml:space="preserve">for app,</w:t>
      </w:r>
      <w:r>
        <w:t xml:space="preserve"> </w:t>
      </w:r>
      <w:r>
        <w:rPr>
          <w:rStyle w:val="VerbatimChar"/>
        </w:rPr>
        <w:t xml:space="preserve">journalctl -u &lt;service&gt;</w:t>
      </w:r>
      <w:r>
        <w:t xml:space="preserve"> </w:t>
      </w:r>
      <w:r>
        <w:t xml:space="preserve">for systemd.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Search the exact error message.</w:t>
      </w:r>
      <w:r>
        <w:t xml:space="preserve"> </w:t>
      </w:r>
      <w:r>
        <w:t xml:space="preserve">Verbatim, in quotes, in Google. Someone hit it before.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Bisect.</w:t>
      </w:r>
      <w:r>
        <w:t xml:space="preserve"> </w:t>
      </w:r>
      <w:r>
        <w:t xml:space="preserve">Did it work yesterday?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the last day’s changes. Revert one at a time.</w:t>
      </w:r>
    </w:p>
    <w:bookmarkEnd w:id="107"/>
    <w:bookmarkStart w:id="108" w:name="when-learning-a-new-tool"/>
    <w:p>
      <w:pPr>
        <w:pStyle w:val="Heading2"/>
      </w:pPr>
      <w:r>
        <w:t xml:space="preserve">When learning a new tool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quickstart.</w:t>
      </w:r>
      <w:r>
        <w:t xml:space="preserve"> </w:t>
      </w:r>
      <w:r>
        <w:t xml:space="preserve">Just the quickstart. Resist the urge to read the whole docs.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something small.</w:t>
      </w:r>
      <w:r>
        <w:t xml:space="preserve"> </w:t>
      </w:r>
      <w:r>
        <w:t xml:space="preserve">A Hello World, then your real use case.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source/issues.</w:t>
      </w:r>
      <w:r>
        <w:t xml:space="preserve"> </w:t>
      </w:r>
      <w:r>
        <w:t xml:space="preserve">Especially GitHub Issues — that’s where real problems are documented.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Find the mental model.</w:t>
      </w:r>
      <w:r>
        <w:t xml:space="preserve"> </w:t>
      </w:r>
      <w:r>
        <w:t xml:space="preserve">Every tool has one. ArgoCD =</w:t>
      </w:r>
      <w:r>
        <w:t xml:space="preserve"> </w:t>
      </w:r>
      <w:r>
        <w:t xml:space="preserve">“sync Git to cluster”</w:t>
      </w:r>
      <w:r>
        <w:t xml:space="preserve">. Terraform =</w:t>
      </w:r>
      <w:r>
        <w:t xml:space="preserve"> </w:t>
      </w:r>
      <w:r>
        <w:t xml:space="preserve">“diff state to cloud”</w:t>
      </w:r>
      <w:r>
        <w:t xml:space="preserve">.</w:t>
      </w:r>
    </w:p>
    <w:bookmarkEnd w:id="108"/>
    <w:bookmarkStart w:id="109" w:name="when-debugging-kubernetes"/>
    <w:p>
      <w:pPr>
        <w:pStyle w:val="Heading2"/>
      </w:pPr>
      <w:r>
        <w:t xml:space="preserve">When debugging Kubernetes</w:t>
      </w:r>
    </w:p>
    <w:p>
      <w:pPr>
        <w:pStyle w:val="SourceCode"/>
      </w:pPr>
      <w:r>
        <w:rPr>
          <w:rStyle w:val="VerbatimChar"/>
        </w:rPr>
        <w:t xml:space="preserve">1. kubectl get pods -A           — anything not Running?</w:t>
      </w:r>
      <w:r>
        <w:br/>
      </w:r>
      <w:r>
        <w:rPr>
          <w:rStyle w:val="VerbatimChar"/>
        </w:rPr>
        <w:t xml:space="preserve">2. kubectl describe pod &lt;name&gt;   — events at the bottom?</w:t>
      </w:r>
      <w:r>
        <w:br/>
      </w:r>
      <w:r>
        <w:rPr>
          <w:rStyle w:val="VerbatimChar"/>
        </w:rPr>
        <w:t xml:space="preserve">3. kubectl logs &lt;name&gt;           — what did the app say?</w:t>
      </w:r>
      <w:r>
        <w:br/>
      </w:r>
      <w:r>
        <w:rPr>
          <w:rStyle w:val="VerbatimChar"/>
        </w:rPr>
        <w:t xml:space="preserve">4. kubectl logs &lt;name&gt; --previous — if it crashed, last instance's logs</w:t>
      </w:r>
      <w:r>
        <w:br/>
      </w:r>
      <w:r>
        <w:rPr>
          <w:rStyle w:val="VerbatimChar"/>
        </w:rPr>
        <w:t xml:space="preserve">5. kubectl exec -it &lt;name&gt; -- sh — get a shell, poke around</w:t>
      </w:r>
      <w:r>
        <w:br/>
      </w:r>
      <w:r>
        <w:rPr>
          <w:rStyle w:val="VerbatimChar"/>
        </w:rPr>
        <w:t xml:space="preserve">6. kubectl get events --sort-by='.lastTimestamp' | tail</w:t>
      </w:r>
      <w:r>
        <w:br/>
      </w:r>
      <w:r>
        <w:rPr>
          <w:rStyle w:val="VerbatimChar"/>
        </w:rPr>
        <w:t xml:space="preserve">7. Try the same in a different namespace — namespace issue?</w:t>
      </w:r>
      <w:r>
        <w:br/>
      </w:r>
      <w:r>
        <w:rPr>
          <w:rStyle w:val="VerbatimChar"/>
        </w:rPr>
        <w:t xml:space="preserve">8. Try the same with a different image — image issue?</w:t>
      </w:r>
      <w:r>
        <w:br/>
      </w:r>
      <w:r>
        <w:rPr>
          <w:rStyle w:val="VerbatimChar"/>
        </w:rPr>
        <w:t xml:space="preserve">9. Try the same on a different cluster — cluster issue?</w:t>
      </w:r>
    </w:p>
    <w:bookmarkEnd w:id="109"/>
    <w:bookmarkStart w:id="110" w:name="when-writing-codeyamlhcl"/>
    <w:p>
      <w:pPr>
        <w:pStyle w:val="Heading2"/>
      </w:pPr>
      <w:r>
        <w:t xml:space="preserve">When writing code/YAML/HCL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Format on save.</w:t>
      </w:r>
      <w:r>
        <w:t xml:space="preserve"> </w:t>
      </w:r>
      <w:r>
        <w:t xml:space="preserve">Use editor plugins. Manual formatting wastes time.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Validate before commit.</w:t>
      </w:r>
      <w:r>
        <w:t xml:space="preserve"> </w:t>
      </w:r>
      <w:r>
        <w:rPr>
          <w:rStyle w:val="VerbatimChar"/>
        </w:rPr>
        <w:t xml:space="preserve">terraform 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 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 apply --dry-run=client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Commit small.</w:t>
      </w:r>
      <w:r>
        <w:t xml:space="preserve"> </w:t>
      </w:r>
      <w:r>
        <w:t xml:space="preserve">One logical change per commit.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Write the test first</w:t>
      </w:r>
      <w:r>
        <w:t xml:space="preserve"> </w:t>
      </w:r>
      <w:r>
        <w:t xml:space="preserve">(or at least the test plan in the PR description).</w:t>
      </w:r>
    </w:p>
    <w:bookmarkEnd w:id="110"/>
    <w:bookmarkStart w:id="111" w:name="career-tips"/>
    <w:p>
      <w:pPr>
        <w:pStyle w:val="Heading2"/>
      </w:pPr>
      <w:r>
        <w:t xml:space="preserve">Career tips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Document everything.</w:t>
      </w:r>
      <w:r>
        <w:t xml:space="preserve"> </w:t>
      </w:r>
      <w:r>
        <w:t xml:space="preserve">Future you will thank you. Your team will too.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Automate the boring stuff.</w:t>
      </w:r>
      <w:r>
        <w:t xml:space="preserve"> </w:t>
      </w:r>
      <w:r>
        <w:t xml:space="preserve">If you do it 3 times, script it. 5 times, productize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Share your work.</w:t>
      </w:r>
      <w:r>
        <w:t xml:space="preserve"> </w:t>
      </w:r>
      <w:r>
        <w:t xml:space="preserve">Blog posts, talks, internal wikis. Visibility = career growth.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Learn one new thing every week.</w:t>
      </w:r>
      <w:r>
        <w:t xml:space="preserve"> </w:t>
      </w:r>
      <w:r>
        <w:t xml:space="preserve">Even 30 minutes of focused study compounds.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honest about gaps.</w:t>
      </w:r>
      <w:r>
        <w:t xml:space="preserve"> </w:t>
      </w:r>
      <w:r>
        <w:t xml:space="preserve">“I don’t know X, but here’s how I’d learn it”</w:t>
      </w:r>
      <w:r>
        <w:t xml:space="preserve"> </w:t>
      </w:r>
      <w:r>
        <w:t xml:space="preserve">is a great answer.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3" w:name="end-of-glossary"/>
    <w:p>
      <w:pPr>
        <w:pStyle w:val="Heading1"/>
      </w:pPr>
      <w:r>
        <w:t xml:space="preserve">End of Glossary</w:t>
      </w:r>
    </w:p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Glossary, Definitions &amp; Pro Tips</dc:title>
  <dc:creator>Gopal Khandale</dc:creator>
  <cp:keywords/>
  <dcterms:created xsi:type="dcterms:W3CDTF">2026-05-14T09:43:55Z</dcterms:created>
  <dcterms:modified xsi:type="dcterms:W3CDTF">2026-05-14T09:43:55Z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documentclass">
    <vt:lpwstr>report</vt:lpwstr>
  </property>
  <property fmtid="{D5CDD505-2E9C-101B-9397-08002B2CF9AE}" pid="4" name="fontsize">
    <vt:lpwstr>11pt</vt:lpwstr>
  </property>
  <property fmtid="{D5CDD505-2E9C-101B-9397-08002B2CF9AE}" pid="5" name="geometry">
    <vt:lpwstr>margin=1in</vt:lpwstr>
  </property>
  <property fmtid="{D5CDD505-2E9C-101B-9397-08002B2CF9AE}" pid="6" name="numbersections">
    <vt:lpwstr>False</vt:lpwstr>
  </property>
  <property fmtid="{D5CDD505-2E9C-101B-9397-08002B2CF9AE}" pid="7" name="subtitle">
    <vt:lpwstr>Companion to the Platform Engineering Handbook</vt:lpwstr>
  </property>
  <property fmtid="{D5CDD505-2E9C-101B-9397-08002B2CF9AE}" pid="8" name="toc">
    <vt:lpwstr>True</vt:lpwstr>
  </property>
  <property fmtid="{D5CDD505-2E9C-101B-9397-08002B2CF9AE}" pid="9" name="toc-depth">
    <vt:lpwstr>2</vt:lpwstr>
  </property>
</Properties>
</file>