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FC394F">
        <w:rPr>
          <w:sz w:val="18"/>
          <w:szCs w:val="18"/>
        </w:rPr>
        <w:t>gradofc-econ@berkeley.edu</w:t>
      </w:r>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530 Evans Hall, #3880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1B6CA77A" w14:textId="14E524FC"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Pr>
          <w:sz w:val="20"/>
          <w:szCs w:val="20"/>
        </w:rPr>
        <w:tab/>
        <w:t>Entrepreneurship and Innovation</w:t>
      </w:r>
    </w:p>
    <w:p w14:paraId="3261BC4D" w14:textId="5A436FDF"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 xml:space="preserve">Industrial Organization </w:t>
      </w:r>
      <w:r>
        <w:rPr>
          <w:sz w:val="20"/>
          <w:szCs w:val="20"/>
        </w:rPr>
        <w:tab/>
      </w:r>
      <w:r>
        <w:rPr>
          <w:sz w:val="20"/>
          <w:szCs w:val="20"/>
        </w:rPr>
        <w:tab/>
        <w:t xml:space="preserve">Health </w:t>
      </w:r>
    </w:p>
    <w:p w14:paraId="6A81ACAA" w14:textId="4EB2BE1E"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r>
        <w:rPr>
          <w:sz w:val="20"/>
          <w:szCs w:val="20"/>
        </w:rPr>
        <w:t>Applied Econometrics</w:t>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D118B9A"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65B83AAB" w:rsidR="002268D7" w:rsidRPr="002268D7" w:rsidRDefault="00B5064D"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B5064D">
        <w:rPr>
          <w:sz w:val="20"/>
          <w:szCs w:val="20"/>
        </w:rPr>
        <w:t>Risk Aversion and Barriers to Firm Growth: Experimental Evidence from Small Retailers</w:t>
      </w:r>
      <w:r w:rsidR="002268D7" w:rsidRPr="002268D7">
        <w:rPr>
          <w:sz w:val="20"/>
          <w:szCs w:val="20"/>
        </w:rPr>
        <w:t xml:space="preserve"> </w:t>
      </w:r>
      <w:r w:rsidR="002268D7">
        <w:rPr>
          <w:sz w:val="20"/>
          <w:szCs w:val="20"/>
        </w:rPr>
        <w:t>(Job Market Paper)</w:t>
      </w:r>
    </w:p>
    <w:p w14:paraId="50DDCFC0" w14:textId="3031B66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B5064D" w:rsidRPr="00B5064D">
        <w:rPr>
          <w:iCs/>
          <w:sz w:val="20"/>
          <w:szCs w:val="20"/>
        </w:rPr>
        <w:t xml:space="preserve">Many enterprises in low and middle-income countries (LMICs) are owner-operated, so uncertain investments directly impact household consumption. This paper asks whether this link results in risk aversion that prevents firms from making uncertain investments needed to grow. I develop a model of small firm learning which shows that risk aversion can impede product adoption by preventing experimentation with new goods. I test the model using two field experiments in Kenya. The first directly tests whether risk aversion affects product stocking. Firms were offered new product inventory with an insurance contract that would be strictly dominated under risk neutrality. This increased adoption by 50%, rejecting firm risk neutrality. The second experiment examines longer-run effects. Temporarily inducing firms to try selling a new product with a supplier returns policy led to a 70% increase in stocking </w:t>
      </w:r>
      <w:r w:rsidR="00B5064D">
        <w:rPr>
          <w:i/>
          <w:sz w:val="20"/>
          <w:szCs w:val="20"/>
        </w:rPr>
        <w:t>after</w:t>
      </w:r>
      <w:r w:rsidR="00B5064D" w:rsidRPr="00B5064D">
        <w:rPr>
          <w:iCs/>
          <w:sz w:val="20"/>
          <w:szCs w:val="20"/>
        </w:rPr>
        <w:t xml:space="preserve"> the intervention ended. The policy encouraged uncertain but optimistic firms to experiment, and they resolved uncertainty through learning. I validate the importance of learning by showing that firms were more willing to stock when the continuation value of learning increased, and when firms received information about demand. These results show that risk aversion can prevent small firms from making uncertain but high expected return investments, creating a barrier to growth that is not captured by standard models that assume risk neutral firms.</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37E47E24" w14:textId="112A35C5"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 xml:space="preserve">We estimate the impacts of large-scale unconditional cash transfers on child survival. One-time transfers of USD 1000 were provided to over 10,500 poor households across 653 randomized villages in Kenya. We collected census data on over 100,000 births, including on mortality and cause of death, and detailed data on household health behaviors. Unconditional cash transfers (accounting for spillovers) lead to 48% fewer infant deaths before age one and 45% fewer child deaths before age five. Detailed data on cause of death, transfer timing relative to birth, and the location of health facilities indicate that unconditional cash transfers and access to delivery care are complements in generating mortality reductions: the largest gains are estimated in neonatal and maternal causes of death largely preventable by appropriate obstetric care and among households living close to physician-staffed facilities and those who receive the transfer around the time of birth, and treatment leads to a large increase in </w:t>
      </w:r>
      <w:r w:rsidRPr="002268D7">
        <w:rPr>
          <w:sz w:val="20"/>
          <w:szCs w:val="20"/>
        </w:rPr>
        <w:lastRenderedPageBreak/>
        <w:t>hospital deliveries (by 45%). The infant and child mortality declines are concentrated among poorer households with below median assets or predicted consumption. The transfers also result in a substantial decline of 51% in female labor supply in the three months before and the three months after a birth, and improved child nutrition. Infant and child mortality largely revert to pre-program levels after cash transfers end. Despite not being the main aim of the original program, we show that unconditional cash transfers in this setting may be a cost-effective way to reduce infant and child deaths.</w:t>
      </w:r>
      <w:r>
        <w:rPr>
          <w:sz w:val="20"/>
          <w:szCs w:val="20"/>
        </w:rPr>
        <w:t xml:space="preserve"> </w:t>
      </w: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Luisa Cefala, Rédempteur Ntawiratsa and Nicholas Swanson</w:t>
      </w:r>
      <w:r>
        <w:rPr>
          <w:sz w:val="20"/>
          <w:szCs w:val="20"/>
        </w:rPr>
        <w:t>)</w:t>
      </w:r>
    </w:p>
    <w:p w14:paraId="2F667E2A" w14:textId="200B9416"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 Department of Economics, U.C. Berkeley  (2020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r>
        <w:rPr>
          <w:sz w:val="20"/>
          <w:szCs w:val="20"/>
        </w:rPr>
        <w:t>Research assistant to Professor Shawn Cole</w:t>
      </w:r>
      <w:r w:rsidR="002268D7">
        <w:rPr>
          <w:i/>
          <w:sz w:val="20"/>
          <w:szCs w:val="20"/>
        </w:rPr>
        <w:t>.</w:t>
      </w: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FELLOWSHIPS AND AWARDS:</w:t>
      </w:r>
    </w:p>
    <w:p w14:paraId="50D75387" w14:textId="530B2115" w:rsidR="002268D7"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sidR="002268D7">
        <w:rPr>
          <w:sz w:val="20"/>
          <w:szCs w:val="20"/>
        </w:rPr>
        <w:tab/>
      </w:r>
      <w:r>
        <w:rPr>
          <w:sz w:val="20"/>
          <w:szCs w:val="20"/>
        </w:rPr>
        <w:t>National Science Foundation Graduate Research Fellowship</w:t>
      </w:r>
    </w:p>
    <w:p w14:paraId="48AF9892" w14:textId="3DD0F023"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Center for Effective Global Action ($</w:t>
      </w:r>
      <w:r w:rsidR="00D70FD0">
        <w:rPr>
          <w:sz w:val="20"/>
          <w:szCs w:val="20"/>
        </w:rPr>
        <w:t>28</w:t>
      </w:r>
      <w:r>
        <w:rPr>
          <w:sz w:val="20"/>
          <w:szCs w:val="20"/>
        </w:rPr>
        <w:t xml:space="preserve">,000) – Funding to study the value of a statistical life </w:t>
      </w:r>
    </w:p>
    <w:p w14:paraId="6B78A831" w14:textId="5E29E6E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Center for Effective Global Action ($</w:t>
      </w:r>
      <w:r w:rsidR="00D70FD0">
        <w:rPr>
          <w:sz w:val="20"/>
          <w:szCs w:val="20"/>
        </w:rPr>
        <w:t>7</w:t>
      </w:r>
      <w:r>
        <w:rPr>
          <w:sz w:val="20"/>
          <w:szCs w:val="20"/>
        </w:rPr>
        <w:t xml:space="preserve">,000) – Pilot funding to study barriers to product adoption </w:t>
      </w:r>
    </w:p>
    <w:p w14:paraId="09D70C7A" w14:textId="4ABD10AC"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2ABFCB7B" w14:textId="28B2A8F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0A638211" w14:textId="473510C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30BC92D5" w14:textId="37556D21"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A682C2A" w14:textId="2801CA49"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r>
      <w:r w:rsidR="007F4135">
        <w:rPr>
          <w:sz w:val="20"/>
          <w:szCs w:val="20"/>
        </w:rPr>
        <w:t>Center for Effective Global Action ($1</w:t>
      </w:r>
      <w:r w:rsidR="00D70FD0">
        <w:rPr>
          <w:sz w:val="20"/>
          <w:szCs w:val="20"/>
        </w:rPr>
        <w:t>5</w:t>
      </w:r>
      <w:r w:rsidR="007F4135">
        <w:rPr>
          <w:sz w:val="20"/>
          <w:szCs w:val="20"/>
        </w:rPr>
        <w:t>,000) – Pilot funding to study competition in low-income countries</w:t>
      </w:r>
    </w:p>
    <w:p w14:paraId="6A226F4B" w14:textId="6B5D0B96"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6DA9AF87" w14:textId="212618A8" w:rsidR="00C8512B" w:rsidRDefault="00C8512B" w:rsidP="002268D7">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Cefala and Nicholas Swanson) </w:t>
      </w:r>
    </w:p>
    <w:p w14:paraId="6FAC4E03" w14:textId="3C0DB156" w:rsidR="002268D7" w:rsidRDefault="00C8512B"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sidR="002268D7">
        <w:rPr>
          <w:sz w:val="20"/>
          <w:szCs w:val="20"/>
        </w:rPr>
        <w:tab/>
      </w:r>
      <w:r>
        <w:rPr>
          <w:sz w:val="20"/>
          <w:szCs w:val="20"/>
        </w:rPr>
        <w:t xml:space="preserve">Best Applied Paper, University of Chicago Causal Inference Conference </w:t>
      </w: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5D7245"/>
    <w:rsid w:val="00711317"/>
    <w:rsid w:val="007F4135"/>
    <w:rsid w:val="00874380"/>
    <w:rsid w:val="00AA4743"/>
    <w:rsid w:val="00B5064D"/>
    <w:rsid w:val="00C8512B"/>
    <w:rsid w:val="00CE5B50"/>
    <w:rsid w:val="00D368AE"/>
    <w:rsid w:val="00D70FD0"/>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5</cp:revision>
  <dcterms:created xsi:type="dcterms:W3CDTF">2025-08-12T16:48:00Z</dcterms:created>
  <dcterms:modified xsi:type="dcterms:W3CDTF">2025-10-06T21:50:00Z</dcterms:modified>
</cp:coreProperties>
</file>