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E75" w:rsidRPr="00487278" w:rsidRDefault="00412E75" w:rsidP="00412E75">
      <w:pPr>
        <w:rPr>
          <w:rFonts w:ascii="Arial Narrow" w:hAnsi="Arial Narrow"/>
          <w:sz w:val="24"/>
          <w:szCs w:val="24"/>
          <w:lang w:val="bg-BG"/>
        </w:rPr>
      </w:pPr>
    </w:p>
    <w:p w:rsidR="00BC45C9" w:rsidRPr="00487278" w:rsidRDefault="00BC45C9" w:rsidP="00A82A38">
      <w:pPr>
        <w:spacing w:after="0" w:line="240" w:lineRule="auto"/>
        <w:ind w:firstLine="6095"/>
        <w:rPr>
          <w:rFonts w:ascii="Arial Narrow" w:hAnsi="Arial Narrow"/>
          <w:sz w:val="24"/>
          <w:szCs w:val="24"/>
          <w:lang w:val="bg-BG"/>
        </w:rPr>
      </w:pPr>
      <w:r w:rsidRPr="00487278">
        <w:rPr>
          <w:rFonts w:ascii="Arial Narrow" w:hAnsi="Arial Narrow"/>
          <w:sz w:val="24"/>
          <w:szCs w:val="24"/>
          <w:lang w:val="bg-BG"/>
        </w:rPr>
        <w:t xml:space="preserve">ДО </w:t>
      </w:r>
      <w:r w:rsidR="00487278">
        <w:rPr>
          <w:rFonts w:ascii="Arial Narrow" w:hAnsi="Arial Narrow"/>
          <w:sz w:val="24"/>
          <w:szCs w:val="24"/>
          <w:lang w:val="bg-BG"/>
        </w:rPr>
        <w:t>Г-Н</w:t>
      </w:r>
      <w:r w:rsidRPr="00487278">
        <w:rPr>
          <w:rFonts w:ascii="Arial Narrow" w:hAnsi="Arial Narrow"/>
          <w:sz w:val="24"/>
          <w:szCs w:val="24"/>
          <w:lang w:val="bg-BG"/>
        </w:rPr>
        <w:t xml:space="preserve"> </w:t>
      </w:r>
      <w:r w:rsidR="00487278">
        <w:rPr>
          <w:rFonts w:ascii="Arial Narrow" w:hAnsi="Arial Narrow"/>
          <w:sz w:val="24"/>
          <w:szCs w:val="24"/>
          <w:lang w:val="bg-BG"/>
        </w:rPr>
        <w:t>НИКОЛАЙ МАРЧЕНКО</w:t>
      </w:r>
      <w:r w:rsidR="002F2A01" w:rsidRPr="00487278">
        <w:rPr>
          <w:rFonts w:ascii="Arial Narrow" w:hAnsi="Arial Narrow"/>
          <w:sz w:val="24"/>
          <w:szCs w:val="24"/>
          <w:lang w:val="bg-BG"/>
        </w:rPr>
        <w:t xml:space="preserve"> </w:t>
      </w:r>
    </w:p>
    <w:p w:rsidR="00A82A38" w:rsidRPr="00487278" w:rsidRDefault="00487278" w:rsidP="00A82A38">
      <w:pPr>
        <w:spacing w:after="0" w:line="240" w:lineRule="auto"/>
        <w:ind w:firstLine="6095"/>
        <w:rPr>
          <w:rFonts w:ascii="Arial Narrow" w:hAnsi="Arial Narrow"/>
          <w:sz w:val="24"/>
          <w:szCs w:val="24"/>
          <w:lang w:val="bg-BG"/>
        </w:rPr>
      </w:pPr>
      <w:r>
        <w:rPr>
          <w:rFonts w:ascii="Arial Narrow" w:hAnsi="Arial Narrow"/>
          <w:sz w:val="24"/>
          <w:szCs w:val="24"/>
          <w:lang w:val="bg-BG"/>
        </w:rPr>
        <w:t>БИВОЛЪ</w:t>
      </w:r>
    </w:p>
    <w:p w:rsidR="007F403A" w:rsidRPr="00487278" w:rsidRDefault="007F403A" w:rsidP="00412E75">
      <w:pPr>
        <w:rPr>
          <w:rFonts w:ascii="Arial Narrow" w:hAnsi="Arial Narrow"/>
          <w:sz w:val="24"/>
          <w:szCs w:val="24"/>
          <w:lang w:val="bg-BG"/>
        </w:rPr>
      </w:pPr>
    </w:p>
    <w:p w:rsidR="00A82A38" w:rsidRPr="00487278" w:rsidRDefault="00A82A38" w:rsidP="00412E75">
      <w:pPr>
        <w:rPr>
          <w:rFonts w:ascii="Arial Narrow" w:hAnsi="Arial Narrow"/>
          <w:sz w:val="24"/>
          <w:szCs w:val="24"/>
          <w:lang w:val="bg-BG"/>
        </w:rPr>
      </w:pPr>
    </w:p>
    <w:p w:rsidR="00487278" w:rsidRPr="00487278" w:rsidRDefault="00487278" w:rsidP="00487278">
      <w:pPr>
        <w:tabs>
          <w:tab w:val="left" w:leader="dot" w:pos="3544"/>
        </w:tabs>
        <w:spacing w:after="0" w:line="360" w:lineRule="auto"/>
        <w:jc w:val="both"/>
        <w:textAlignment w:val="baseline"/>
        <w:rPr>
          <w:rFonts w:ascii="Arial Narrow" w:hAnsi="Arial Narrow" w:cs="Arial"/>
          <w:b/>
          <w:sz w:val="24"/>
          <w:szCs w:val="24"/>
          <w:lang w:val="bg-BG"/>
        </w:rPr>
      </w:pPr>
      <w:r w:rsidRPr="00487278">
        <w:rPr>
          <w:rFonts w:ascii="Arial Narrow" w:hAnsi="Arial Narrow" w:cs="Arial"/>
          <w:b/>
          <w:sz w:val="24"/>
          <w:szCs w:val="24"/>
          <w:lang w:val="bg-BG"/>
        </w:rPr>
        <w:t xml:space="preserve">Уважаеми г-н </w:t>
      </w:r>
      <w:proofErr w:type="spellStart"/>
      <w:r w:rsidRPr="00487278">
        <w:rPr>
          <w:rFonts w:ascii="Arial Narrow" w:hAnsi="Arial Narrow" w:cs="Arial"/>
          <w:b/>
          <w:sz w:val="24"/>
          <w:szCs w:val="24"/>
          <w:lang w:val="bg-BG"/>
        </w:rPr>
        <w:t>Марченко</w:t>
      </w:r>
      <w:proofErr w:type="spellEnd"/>
      <w:r w:rsidRPr="00487278">
        <w:rPr>
          <w:rFonts w:ascii="Arial Narrow" w:hAnsi="Arial Narrow" w:cs="Arial"/>
          <w:b/>
          <w:sz w:val="24"/>
          <w:szCs w:val="24"/>
          <w:lang w:val="bg-BG"/>
        </w:rPr>
        <w:t>!</w:t>
      </w:r>
    </w:p>
    <w:p w:rsidR="00487278" w:rsidRPr="00487278" w:rsidRDefault="00487278" w:rsidP="00487278">
      <w:pPr>
        <w:ind w:firstLine="708"/>
        <w:jc w:val="both"/>
        <w:rPr>
          <w:rFonts w:ascii="Arial Narrow" w:hAnsi="Arial Narrow" w:cs="Calibri"/>
          <w:sz w:val="24"/>
          <w:szCs w:val="24"/>
          <w:lang w:val="bg-BG"/>
        </w:rPr>
      </w:pPr>
    </w:p>
    <w:p w:rsidR="00487278" w:rsidRPr="00487278" w:rsidRDefault="00487278" w:rsidP="00487278">
      <w:pPr>
        <w:ind w:firstLine="708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Във връзка с изпратени от Вас въпроси по имейл от 30.03.2021 г., държим да напомним, че ръководството на „Информационно обслужване“ АД нееднократно и аргументирано е изказвало своята позиция за въвеждането на машинното гласуване. Освен факта, че гласуването с машини по време на пандемия носи здравен риск за гласоподавателите, считаме за важно да припомним, че подобна практика в Европа към днешна дата няма (освен частично в Белгия) и тя се смята за недостатъчно надеждна. От друга страна смятаме, че въвеждането на машинно гласуване, паралелно с гласуването с хартиени бюлетини, е предпоставка за увеличаване на риска от технически грешки при попълване на секционните протоколи и е възможно това да доведе до забавяне на сроковете, заложени в Изборния кодекс.</w:t>
      </w:r>
    </w:p>
    <w:p w:rsidR="00487278" w:rsidRPr="00487278" w:rsidRDefault="00487278" w:rsidP="00487278">
      <w:pPr>
        <w:ind w:firstLine="708"/>
        <w:jc w:val="both"/>
        <w:rPr>
          <w:rFonts w:ascii="Arial Narrow" w:hAnsi="Arial Narrow" w:cs="Arial"/>
          <w:bCs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Във връзка с Вашите въпроси, Ви изпращаме и отговорите както следва.</w:t>
      </w:r>
    </w:p>
    <w:p w:rsidR="00487278" w:rsidRPr="00487278" w:rsidRDefault="00487278" w:rsidP="00487278">
      <w:pPr>
        <w:tabs>
          <w:tab w:val="left" w:pos="0"/>
        </w:tabs>
        <w:spacing w:after="0" w:line="312" w:lineRule="auto"/>
        <w:ind w:right="-2"/>
        <w:jc w:val="both"/>
        <w:rPr>
          <w:rFonts w:ascii="Arial Narrow" w:hAnsi="Arial Narrow" w:cs="Calibri"/>
          <w:b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  <w:t>По какъв начин с одобрението на "Информационно обслужване"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Норма" АД е започнала сътрудничеството си със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Смартматик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"?</w:t>
      </w:r>
      <w:r w:rsidRPr="00487278">
        <w:rPr>
          <w:rFonts w:ascii="Arial Narrow" w:hAnsi="Arial Narrow"/>
          <w:b/>
          <w:lang w:val="bg-BG"/>
        </w:rPr>
        <w:t xml:space="preserve"> </w:t>
      </w:r>
      <w:r w:rsidRPr="00487278">
        <w:rPr>
          <w:rFonts w:ascii="Arial Narrow" w:hAnsi="Arial Narrow" w:cs="Calibri"/>
          <w:b/>
          <w:sz w:val="24"/>
          <w:szCs w:val="24"/>
          <w:lang w:val="bg-BG"/>
        </w:rPr>
        <w:t>Използвани ли са политически протекции за връзка с венецуелско-американската компания?</w:t>
      </w:r>
    </w:p>
    <w:p w:rsidR="00487278" w:rsidRPr="00487278" w:rsidRDefault="00487278" w:rsidP="00487278">
      <w:pPr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</w:t>
      </w: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</w:r>
      <w:r w:rsidRPr="00487278">
        <w:rPr>
          <w:rFonts w:ascii="Arial Narrow" w:hAnsi="Arial Narrow" w:cs="Calibri"/>
          <w:sz w:val="24"/>
          <w:szCs w:val="24"/>
          <w:lang w:val="bg-BG"/>
        </w:rPr>
        <w:t>"Информационно обслужване" АД е акционерно търговско дружество и като такова няма никакво отношение към договорните отношения между други частно-правни субекти, вкл. цитираните във Вашия въпрос. Дружеството не може да коментира външни за него търговски взаимоотношения.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b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  <w:t>Защо според "Информационно обслужване" е нормално цените на машините втора ръка на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Смартматик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" за общо 42 млн. лв. с ДДС да надхвърлят потенциалните разходи за производството на новите машини от "Български машини за гласуване" ЕООД? Коя е държавата производител на машините, в кои държави вече са използвани за изборния процес? 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>"Информационно обслужване" АД не е страна по договора за доставка на машините за гласуване и не може да коментира процедурата за възлагане на обществена поръчка и решенията на възложителя.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>През 2020 г. нашата компания извърши пазарно проучване за машини за гласуване сред най-големите световни производители, които биха могли да се справят с обема и сроковете. Видно от този анализ, цената за една машина варира от 1750 до 3000 долара, като тази цена включва самата машина, без доставка, разработка на специализиран софтуер за гласуване и осигуряване на параметризация и логистика по време на изборния процес. Запитвания бяха изпратени към 6 компании, а отговор изпратиха две от тях. Резултатите от това проучване бяха публично оповестени от председателя на Съвета на директорите Михаил Константинов през 2020 г.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lastRenderedPageBreak/>
        <w:tab/>
        <w:t>Що се отнася до втората част на въпроса Ви, той би следвало да се отправи към доставчика на машините.</w:t>
      </w:r>
    </w:p>
    <w:p w:rsidR="00487278" w:rsidRPr="00487278" w:rsidRDefault="00487278" w:rsidP="00487278">
      <w:pPr>
        <w:tabs>
          <w:tab w:val="left" w:pos="0"/>
          <w:tab w:val="left" w:pos="1260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  <w:t>Дали използването на едни машини с един доставчик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Смартматик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 и цели две компании участнички в търга от българската страна ("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норма" АД" и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Лекс.бг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") е позволило да бъдат доставени част от машините преди самата тръжна процедура по избиране на победител? Защо са използвани същите демо машини за презентация от две различни юридически дружества -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норма" АД " и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Лекс.бг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"?  "Информационно обслужване" и представителите й в ЦИК като експерти по информационни технологии как го коментират?</w:t>
      </w:r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>Не разполагаме с информация за доставката на машините, нито за причините, поради които на презентациите са били представени едни и същи машини за демонстрация.  „Информационно обслужване“ АД не може да коментира действията на комисията, назначена от друг възложител – в случая Централната избирателна комисия, за разглеждане на заявленията и  офертите за участие в състезателната процедура с договаряне, открита с Решение №1911-НС/12.11.2020 г. (обществена поръчка с УИН в РОП: 04312-2020-0001).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>В работата на комисията като външен експерт е участвал един служител на „Информационно обслужване“ АД. Той е един от петимата външни експерти, включени в състава на комисията от общо 11 (единадесет) члена, назначена от Възложителя. Той е участвал в работата на комисията в изпълнение на писмен договор, сключен между него и ЦИК на основание чл.51, ал.3 от ППЗОП, при съобразяване с всички изисквания на ЗОП и ППЗОП.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b/>
          <w:sz w:val="24"/>
          <w:szCs w:val="24"/>
          <w:lang w:val="bg-BG"/>
        </w:rPr>
      </w:pP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b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  <w:t>Каква е позицията на "Информационно обслужване" относно медийните публикации за наличие на нарушения при участие на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Смартматик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 във Венецуела, САЩ и Филипините? Защо компания извън Европейския съюз е избрана за партньор, без да отговаря на изискванията на ЕС за безопасност и репутация?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 xml:space="preserve">В публичното пространство са налице множество медийни публикации, свързани с изборните технологии и в частност с машинното гласуване по света. Съдейки по тези публикации, изглежда, че на практика няма доставчик на изборни технологии, срещу който във времето да не е имало подозрения и възражения от различни страни. </w:t>
      </w:r>
    </w:p>
    <w:p w:rsidR="00487278" w:rsidRPr="00487278" w:rsidRDefault="00487278" w:rsidP="00487278">
      <w:pPr>
        <w:tabs>
          <w:tab w:val="left" w:pos="0"/>
          <w:tab w:val="left" w:pos="709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ab/>
        <w:t>Напомняме, че ръководството на „Информационно обслужване“ АД нееднократно е заявявало своите резерви към въвеждането на машинно гласуване у нас. Не случайно в Европа машинно гласуване не се прилага, с изключение на някои общини в Белгия, което отговаря на по-малко от 1% от населението на Европа. В Германия това гласуване е забранено с решение на Конституционния съд.</w:t>
      </w:r>
    </w:p>
    <w:p w:rsidR="00487278" w:rsidRPr="00487278" w:rsidRDefault="00487278" w:rsidP="00487278">
      <w:pPr>
        <w:tabs>
          <w:tab w:val="left" w:pos="0"/>
          <w:tab w:val="left" w:pos="1260"/>
        </w:tabs>
        <w:spacing w:after="0" w:line="312" w:lineRule="auto"/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</w:p>
    <w:p w:rsidR="00487278" w:rsidRPr="00487278" w:rsidRDefault="00487278" w:rsidP="00487278">
      <w:pPr>
        <w:tabs>
          <w:tab w:val="left" w:pos="0"/>
        </w:tabs>
        <w:spacing w:after="0" w:line="312" w:lineRule="auto"/>
        <w:ind w:right="-2"/>
        <w:jc w:val="both"/>
        <w:rPr>
          <w:rFonts w:ascii="Arial Narrow" w:hAnsi="Arial Narrow" w:cs="Calibri"/>
          <w:b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</w:t>
      </w:r>
      <w:r w:rsidRPr="00487278">
        <w:rPr>
          <w:rFonts w:ascii="Arial Narrow" w:hAnsi="Arial Narrow" w:cs="Calibri"/>
          <w:b/>
          <w:sz w:val="24"/>
          <w:szCs w:val="24"/>
          <w:lang w:val="bg-BG"/>
        </w:rPr>
        <w:tab/>
        <w:t>Има ли "Информационно обслужване" финансови или бизнес отношения с юридически или физически лица, политически обвързани с политическите формации НДСВ, ДПС, ГЕРБ, СДС?</w:t>
      </w:r>
    </w:p>
    <w:p w:rsidR="00487278" w:rsidRPr="00487278" w:rsidRDefault="00487278" w:rsidP="00487278">
      <w:pPr>
        <w:ind w:right="-2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</w:t>
      </w:r>
      <w:r w:rsidRPr="00487278">
        <w:rPr>
          <w:rFonts w:ascii="Arial Narrow" w:hAnsi="Arial Narrow" w:cs="Calibri"/>
          <w:sz w:val="24"/>
          <w:szCs w:val="24"/>
          <w:lang w:val="bg-BG"/>
        </w:rPr>
        <w:tab/>
        <w:t xml:space="preserve">"Информационно обслужване" АД е национален системен интегратор и като такъв работи основно с органи на държавната администрация. В качеството си на Доставчик на квалифицирани удостоверителни </w:t>
      </w:r>
      <w:r w:rsidRPr="00487278">
        <w:rPr>
          <w:rFonts w:ascii="Arial Narrow" w:hAnsi="Arial Narrow" w:cs="Calibri"/>
          <w:sz w:val="24"/>
          <w:szCs w:val="24"/>
          <w:lang w:val="bg-BG"/>
        </w:rPr>
        <w:lastRenderedPageBreak/>
        <w:t>услуги, дружеството има сключени договори за удостоверителни услуги (електронен подпис) с десетки хиляди физически и юридически лица, включително търговци, юридически лица с нестопанска цел и др. Нямаме основание да събираме и не събираме информация относно политическата ангажираност на нашите клиенти и контрагенти и по тази причина не можем да предоставим информация по поставения въпрос.</w:t>
      </w:r>
    </w:p>
    <w:p w:rsidR="00487278" w:rsidRPr="00487278" w:rsidRDefault="00487278" w:rsidP="00487278">
      <w:pPr>
        <w:ind w:right="-2" w:firstLine="708"/>
        <w:jc w:val="both"/>
        <w:rPr>
          <w:rFonts w:ascii="Arial Narrow" w:hAnsi="Arial Narrow" w:cs="Calibri"/>
          <w:b/>
          <w:sz w:val="24"/>
          <w:szCs w:val="24"/>
          <w:lang w:val="bg-BG"/>
        </w:rPr>
      </w:pPr>
      <w:r w:rsidRPr="00487278">
        <w:rPr>
          <w:rFonts w:ascii="Arial Narrow" w:hAnsi="Arial Narrow" w:cs="Calibri"/>
          <w:b/>
          <w:sz w:val="24"/>
          <w:szCs w:val="24"/>
          <w:lang w:val="bg-BG"/>
        </w:rPr>
        <w:t>Какви са съвместните проекти на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 xml:space="preserve"> Норма" АД с "Информационно обслужване" ЕАД, сертифицирани ли са машините на "</w:t>
      </w:r>
      <w:proofErr w:type="spellStart"/>
      <w:r w:rsidRPr="00487278">
        <w:rPr>
          <w:rFonts w:ascii="Arial Narrow" w:hAnsi="Arial Narrow" w:cs="Calibri"/>
          <w:b/>
          <w:sz w:val="24"/>
          <w:szCs w:val="24"/>
          <w:lang w:val="bg-BG"/>
        </w:rPr>
        <w:t>Смартматик</w:t>
      </w:r>
      <w:proofErr w:type="spellEnd"/>
      <w:r w:rsidRPr="00487278">
        <w:rPr>
          <w:rFonts w:ascii="Arial Narrow" w:hAnsi="Arial Narrow" w:cs="Calibri"/>
          <w:b/>
          <w:sz w:val="24"/>
          <w:szCs w:val="24"/>
          <w:lang w:val="bg-BG"/>
        </w:rPr>
        <w:t>" от всички държавни институции? Не ли е конфликт на интереси одобряването от страна на експертите на "Информационно обслужване" към ЦИК и МС на машините, на компанията доставчик, която е бизнес партньор?</w:t>
      </w:r>
    </w:p>
    <w:p w:rsidR="00487278" w:rsidRPr="00487278" w:rsidRDefault="00487278" w:rsidP="00487278">
      <w:pPr>
        <w:ind w:right="-2" w:firstLine="708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„Информационно обслужване“ АД няма съвместни проекти със „</w:t>
      </w:r>
      <w:proofErr w:type="spellStart"/>
      <w:r w:rsidRPr="00487278">
        <w:rPr>
          <w:rFonts w:ascii="Arial Narrow" w:hAnsi="Arial Narrow" w:cs="Calibri"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Норма“ АД. Компанията има търговски отношения със "</w:t>
      </w:r>
      <w:proofErr w:type="spellStart"/>
      <w:r w:rsidRPr="00487278">
        <w:rPr>
          <w:rFonts w:ascii="Arial Narrow" w:hAnsi="Arial Narrow" w:cs="Calibri"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Норма" АД по договори за използване и достъп до правно-информационните системи „</w:t>
      </w:r>
      <w:proofErr w:type="spellStart"/>
      <w:r w:rsidRPr="00487278">
        <w:rPr>
          <w:rFonts w:ascii="Arial Narrow" w:hAnsi="Arial Narrow" w:cs="Calibri"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sz w:val="24"/>
          <w:szCs w:val="24"/>
          <w:lang w:val="bg-BG"/>
        </w:rPr>
        <w:t>“ за нуждите на „Информационно обслужване“ АД и на наши клиенти. Също така, „</w:t>
      </w:r>
      <w:proofErr w:type="spellStart"/>
      <w:r w:rsidRPr="00487278">
        <w:rPr>
          <w:rFonts w:ascii="Arial Narrow" w:hAnsi="Arial Narrow" w:cs="Calibri"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Норма“ АД е закупило от „Информационно обслужване“ смарткарти и електронни подписи.</w:t>
      </w:r>
    </w:p>
    <w:p w:rsidR="00487278" w:rsidRPr="00487278" w:rsidRDefault="00487278" w:rsidP="00487278">
      <w:pPr>
        <w:spacing w:after="0"/>
        <w:ind w:right="-2" w:firstLine="708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„Информационно обслужване“ АД (в качеството си на възложител по ЗОП) има сключен договор със "</w:t>
      </w:r>
      <w:proofErr w:type="spellStart"/>
      <w:r w:rsidRPr="00487278">
        <w:rPr>
          <w:rFonts w:ascii="Arial Narrow" w:hAnsi="Arial Narrow" w:cs="Calibri"/>
          <w:sz w:val="24"/>
          <w:szCs w:val="24"/>
          <w:lang w:val="bg-BG"/>
        </w:rPr>
        <w:t>Сиела</w:t>
      </w:r>
      <w:proofErr w:type="spellEnd"/>
      <w:r w:rsidRPr="00487278">
        <w:rPr>
          <w:rFonts w:ascii="Arial Narrow" w:hAnsi="Arial Narrow" w:cs="Calibri"/>
          <w:sz w:val="24"/>
          <w:szCs w:val="24"/>
          <w:lang w:val="bg-BG"/>
        </w:rPr>
        <w:t xml:space="preserve"> Норма" АД, след провеждане на обществена поръчка, за изпълнение на дейности, свързани със системната интеграция на Националната агенция по приходите.</w:t>
      </w:r>
    </w:p>
    <w:p w:rsidR="00487278" w:rsidRPr="00487278" w:rsidRDefault="00487278" w:rsidP="00487278">
      <w:pPr>
        <w:spacing w:after="0"/>
        <w:ind w:right="-2" w:firstLine="708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Не считаме, че с участието на един служител на „Информационно обслужване“ АД като външен експерт в 11-членна  комисията, назначена от Централната избирателна комисия, като Възложител за разглеждане и оценка на офертите, подадени в състезателната процедура с договаряне, открита с Решение №1911-НС/12.11.2020 г., е възникнал конфликт на интереси.</w:t>
      </w:r>
    </w:p>
    <w:p w:rsidR="00487278" w:rsidRPr="00487278" w:rsidRDefault="00487278" w:rsidP="00487278">
      <w:pPr>
        <w:ind w:firstLine="708"/>
        <w:jc w:val="both"/>
        <w:rPr>
          <w:rFonts w:ascii="Arial Narrow" w:hAnsi="Arial Narrow" w:cs="Calibri"/>
          <w:sz w:val="24"/>
          <w:szCs w:val="24"/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По въпроса за сертифицирането на машините от всички държавни институции следва да се обърнете към държавните органи, на които е възложена тази дейност в Изборния кодекс, а именно Държавната агенция "Електронно управление", Българския институт за стандартизация и Българския институт по метрология.</w:t>
      </w:r>
    </w:p>
    <w:p w:rsidR="00487278" w:rsidRPr="00487278" w:rsidRDefault="00487278" w:rsidP="00487278">
      <w:pPr>
        <w:ind w:firstLine="708"/>
        <w:jc w:val="both"/>
        <w:rPr>
          <w:lang w:val="bg-BG"/>
        </w:rPr>
      </w:pPr>
      <w:r w:rsidRPr="00487278">
        <w:rPr>
          <w:rFonts w:ascii="Arial Narrow" w:hAnsi="Arial Narrow" w:cs="Calibri"/>
          <w:sz w:val="24"/>
          <w:szCs w:val="24"/>
          <w:lang w:val="bg-BG"/>
        </w:rPr>
        <w:t>В заключение искаме да Ви благодарим за проявения интерес към нашата работа.</w:t>
      </w:r>
    </w:p>
    <w:p w:rsidR="00C76722" w:rsidRPr="00487278" w:rsidRDefault="00C76722" w:rsidP="00813B52">
      <w:pPr>
        <w:ind w:left="708"/>
        <w:rPr>
          <w:rFonts w:ascii="Arial Narrow" w:hAnsi="Arial Narrow"/>
          <w:sz w:val="24"/>
          <w:szCs w:val="24"/>
          <w:lang w:val="bg-BG"/>
        </w:rPr>
      </w:pPr>
      <w:bookmarkStart w:id="0" w:name="_GoBack"/>
      <w:bookmarkEnd w:id="0"/>
    </w:p>
    <w:sectPr w:rsidR="00C76722" w:rsidRPr="00487278" w:rsidSect="0012353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707" w:bottom="1418" w:left="1134" w:header="425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A5" w:rsidRDefault="00855DA5" w:rsidP="00334921">
      <w:pPr>
        <w:spacing w:after="0" w:line="240" w:lineRule="auto"/>
      </w:pPr>
      <w:r>
        <w:separator/>
      </w:r>
    </w:p>
  </w:endnote>
  <w:endnote w:type="continuationSeparator" w:id="0">
    <w:p w:rsidR="00855DA5" w:rsidRDefault="00855DA5" w:rsidP="0033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602846"/>
      <w:docPartObj>
        <w:docPartGallery w:val="Page Numbers (Bottom of Page)"/>
        <w:docPartUnique/>
      </w:docPartObj>
    </w:sdtPr>
    <w:sdtEndPr/>
    <w:sdtContent>
      <w:p w:rsidR="00334921" w:rsidRDefault="000F4FD4" w:rsidP="00334921">
        <w:pPr>
          <w:pStyle w:val="Footer"/>
          <w:tabs>
            <w:tab w:val="clear" w:pos="9072"/>
            <w:tab w:val="right" w:pos="9498"/>
          </w:tabs>
          <w:ind w:right="-428"/>
          <w:jc w:val="right"/>
        </w:pPr>
        <w:r>
          <w:rPr>
            <w:b/>
            <w:noProof/>
            <w:color w:val="7F7F7F" w:themeColor="text1" w:themeTint="80"/>
            <w:sz w:val="16"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079377D" wp14:editId="15526432">
                  <wp:simplePos x="0" y="0"/>
                  <wp:positionH relativeFrom="column">
                    <wp:posOffset>5383530</wp:posOffset>
                  </wp:positionH>
                  <wp:positionV relativeFrom="paragraph">
                    <wp:posOffset>-405130</wp:posOffset>
                  </wp:positionV>
                  <wp:extent cx="419100" cy="895350"/>
                  <wp:effectExtent l="11430" t="13970" r="7620" b="5080"/>
                  <wp:wrapNone/>
                  <wp:docPr id="4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41910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8B0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FEBDBC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423.9pt;margin-top:-31.9pt;width:33pt;height:7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x87LQIAAEkEAAAOAAAAZHJzL2Uyb0RvYy54bWysVE2P2yAQvVfqf0DcE9uJkyZWnNXWTtrD&#10;to202x9AAMeoGBCQOFHV/96BfHTTXqqqFzzAzJs3Mw8vHo6dRAdundCqxNkwxYgrqplQuxJ/fVkP&#10;Zhg5TxQjUite4hN3+GH59s2iNwUf6VZLxi0CEOWK3pS49d4USeJoyzvihtpwBZeNth3xsLW7hFnS&#10;A3onk1GaTpNeW2asptw5OK3Pl3gZ8ZuGU/+laRz3SJYYuPm42rhuw5osF6TYWWJaQS80yD+w6IhQ&#10;kPQGVRNP0N6KP6A6Qa12uvFDqrtEN42gPNYA1WTpb9U8t8TwWAs0x5lbm9z/g6WfDxuLBCtxjpEi&#10;HYzoce91zIzGoT29cQV4VWpjQ4H0qJ7Nk6bfHFK6aona8ej8cjIQm4WI5C4kbJyBJNv+k2bgQwA/&#10;9urY2A41UpiPITCAQz/QMQ7ndBsOP3pE4TDP5lkKI6RwNZtPxpM4vIQUASYEG+v8B647FIwSO2+J&#10;2LW+0kqBDLQ9pyCHJ+cDyV8BIVjptZAyqkEq1Jd4PhlNIienpWDhMrg5u9tW0qIDAT1NZu/TVewR&#10;gN25Wb1XLIK1nLDVxfZEyLMN/lIFPCgO6Fyss2C+z9P5araa5YN8NF0N8rSuB4/rKh9M19m7ST2u&#10;q6rOfgRqWV60gjGuArureLP878RxeUZn2d3ke2tDco8e+wVkr99IOs45jPYskq1mp429zh/0Gp0v&#10;bys8iNd7sF//AZY/AQAA//8DAFBLAwQUAAYACAAAACEAeh0v2t8AAAAKAQAADwAAAGRycy9kb3du&#10;cmV2LnhtbEyPwW7CMBBE75X6D9ZW6g2c0DahIRtEK1VIPVQF+gEmXpKIeB3ZBtK/rzmV26xmNPO2&#10;XI6mF2dyvrOMkE4TEMS11R03CD+7j8kchA+KteotE8IveVhW93elKrS98IbO29CIWMK+UAhtCEMh&#10;pa9bMspP7UAcvYN1RoV4ukZqpy6x3PRyliSZNKrjuNCqgd5bqo/bk0FYb77W34fh06Vp9lKvdPJm&#10;aTciPj6MqwWIQGP4D8MVP6JDFZn29sTaix5h/pxH9IAwyZ6iiInX9Cr2CHk+A1mV8vaF6g8AAP//&#10;AwBQSwECLQAUAAYACAAAACEAtoM4kv4AAADhAQAAEwAAAAAAAAAAAAAAAAAAAAAAW0NvbnRlbnRf&#10;VHlwZXNdLnhtbFBLAQItABQABgAIAAAAIQA4/SH/1gAAAJQBAAALAAAAAAAAAAAAAAAAAC8BAABf&#10;cmVscy8ucmVsc1BLAQItABQABgAIAAAAIQAr0x87LQIAAEkEAAAOAAAAAAAAAAAAAAAAAC4CAABk&#10;cnMvZTJvRG9jLnhtbFBLAQItABQABgAIAAAAIQB6HS/a3wAAAAoBAAAPAAAAAAAAAAAAAAAAAIcE&#10;AABkcnMvZG93bnJldi54bWxQSwUGAAAAAAQABADzAAAAkwUAAAAA&#10;" strokecolor="#58b0e3"/>
              </w:pict>
            </mc:Fallback>
          </mc:AlternateContent>
        </w:r>
        <w:r w:rsidR="00855408" w:rsidRPr="00334921">
          <w:rPr>
            <w:b/>
            <w:sz w:val="28"/>
          </w:rPr>
          <w:fldChar w:fldCharType="begin"/>
        </w:r>
        <w:r w:rsidR="00334921" w:rsidRPr="00334921">
          <w:rPr>
            <w:b/>
            <w:sz w:val="28"/>
          </w:rPr>
          <w:instrText xml:space="preserve"> PAGE   \* MERGEFORMAT </w:instrText>
        </w:r>
        <w:r w:rsidR="00855408" w:rsidRPr="00334921">
          <w:rPr>
            <w:b/>
            <w:sz w:val="28"/>
          </w:rPr>
          <w:fldChar w:fldCharType="separate"/>
        </w:r>
        <w:r w:rsidR="00B75998">
          <w:rPr>
            <w:b/>
            <w:noProof/>
            <w:sz w:val="28"/>
          </w:rPr>
          <w:t>2</w:t>
        </w:r>
        <w:r w:rsidR="00855408" w:rsidRPr="00334921">
          <w:rPr>
            <w:b/>
            <w:sz w:val="28"/>
          </w:rPr>
          <w:fldChar w:fldCharType="end"/>
        </w:r>
      </w:p>
    </w:sdtContent>
  </w:sdt>
  <w:p w:rsidR="00334921" w:rsidRDefault="003349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004947"/>
      <w:docPartObj>
        <w:docPartGallery w:val="Page Numbers (Bottom of Page)"/>
        <w:docPartUnique/>
      </w:docPartObj>
    </w:sdtPr>
    <w:sdtEndPr/>
    <w:sdtContent>
      <w:p w:rsidR="0012353B" w:rsidRPr="003C3152" w:rsidRDefault="0012353B" w:rsidP="00205DD8">
        <w:pPr>
          <w:spacing w:after="0" w:line="240" w:lineRule="auto"/>
          <w:rPr>
            <w:rFonts w:ascii="Arial Narrow" w:hAnsi="Arial Narrow"/>
            <w:sz w:val="24"/>
            <w:szCs w:val="24"/>
            <w:lang w:val="bg-BG"/>
          </w:rPr>
        </w:pPr>
      </w:p>
      <w:p w:rsidR="0012353B" w:rsidRPr="003C3152" w:rsidRDefault="0012353B" w:rsidP="0012353B">
        <w:pPr>
          <w:spacing w:after="0" w:line="240" w:lineRule="auto"/>
          <w:ind w:left="5529"/>
          <w:rPr>
            <w:rFonts w:ascii="Arial Narrow" w:hAnsi="Arial Narrow"/>
            <w:sz w:val="24"/>
            <w:szCs w:val="24"/>
            <w:lang w:val="bg-BG"/>
          </w:rPr>
        </w:pPr>
        <w:r>
          <w:rPr>
            <w:b/>
            <w:noProof/>
            <w:color w:val="7F7F7F" w:themeColor="text1" w:themeTint="80"/>
            <w:sz w:val="16"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D58D345" wp14:editId="13ADC3AE">
                  <wp:simplePos x="0" y="0"/>
                  <wp:positionH relativeFrom="column">
                    <wp:posOffset>5383530</wp:posOffset>
                  </wp:positionH>
                  <wp:positionV relativeFrom="paragraph">
                    <wp:posOffset>58420</wp:posOffset>
                  </wp:positionV>
                  <wp:extent cx="419100" cy="895350"/>
                  <wp:effectExtent l="0" t="0" r="19050" b="19050"/>
                  <wp:wrapNone/>
                  <wp:docPr id="2" name="AutoShap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41910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8B0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EB356F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margin-left:423.9pt;margin-top:4.6pt;width:33pt;height:70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+OgLgIAAEkEAAAOAAAAZHJzL2Uyb0RvYy54bWysVE2P0zAQvSPxHyzf2yRtsrRR09WStHBY&#10;oNIuP8C1ncbCsS3b27RC/HfG7gdduCDExR1nZt68mXnu4v7QS7Tn1gmtKpyNU4y4opoJtavw1+f1&#10;aIaR80QxIrXiFT5yh++Xb98sBlPyie60ZNwiAFGuHEyFO+9NmSSOdrwnbqwNV+Bste2Jh6vdJcyS&#10;AdB7mUzS9C4ZtGXGasqdg6/NyYmXEb9tOfVf2tZxj2SFgZuPp43nNpzJckHKnSWmE/RMg/wDi54I&#10;BUWvUA3xBL1Y8QdUL6jVTrd+THWf6LYVlMceoJss/a2bp44YHnuB4ThzHZP7f7D0835jkWAVnmCk&#10;SA8renjxOlZGRRjPYFwJUbXa2NAgPagn86jpN4eUrjuidjwGPx8N5GYhI3mVEi7OQJHt8EkziCGA&#10;H2d1aG2PWinMx5AYwGEe6BCXc7wuhx88ovAxz+ZZCiuk4JrNi2kRl5eQMsCEZGOd/8B1j4JRYect&#10;EbvO11opkIG2pxJk/+h8IPkrISQrvRZSRjVIhYYKz4tJETk5LQULzhDm7G5bS4v2BPRUzN6nq2ns&#10;GDy3YVa/KBbBOk7Y6mx7IuTJhuJSBTxoDuicrZNgvs/T+Wq2muWjfHK3GuVp04we1nU+ultn74pm&#10;2tR1k/0I1LK87ARjXAV2F/Fm+d+J4/yMTrK7yvc6huQ1epwXkL38RtJxz2G1J5FsNTtu7GX/oNcY&#10;fH5b4UHc3sG+/QdY/gQAAP//AwBQSwMEFAAGAAgAAAAhACnqShfeAAAACQEAAA8AAABkcnMvZG93&#10;bnJldi54bWxMj8FOwzAQRO9I/IO1SNyonUBLm8apChKqxAHRlg9w420SNV5HttuGv2c5wXE0o5k3&#10;5Wp0vbhgiJ0nDdlEgUCqve2o0fC1f3uYg4jJkDW9J9TwjRFW1e1NaQrrr7TFyy41gksoFkZDm9JQ&#10;SBnrFp2JEz8gsXf0wZnEMjTSBnPlctfLXKmZdKYjXmjNgK8t1qfd2WnYbD82n8fhPWTZbFqvrXrx&#10;uB+1vr8b10sQCcf0F4ZffEaHipkO/kw2il7D/OmZ0ZOGRQ6C/UX2yPrAwanKQVal/P+g+gEAAP//&#10;AwBQSwECLQAUAAYACAAAACEAtoM4kv4AAADhAQAAEwAAAAAAAAAAAAAAAAAAAAAAW0NvbnRlbnRf&#10;VHlwZXNdLnhtbFBLAQItABQABgAIAAAAIQA4/SH/1gAAAJQBAAALAAAAAAAAAAAAAAAAAC8BAABf&#10;cmVscy8ucmVsc1BLAQItABQABgAIAAAAIQCoo+OgLgIAAEkEAAAOAAAAAAAAAAAAAAAAAC4CAABk&#10;cnMvZTJvRG9jLnhtbFBLAQItABQABgAIAAAAIQAp6koX3gAAAAkBAAAPAAAAAAAAAAAAAAAAAIgE&#10;AABkcnMvZG93bnJldi54bWxQSwUGAAAAAAQABADzAAAAkwUAAAAA&#10;" strokecolor="#58b0e3"/>
              </w:pict>
            </mc:Fallback>
          </mc:AlternateContent>
        </w:r>
      </w:p>
      <w:p w:rsidR="00DF2CAB" w:rsidRDefault="00855DA5" w:rsidP="0012353B">
        <w:pPr>
          <w:pStyle w:val="Footer"/>
          <w:tabs>
            <w:tab w:val="clear" w:pos="9072"/>
            <w:tab w:val="right" w:pos="9498"/>
          </w:tabs>
          <w:ind w:right="-428"/>
        </w:pPr>
      </w:p>
    </w:sdtContent>
  </w:sdt>
  <w:p w:rsidR="00205DD8" w:rsidRDefault="00205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A5" w:rsidRDefault="00855DA5" w:rsidP="00334921">
      <w:pPr>
        <w:spacing w:after="0" w:line="240" w:lineRule="auto"/>
      </w:pPr>
      <w:r>
        <w:separator/>
      </w:r>
    </w:p>
  </w:footnote>
  <w:footnote w:type="continuationSeparator" w:id="0">
    <w:p w:rsidR="00855DA5" w:rsidRDefault="00855DA5" w:rsidP="00334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6"/>
      </w:rPr>
      <w:id w:val="370500524"/>
      <w:docPartObj>
        <w:docPartGallery w:val="Page Numbers (Top of Page)"/>
        <w:docPartUnique/>
      </w:docPartObj>
    </w:sdtPr>
    <w:sdtEndPr>
      <w:rPr>
        <w:b/>
      </w:rPr>
    </w:sdtEndPr>
    <w:sdtContent>
      <w:p w:rsidR="004E69E0" w:rsidRPr="00C477D7" w:rsidRDefault="004E69E0" w:rsidP="004E69E0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>
          <w:rPr>
            <w:b/>
            <w:noProof/>
            <w:color w:val="7F7F7F" w:themeColor="text1" w:themeTint="80"/>
            <w:sz w:val="16"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ACA5C41" wp14:editId="20421F07">
                  <wp:simplePos x="0" y="0"/>
                  <wp:positionH relativeFrom="column">
                    <wp:posOffset>3609340</wp:posOffset>
                  </wp:positionH>
                  <wp:positionV relativeFrom="paragraph">
                    <wp:posOffset>-83820</wp:posOffset>
                  </wp:positionV>
                  <wp:extent cx="419100" cy="895350"/>
                  <wp:effectExtent l="8890" t="11430" r="10160" b="7620"/>
                  <wp:wrapNone/>
                  <wp:docPr id="5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41910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8B0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98F35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284.2pt;margin-top:-6.6pt;width:33pt;height:70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CNLgIAAEkEAAAOAAAAZHJzL2Uyb0RvYy54bWysVE2P0zAQvSPxHyzf2yRtsrRR09WStHBY&#10;oNIuP8C1ncbCsS3b27RC/HfG7gdduCDExR1nZt68mXnu4v7QS7Tn1gmtKpyNU4y4opoJtavw1+f1&#10;aIaR80QxIrXiFT5yh++Xb98sBlPyie60ZNwiAFGuHEyFO+9NmSSOdrwnbqwNV+Bste2Jh6vdJcyS&#10;AdB7mUzS9C4ZtGXGasqdg6/NyYmXEb9tOfVf2tZxj2SFgZuPp43nNpzJckHKnSWmE/RMg/wDi54I&#10;BUWvUA3xBL1Y8QdUL6jVTrd+THWf6LYVlMceoJss/a2bp44YHnuB4ThzHZP7f7D0835jkWAVLjBS&#10;pIcVPbx4HSujPIxnMK6EqFptbGiQHtSTedT0m0NK1x1ROx6Dn48GcrOQkbxKCRdnoMh2+KQZxBDA&#10;j7M6tLZHrRTmY0gM4DAPdIjLOV6Xww8eUfiYZ/MshRVScM3mxbSIy0tIGWBCsrHOf+C6R8GosPOW&#10;iF3na60UyEDbUwmyf3Q+kPyVEJKVXgspoxqkQkOF58WkiJycloIFZwhzdretpUV7AnoqZu/T1TR2&#10;DJ7bMKtfFItgHSdsdbY9EfJkQ3GpAh40B3TO1kkw3+fpfDVbzfJRPrlbjfK0aUYP6zof3a2zd0Uz&#10;beq6yX4EalledoIxrgK7i3iz/O/EcX5GJ9ld5XsdQ/IaPc4LyF5+I+m457Dak0i2mh039rJ/0GsM&#10;Pr+t8CBu72Df/gMsfwIAAP//AwBQSwMEFAAGAAgAAAAhAO4f4M7gAAAACwEAAA8AAABkcnMvZG93&#10;bnJldi54bWxMj8FOwzAMhu9IvENkJG5b2m4rVWk6DSQ0iQNiGw+QNV5b0ThVkm3l7TEndrT96ff3&#10;V+vJDuKCPvSOFKTzBARS40xPrYKvw9usABGiJqMHR6jgBwOs6/u7SpfGXWmHl31sBYdQKLWCLsax&#10;lDI0HVod5m5E4tvJeasjj76Vxusrh9tBZkmSS6t74g+dHvG1w+Z7f7YKtruP7edpfPdpmq+ajUle&#10;HB4mpR4fps0ziIhT/IfhT5/VoWanozuTCWJQsMqLJaMKZukiA8FEvljy5sho9lSArCt526H+BQAA&#10;//8DAFBLAQItABQABgAIAAAAIQC2gziS/gAAAOEBAAATAAAAAAAAAAAAAAAAAAAAAABbQ29udGVu&#10;dF9UeXBlc10ueG1sUEsBAi0AFAAGAAgAAAAhADj9If/WAAAAlAEAAAsAAAAAAAAAAAAAAAAALwEA&#10;AF9yZWxzLy5yZWxzUEsBAi0AFAAGAAgAAAAhABuEMI0uAgAASQQAAA4AAAAAAAAAAAAAAAAALgIA&#10;AGRycy9lMm9Eb2MueG1sUEsBAi0AFAAGAAgAAAAhAO4f4M7gAAAACwEAAA8AAAAAAAAAAAAAAAAA&#10;iAQAAGRycy9kb3ducmV2LnhtbFBLBQYAAAAABAAEAPMAAACVBQAAAAA=&#10;" strokecolor="#58b0e3"/>
              </w:pict>
            </mc:Fallback>
          </mc:AlternateContent>
        </w:r>
        <w:r w:rsidRPr="00C477D7">
          <w:rPr>
            <w:b/>
            <w:noProof/>
            <w:color w:val="7F7F7F" w:themeColor="text1" w:themeTint="80"/>
            <w:sz w:val="16"/>
            <w:lang w:val="bg-BG" w:eastAsia="bg-BG"/>
          </w:rPr>
          <w:drawing>
            <wp:anchor distT="0" distB="0" distL="114300" distR="114300" simplePos="0" relativeHeight="251671552" behindDoc="0" locked="0" layoutInCell="1" allowOverlap="1" wp14:anchorId="23AD1B39" wp14:editId="42FA1EB7">
              <wp:simplePos x="0" y="0"/>
              <wp:positionH relativeFrom="column">
                <wp:posOffset>-534670</wp:posOffset>
              </wp:positionH>
              <wp:positionV relativeFrom="paragraph">
                <wp:posOffset>46990</wp:posOffset>
              </wp:positionV>
              <wp:extent cx="2353310" cy="580390"/>
              <wp:effectExtent l="0" t="0" r="0" b="0"/>
              <wp:wrapNone/>
              <wp:docPr id="23" name="Picture 23" descr="C:\Users\igoranov\Desktop\l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igoranov\Desktop\lll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3310" cy="5803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477D7">
          <w:rPr>
            <w:b/>
            <w:color w:val="7F7F7F" w:themeColor="text1" w:themeTint="80"/>
            <w:sz w:val="16"/>
          </w:rPr>
          <w:t xml:space="preserve">1504 </w:t>
        </w:r>
        <w:proofErr w:type="spellStart"/>
        <w:r w:rsidRPr="00C477D7">
          <w:rPr>
            <w:b/>
            <w:color w:val="7F7F7F" w:themeColor="text1" w:themeTint="80"/>
            <w:sz w:val="16"/>
          </w:rPr>
          <w:t>София</w:t>
        </w:r>
        <w:proofErr w:type="spellEnd"/>
        <w:r w:rsidRPr="00C477D7">
          <w:rPr>
            <w:b/>
            <w:color w:val="7F7F7F" w:themeColor="text1" w:themeTint="80"/>
            <w:sz w:val="16"/>
          </w:rPr>
          <w:t xml:space="preserve">, </w:t>
        </w:r>
        <w:proofErr w:type="spellStart"/>
        <w:r w:rsidRPr="00C477D7">
          <w:rPr>
            <w:b/>
            <w:color w:val="7F7F7F" w:themeColor="text1" w:themeTint="80"/>
            <w:sz w:val="16"/>
          </w:rPr>
          <w:t>ул</w:t>
        </w:r>
        <w:proofErr w:type="spellEnd"/>
        <w:r w:rsidRPr="00C477D7">
          <w:rPr>
            <w:b/>
            <w:color w:val="7F7F7F" w:themeColor="text1" w:themeTint="80"/>
            <w:sz w:val="16"/>
          </w:rPr>
          <w:t xml:space="preserve">. </w:t>
        </w:r>
        <w:proofErr w:type="spellStart"/>
        <w:r w:rsidRPr="00C477D7">
          <w:rPr>
            <w:b/>
            <w:color w:val="7F7F7F" w:themeColor="text1" w:themeTint="80"/>
            <w:sz w:val="16"/>
          </w:rPr>
          <w:t>Панайот</w:t>
        </w:r>
        <w:proofErr w:type="spellEnd"/>
        <w:r w:rsidRPr="00C477D7">
          <w:rPr>
            <w:b/>
            <w:color w:val="7F7F7F" w:themeColor="text1" w:themeTint="80"/>
            <w:sz w:val="16"/>
          </w:rPr>
          <w:t xml:space="preserve"> </w:t>
        </w:r>
        <w:proofErr w:type="spellStart"/>
        <w:r w:rsidRPr="00C477D7">
          <w:rPr>
            <w:b/>
            <w:color w:val="7F7F7F" w:themeColor="text1" w:themeTint="80"/>
            <w:sz w:val="16"/>
          </w:rPr>
          <w:t>Волов</w:t>
        </w:r>
        <w:proofErr w:type="spellEnd"/>
        <w:r w:rsidRPr="00C477D7">
          <w:rPr>
            <w:b/>
            <w:color w:val="7F7F7F" w:themeColor="text1" w:themeTint="80"/>
            <w:sz w:val="16"/>
          </w:rPr>
          <w:t xml:space="preserve"> № 2</w:t>
        </w:r>
      </w:p>
      <w:p w:rsidR="004E69E0" w:rsidRPr="00C477D7" w:rsidRDefault="004E69E0" w:rsidP="004E69E0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proofErr w:type="spellStart"/>
        <w:proofErr w:type="gramStart"/>
        <w:r w:rsidRPr="00C477D7">
          <w:rPr>
            <w:b/>
            <w:color w:val="7F7F7F" w:themeColor="text1" w:themeTint="80"/>
            <w:sz w:val="16"/>
          </w:rPr>
          <w:t>Тел</w:t>
        </w:r>
        <w:proofErr w:type="spellEnd"/>
        <w:r w:rsidRPr="00C477D7">
          <w:rPr>
            <w:b/>
            <w:color w:val="7F7F7F" w:themeColor="text1" w:themeTint="80"/>
            <w:sz w:val="16"/>
          </w:rPr>
          <w:t>.:</w:t>
        </w:r>
        <w:proofErr w:type="gramEnd"/>
        <w:r w:rsidRPr="00C477D7">
          <w:rPr>
            <w:b/>
            <w:color w:val="7F7F7F" w:themeColor="text1" w:themeTint="80"/>
            <w:sz w:val="16"/>
          </w:rPr>
          <w:t xml:space="preserve"> 02/ 9420 340, </w:t>
        </w:r>
        <w:proofErr w:type="spellStart"/>
        <w:r w:rsidRPr="00C477D7">
          <w:rPr>
            <w:b/>
            <w:color w:val="7F7F7F" w:themeColor="text1" w:themeTint="80"/>
            <w:sz w:val="16"/>
          </w:rPr>
          <w:t>факс</w:t>
        </w:r>
        <w:proofErr w:type="spellEnd"/>
        <w:r w:rsidRPr="00C477D7">
          <w:rPr>
            <w:b/>
            <w:color w:val="7F7F7F" w:themeColor="text1" w:themeTint="80"/>
            <w:sz w:val="16"/>
          </w:rPr>
          <w:t>: 02/ 943 66 07</w:t>
        </w:r>
      </w:p>
      <w:p w:rsidR="004E69E0" w:rsidRPr="00C477D7" w:rsidRDefault="004E69E0" w:rsidP="004E69E0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 w:rsidRPr="00C477D7">
          <w:rPr>
            <w:b/>
            <w:color w:val="7F7F7F" w:themeColor="text1" w:themeTint="80"/>
            <w:sz w:val="16"/>
          </w:rPr>
          <w:t>office@is-bg.net        www.is-bg.net</w:t>
        </w:r>
      </w:p>
      <w:p w:rsidR="004E69E0" w:rsidRDefault="004E69E0" w:rsidP="004E69E0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 w:rsidRPr="00C477D7">
          <w:rPr>
            <w:b/>
            <w:color w:val="7F7F7F" w:themeColor="text1" w:themeTint="80"/>
            <w:sz w:val="16"/>
          </w:rPr>
          <w:t>ЕИК: 831641791</w:t>
        </w:r>
      </w:p>
      <w:p w:rsidR="004E69E0" w:rsidRDefault="00855DA5" w:rsidP="004E69E0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</w:p>
    </w:sdtContent>
  </w:sdt>
  <w:p w:rsidR="004E69E0" w:rsidRDefault="004E69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 w:val="16"/>
      </w:rPr>
      <w:id w:val="912982166"/>
      <w:docPartObj>
        <w:docPartGallery w:val="Page Numbers (Top of Page)"/>
        <w:docPartUnique/>
      </w:docPartObj>
    </w:sdtPr>
    <w:sdtEndPr>
      <w:rPr>
        <w:b/>
      </w:rPr>
    </w:sdtEndPr>
    <w:sdtContent>
      <w:p w:rsidR="00DF2CAB" w:rsidRPr="00C477D7" w:rsidRDefault="000F4FD4" w:rsidP="00DF2CAB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>
          <w:rPr>
            <w:b/>
            <w:noProof/>
            <w:color w:val="7F7F7F" w:themeColor="text1" w:themeTint="80"/>
            <w:sz w:val="16"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4DA84F8" wp14:editId="1E2BD76B">
                  <wp:simplePos x="0" y="0"/>
                  <wp:positionH relativeFrom="column">
                    <wp:posOffset>3609340</wp:posOffset>
                  </wp:positionH>
                  <wp:positionV relativeFrom="paragraph">
                    <wp:posOffset>-83820</wp:posOffset>
                  </wp:positionV>
                  <wp:extent cx="419100" cy="895350"/>
                  <wp:effectExtent l="8890" t="11430" r="10160" b="7620"/>
                  <wp:wrapNone/>
                  <wp:docPr id="3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419100" cy="895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8B0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B9086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6" type="#_x0000_t32" style="position:absolute;margin-left:284.2pt;margin-top:-6.6pt;width:33pt;height:70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d7ALgIAAEkEAAAOAAAAZHJzL2Uyb0RvYy54bWysVE2P2jAQvVfqf7B8hyQQKESE1TaB9rBt&#10;kXb7A4ztEKuObdmGgKr+947NR9n2UlW9mHFm5s2bmWcWD8dOogO3TmhV4myYYsQV1UyoXYm/vqwH&#10;M4ycJ4oRqRUv8Yk7/LB8+2bRm4KPdKsl4xYBiHJFb0rcem+KJHG05R1xQ224AmejbUc8XO0uYZb0&#10;gN7JZJSm06TXlhmrKXcOvtZnJ15G/Kbh1H9pGsc9kiUGbj6eNp7bcCbLBSl2lphW0AsN8g8sOiIU&#10;FL1B1cQTtLfiD6hOUKudbvyQ6i7RTSMojz1AN1n6WzfPLTE89gLDceY2Jvf/YOnnw8YiwUo8xkiR&#10;Dlb0uPc6VkZ5GE9vXAFRldrY0CA9qmfzpOk3h5SuWqJ2PAa/nAzkZiEjeZUSLs5AkW3/STOIIYAf&#10;Z3VsbIcaKczHkBjAYR7oGJdzui2HHz2i8DHP5lkKK6Tgms0n40lcXkKKABOSjXX+A9cdCkaJnbdE&#10;7FpfaaVABtqeS5DDk/OB5K+EkKz0WkgZ1SAV6ks8n4wmkZPTUrDgDGHO7raVtOhAQE+T2ft0NY4d&#10;g+c+zOq9YhGs5YStLrYnQp5tKC5VwIPmgM7FOgvm+zydr2arWT7IR9PVIE/revC4rvLBdJ29m9Tj&#10;uqrq7EegluVFKxjjKrC7ijfL/04cl2d0lt1NvrcxJK/R47yA7PU3ko57Dqs9i2Sr2Wljr/sHvcbg&#10;y9sKD+L+Dvb9P8DyJwAAAP//AwBQSwMEFAAGAAgAAAAhAO4f4M7gAAAACwEAAA8AAABkcnMvZG93&#10;bnJldi54bWxMj8FOwzAMhu9IvENkJG5b2m4rVWk6DSQ0iQNiGw+QNV5b0ThVkm3l7TEndrT96ff3&#10;V+vJDuKCPvSOFKTzBARS40xPrYKvw9usABGiJqMHR6jgBwOs6/u7SpfGXWmHl31sBYdQKLWCLsax&#10;lDI0HVod5m5E4tvJeasjj76Vxusrh9tBZkmSS6t74g+dHvG1w+Z7f7YKtruP7edpfPdpmq+ajUle&#10;HB4mpR4fps0ziIhT/IfhT5/VoWanozuTCWJQsMqLJaMKZukiA8FEvljy5sho9lSArCt526H+BQAA&#10;//8DAFBLAQItABQABgAIAAAAIQC2gziS/gAAAOEBAAATAAAAAAAAAAAAAAAAAAAAAABbQ29udGVu&#10;dF9UeXBlc10ueG1sUEsBAi0AFAAGAAgAAAAhADj9If/WAAAAlAEAAAsAAAAAAAAAAAAAAAAALwEA&#10;AF9yZWxzLy5yZWxzUEsBAi0AFAAGAAgAAAAhAHc13sAuAgAASQQAAA4AAAAAAAAAAAAAAAAALgIA&#10;AGRycy9lMm9Eb2MueG1sUEsBAi0AFAAGAAgAAAAhAO4f4M7gAAAACwEAAA8AAAAAAAAAAAAAAAAA&#10;iAQAAGRycy9kb3ducmV2LnhtbFBLBQYAAAAABAAEAPMAAACVBQAAAAA=&#10;" strokecolor="#58b0e3"/>
              </w:pict>
            </mc:Fallback>
          </mc:AlternateContent>
        </w:r>
        <w:r w:rsidR="00DF2CAB" w:rsidRPr="00C477D7">
          <w:rPr>
            <w:b/>
            <w:noProof/>
            <w:color w:val="7F7F7F" w:themeColor="text1" w:themeTint="80"/>
            <w:sz w:val="16"/>
            <w:lang w:val="bg-BG" w:eastAsia="bg-BG"/>
          </w:rPr>
          <w:drawing>
            <wp:anchor distT="0" distB="0" distL="114300" distR="114300" simplePos="0" relativeHeight="251666432" behindDoc="0" locked="0" layoutInCell="1" allowOverlap="1" wp14:anchorId="12F3D5A0" wp14:editId="2F5725FB">
              <wp:simplePos x="0" y="0"/>
              <wp:positionH relativeFrom="column">
                <wp:posOffset>-534670</wp:posOffset>
              </wp:positionH>
              <wp:positionV relativeFrom="paragraph">
                <wp:posOffset>46990</wp:posOffset>
              </wp:positionV>
              <wp:extent cx="2353310" cy="580390"/>
              <wp:effectExtent l="0" t="0" r="0" b="0"/>
              <wp:wrapNone/>
              <wp:docPr id="24" name="Picture 24" descr="C:\Users\igoranov\Desktop\ll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igoranov\Desktop\lll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3310" cy="5803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DF2CAB" w:rsidRPr="00C477D7">
          <w:rPr>
            <w:b/>
            <w:color w:val="7F7F7F" w:themeColor="text1" w:themeTint="80"/>
            <w:sz w:val="16"/>
          </w:rPr>
          <w:t xml:space="preserve">1504 </w:t>
        </w:r>
        <w:proofErr w:type="spellStart"/>
        <w:r w:rsidR="00DF2CAB" w:rsidRPr="00C477D7">
          <w:rPr>
            <w:b/>
            <w:color w:val="7F7F7F" w:themeColor="text1" w:themeTint="80"/>
            <w:sz w:val="16"/>
          </w:rPr>
          <w:t>София</w:t>
        </w:r>
        <w:proofErr w:type="spellEnd"/>
        <w:r w:rsidR="00DF2CAB" w:rsidRPr="00C477D7">
          <w:rPr>
            <w:b/>
            <w:color w:val="7F7F7F" w:themeColor="text1" w:themeTint="80"/>
            <w:sz w:val="16"/>
          </w:rPr>
          <w:t xml:space="preserve">, </w:t>
        </w:r>
        <w:proofErr w:type="spellStart"/>
        <w:r w:rsidR="00DF2CAB" w:rsidRPr="00C477D7">
          <w:rPr>
            <w:b/>
            <w:color w:val="7F7F7F" w:themeColor="text1" w:themeTint="80"/>
            <w:sz w:val="16"/>
          </w:rPr>
          <w:t>ул</w:t>
        </w:r>
        <w:proofErr w:type="spellEnd"/>
        <w:r w:rsidR="00DF2CAB" w:rsidRPr="00C477D7">
          <w:rPr>
            <w:b/>
            <w:color w:val="7F7F7F" w:themeColor="text1" w:themeTint="80"/>
            <w:sz w:val="16"/>
          </w:rPr>
          <w:t xml:space="preserve">. </w:t>
        </w:r>
        <w:proofErr w:type="spellStart"/>
        <w:r w:rsidR="00DF2CAB" w:rsidRPr="00C477D7">
          <w:rPr>
            <w:b/>
            <w:color w:val="7F7F7F" w:themeColor="text1" w:themeTint="80"/>
            <w:sz w:val="16"/>
          </w:rPr>
          <w:t>Панайот</w:t>
        </w:r>
        <w:proofErr w:type="spellEnd"/>
        <w:r w:rsidR="00DF2CAB" w:rsidRPr="00C477D7">
          <w:rPr>
            <w:b/>
            <w:color w:val="7F7F7F" w:themeColor="text1" w:themeTint="80"/>
            <w:sz w:val="16"/>
          </w:rPr>
          <w:t xml:space="preserve"> </w:t>
        </w:r>
        <w:proofErr w:type="spellStart"/>
        <w:r w:rsidR="00DF2CAB" w:rsidRPr="00C477D7">
          <w:rPr>
            <w:b/>
            <w:color w:val="7F7F7F" w:themeColor="text1" w:themeTint="80"/>
            <w:sz w:val="16"/>
          </w:rPr>
          <w:t>Волов</w:t>
        </w:r>
        <w:proofErr w:type="spellEnd"/>
        <w:r w:rsidR="00DF2CAB" w:rsidRPr="00C477D7">
          <w:rPr>
            <w:b/>
            <w:color w:val="7F7F7F" w:themeColor="text1" w:themeTint="80"/>
            <w:sz w:val="16"/>
          </w:rPr>
          <w:t xml:space="preserve"> № 2</w:t>
        </w:r>
      </w:p>
      <w:p w:rsidR="00DF2CAB" w:rsidRPr="00C477D7" w:rsidRDefault="00DF2CAB" w:rsidP="00DF2CAB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proofErr w:type="spellStart"/>
        <w:proofErr w:type="gramStart"/>
        <w:r w:rsidRPr="00C477D7">
          <w:rPr>
            <w:b/>
            <w:color w:val="7F7F7F" w:themeColor="text1" w:themeTint="80"/>
            <w:sz w:val="16"/>
          </w:rPr>
          <w:t>Тел</w:t>
        </w:r>
        <w:proofErr w:type="spellEnd"/>
        <w:r w:rsidRPr="00C477D7">
          <w:rPr>
            <w:b/>
            <w:color w:val="7F7F7F" w:themeColor="text1" w:themeTint="80"/>
            <w:sz w:val="16"/>
          </w:rPr>
          <w:t>.:</w:t>
        </w:r>
        <w:proofErr w:type="gramEnd"/>
        <w:r w:rsidRPr="00C477D7">
          <w:rPr>
            <w:b/>
            <w:color w:val="7F7F7F" w:themeColor="text1" w:themeTint="80"/>
            <w:sz w:val="16"/>
          </w:rPr>
          <w:t xml:space="preserve"> 02/ 9420 340, </w:t>
        </w:r>
        <w:proofErr w:type="spellStart"/>
        <w:r w:rsidRPr="00C477D7">
          <w:rPr>
            <w:b/>
            <w:color w:val="7F7F7F" w:themeColor="text1" w:themeTint="80"/>
            <w:sz w:val="16"/>
          </w:rPr>
          <w:t>факс</w:t>
        </w:r>
        <w:proofErr w:type="spellEnd"/>
        <w:r w:rsidRPr="00C477D7">
          <w:rPr>
            <w:b/>
            <w:color w:val="7F7F7F" w:themeColor="text1" w:themeTint="80"/>
            <w:sz w:val="16"/>
          </w:rPr>
          <w:t>: 02/ 943 66 07</w:t>
        </w:r>
      </w:p>
      <w:p w:rsidR="00DF2CAB" w:rsidRPr="00C477D7" w:rsidRDefault="00DF2CAB" w:rsidP="00DF2CAB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 w:rsidRPr="00C477D7">
          <w:rPr>
            <w:b/>
            <w:color w:val="7F7F7F" w:themeColor="text1" w:themeTint="80"/>
            <w:sz w:val="16"/>
          </w:rPr>
          <w:t>office@is-bg.net        www.is-bg.net</w:t>
        </w:r>
      </w:p>
      <w:p w:rsidR="00DF2CAB" w:rsidRDefault="00DF2CAB" w:rsidP="00DF2CAB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  <w:r w:rsidRPr="00C477D7">
          <w:rPr>
            <w:b/>
            <w:color w:val="7F7F7F" w:themeColor="text1" w:themeTint="80"/>
            <w:sz w:val="16"/>
          </w:rPr>
          <w:t>ЕИК: 831641791</w:t>
        </w:r>
      </w:p>
      <w:p w:rsidR="00DF2CAB" w:rsidRDefault="00855DA5" w:rsidP="00DF2CAB">
        <w:pPr>
          <w:pStyle w:val="Header"/>
          <w:tabs>
            <w:tab w:val="clear" w:pos="9072"/>
            <w:tab w:val="right" w:pos="9923"/>
          </w:tabs>
          <w:ind w:left="6663" w:right="-853"/>
          <w:rPr>
            <w:b/>
            <w:color w:val="7F7F7F" w:themeColor="text1" w:themeTint="80"/>
            <w:sz w:val="16"/>
          </w:rPr>
        </w:pPr>
      </w:p>
    </w:sdtContent>
  </w:sdt>
  <w:p w:rsidR="00DF2CAB" w:rsidRPr="00C477D7" w:rsidRDefault="00DF2CAB" w:rsidP="00DF2CAB">
    <w:pPr>
      <w:pStyle w:val="Header"/>
      <w:tabs>
        <w:tab w:val="clear" w:pos="9072"/>
        <w:tab w:val="right" w:pos="9923"/>
      </w:tabs>
      <w:ind w:left="6663" w:right="-853"/>
      <w:rPr>
        <w:color w:val="7F7F7F" w:themeColor="text1" w:themeTint="80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1C5"/>
    <w:multiLevelType w:val="hybridMultilevel"/>
    <w:tmpl w:val="B4DE5D38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12A61"/>
    <w:multiLevelType w:val="hybridMultilevel"/>
    <w:tmpl w:val="E81ACC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B00C2"/>
    <w:multiLevelType w:val="hybridMultilevel"/>
    <w:tmpl w:val="9656D3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04FC9"/>
    <w:multiLevelType w:val="hybridMultilevel"/>
    <w:tmpl w:val="236C4434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F4F1591"/>
    <w:multiLevelType w:val="hybridMultilevel"/>
    <w:tmpl w:val="045C95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A4108"/>
    <w:multiLevelType w:val="hybridMultilevel"/>
    <w:tmpl w:val="D9B6CDEA"/>
    <w:lvl w:ilvl="0" w:tplc="337EBE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D92EDF"/>
    <w:multiLevelType w:val="hybridMultilevel"/>
    <w:tmpl w:val="D66A416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2322DB"/>
    <w:multiLevelType w:val="hybridMultilevel"/>
    <w:tmpl w:val="D6B8E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D17F7"/>
    <w:multiLevelType w:val="hybridMultilevel"/>
    <w:tmpl w:val="B2ACF0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A5468"/>
    <w:multiLevelType w:val="hybridMultilevel"/>
    <w:tmpl w:val="DE32A8F4"/>
    <w:lvl w:ilvl="0" w:tplc="98660B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C9F2FCD"/>
    <w:multiLevelType w:val="hybridMultilevel"/>
    <w:tmpl w:val="21A4D1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73100"/>
    <w:multiLevelType w:val="hybridMultilevel"/>
    <w:tmpl w:val="D66A416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8E0F23"/>
    <w:multiLevelType w:val="hybridMultilevel"/>
    <w:tmpl w:val="D9B6CDEA"/>
    <w:lvl w:ilvl="0" w:tplc="337EBE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B2905CB"/>
    <w:multiLevelType w:val="hybridMultilevel"/>
    <w:tmpl w:val="E81ACC7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76863"/>
    <w:multiLevelType w:val="hybridMultilevel"/>
    <w:tmpl w:val="C7D4B5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B1DD3"/>
    <w:multiLevelType w:val="hybridMultilevel"/>
    <w:tmpl w:val="D66A4166"/>
    <w:lvl w:ilvl="0" w:tplc="04020019">
      <w:start w:val="1"/>
      <w:numFmt w:val="lowerLetter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E07C35"/>
    <w:multiLevelType w:val="hybridMultilevel"/>
    <w:tmpl w:val="78BAEF8A"/>
    <w:lvl w:ilvl="0" w:tplc="93CA1D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0303F2D"/>
    <w:multiLevelType w:val="hybridMultilevel"/>
    <w:tmpl w:val="D23E49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D341D"/>
    <w:multiLevelType w:val="hybridMultilevel"/>
    <w:tmpl w:val="17C4260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17"/>
  </w:num>
  <w:num w:numId="5">
    <w:abstractNumId w:val="2"/>
  </w:num>
  <w:num w:numId="6">
    <w:abstractNumId w:val="16"/>
  </w:num>
  <w:num w:numId="7">
    <w:abstractNumId w:val="3"/>
  </w:num>
  <w:num w:numId="8">
    <w:abstractNumId w:val="18"/>
  </w:num>
  <w:num w:numId="9">
    <w:abstractNumId w:val="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0"/>
  </w:num>
  <w:num w:numId="18">
    <w:abstractNumId w:val="5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58b0e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21"/>
    <w:rsid w:val="00001DDA"/>
    <w:rsid w:val="000029EA"/>
    <w:rsid w:val="000058F3"/>
    <w:rsid w:val="00011BCA"/>
    <w:rsid w:val="00011CAA"/>
    <w:rsid w:val="000150CF"/>
    <w:rsid w:val="00022185"/>
    <w:rsid w:val="000608A0"/>
    <w:rsid w:val="00065F99"/>
    <w:rsid w:val="00091890"/>
    <w:rsid w:val="0009604C"/>
    <w:rsid w:val="000B2B87"/>
    <w:rsid w:val="000F4FD4"/>
    <w:rsid w:val="0012353B"/>
    <w:rsid w:val="00127D18"/>
    <w:rsid w:val="00134383"/>
    <w:rsid w:val="00147716"/>
    <w:rsid w:val="001502DB"/>
    <w:rsid w:val="001507F6"/>
    <w:rsid w:val="0015704B"/>
    <w:rsid w:val="00157158"/>
    <w:rsid w:val="00163B49"/>
    <w:rsid w:val="001B2081"/>
    <w:rsid w:val="001C07D0"/>
    <w:rsid w:val="001D06C2"/>
    <w:rsid w:val="00205DD8"/>
    <w:rsid w:val="0024226F"/>
    <w:rsid w:val="00267A4A"/>
    <w:rsid w:val="002A4E4F"/>
    <w:rsid w:val="002A56E7"/>
    <w:rsid w:val="002B12FD"/>
    <w:rsid w:val="002C7BAA"/>
    <w:rsid w:val="002F2A01"/>
    <w:rsid w:val="002F35EC"/>
    <w:rsid w:val="003220BE"/>
    <w:rsid w:val="003225DB"/>
    <w:rsid w:val="00334921"/>
    <w:rsid w:val="0036081C"/>
    <w:rsid w:val="00376419"/>
    <w:rsid w:val="003776FE"/>
    <w:rsid w:val="0038718C"/>
    <w:rsid w:val="003974D8"/>
    <w:rsid w:val="003B7FA9"/>
    <w:rsid w:val="003C3152"/>
    <w:rsid w:val="003F4FA2"/>
    <w:rsid w:val="003F660F"/>
    <w:rsid w:val="00406B40"/>
    <w:rsid w:val="00412E75"/>
    <w:rsid w:val="00435DAF"/>
    <w:rsid w:val="00442AD1"/>
    <w:rsid w:val="00447368"/>
    <w:rsid w:val="0048573D"/>
    <w:rsid w:val="00487278"/>
    <w:rsid w:val="004B6CFB"/>
    <w:rsid w:val="004D5598"/>
    <w:rsid w:val="004E69E0"/>
    <w:rsid w:val="004F00E8"/>
    <w:rsid w:val="004F2EB3"/>
    <w:rsid w:val="005129FA"/>
    <w:rsid w:val="00537A4B"/>
    <w:rsid w:val="005513C7"/>
    <w:rsid w:val="00552866"/>
    <w:rsid w:val="00563A9A"/>
    <w:rsid w:val="00571E53"/>
    <w:rsid w:val="005F08F2"/>
    <w:rsid w:val="005F090C"/>
    <w:rsid w:val="005F380B"/>
    <w:rsid w:val="005F79F9"/>
    <w:rsid w:val="00616783"/>
    <w:rsid w:val="006439E7"/>
    <w:rsid w:val="00650D0A"/>
    <w:rsid w:val="0066305B"/>
    <w:rsid w:val="00686569"/>
    <w:rsid w:val="00695C80"/>
    <w:rsid w:val="006F5826"/>
    <w:rsid w:val="00721C46"/>
    <w:rsid w:val="007460E4"/>
    <w:rsid w:val="00751CF2"/>
    <w:rsid w:val="007F403A"/>
    <w:rsid w:val="00813B52"/>
    <w:rsid w:val="00840286"/>
    <w:rsid w:val="0084206C"/>
    <w:rsid w:val="00855408"/>
    <w:rsid w:val="00855BB9"/>
    <w:rsid w:val="00855DA5"/>
    <w:rsid w:val="00874CBC"/>
    <w:rsid w:val="00890563"/>
    <w:rsid w:val="008A6196"/>
    <w:rsid w:val="008B7871"/>
    <w:rsid w:val="008E1358"/>
    <w:rsid w:val="008F08F6"/>
    <w:rsid w:val="008F452F"/>
    <w:rsid w:val="009407B6"/>
    <w:rsid w:val="00947809"/>
    <w:rsid w:val="00966806"/>
    <w:rsid w:val="00991F48"/>
    <w:rsid w:val="00A105D3"/>
    <w:rsid w:val="00A271D3"/>
    <w:rsid w:val="00A53EE3"/>
    <w:rsid w:val="00A67CBF"/>
    <w:rsid w:val="00A82A38"/>
    <w:rsid w:val="00A837C1"/>
    <w:rsid w:val="00AA2C87"/>
    <w:rsid w:val="00AA663B"/>
    <w:rsid w:val="00AC1B7E"/>
    <w:rsid w:val="00AC4E1B"/>
    <w:rsid w:val="00B1305B"/>
    <w:rsid w:val="00B203C2"/>
    <w:rsid w:val="00B317F0"/>
    <w:rsid w:val="00B440A8"/>
    <w:rsid w:val="00B6748B"/>
    <w:rsid w:val="00B75998"/>
    <w:rsid w:val="00B93017"/>
    <w:rsid w:val="00B94343"/>
    <w:rsid w:val="00B94497"/>
    <w:rsid w:val="00BC45C9"/>
    <w:rsid w:val="00BC673A"/>
    <w:rsid w:val="00BE0B09"/>
    <w:rsid w:val="00BF46B6"/>
    <w:rsid w:val="00C05D46"/>
    <w:rsid w:val="00C27929"/>
    <w:rsid w:val="00C441E8"/>
    <w:rsid w:val="00C477D7"/>
    <w:rsid w:val="00C76722"/>
    <w:rsid w:val="00C911FD"/>
    <w:rsid w:val="00CB798E"/>
    <w:rsid w:val="00CD7C14"/>
    <w:rsid w:val="00D16D85"/>
    <w:rsid w:val="00D341B2"/>
    <w:rsid w:val="00D36917"/>
    <w:rsid w:val="00D515DB"/>
    <w:rsid w:val="00D53569"/>
    <w:rsid w:val="00D54EBA"/>
    <w:rsid w:val="00D753E4"/>
    <w:rsid w:val="00D878DB"/>
    <w:rsid w:val="00D91FBB"/>
    <w:rsid w:val="00DE3B2A"/>
    <w:rsid w:val="00DF2CAB"/>
    <w:rsid w:val="00DF39BA"/>
    <w:rsid w:val="00DF6B17"/>
    <w:rsid w:val="00E06ADB"/>
    <w:rsid w:val="00E56BBF"/>
    <w:rsid w:val="00E7073F"/>
    <w:rsid w:val="00E70B33"/>
    <w:rsid w:val="00E8206B"/>
    <w:rsid w:val="00E94F10"/>
    <w:rsid w:val="00E965D4"/>
    <w:rsid w:val="00EA2217"/>
    <w:rsid w:val="00EC1A41"/>
    <w:rsid w:val="00ED072F"/>
    <w:rsid w:val="00ED15C6"/>
    <w:rsid w:val="00F24419"/>
    <w:rsid w:val="00F6518B"/>
    <w:rsid w:val="00F66284"/>
    <w:rsid w:val="00F71086"/>
    <w:rsid w:val="00F824ED"/>
    <w:rsid w:val="00FA2B1B"/>
    <w:rsid w:val="00FA3EBA"/>
    <w:rsid w:val="00FD3DFD"/>
    <w:rsid w:val="00FF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8b0e3"/>
    </o:shapedefaults>
    <o:shapelayout v:ext="edit">
      <o:idmap v:ext="edit" data="1"/>
    </o:shapelayout>
  </w:shapeDefaults>
  <w:decimalSymbol w:val=","/>
  <w:listSeparator w:val=";"/>
  <w15:docId w15:val="{0A5058DA-7371-4D0C-BADF-E1700AFE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B17"/>
  </w:style>
  <w:style w:type="paragraph" w:styleId="Heading1">
    <w:name w:val="heading 1"/>
    <w:basedOn w:val="Normal"/>
    <w:next w:val="Normal"/>
    <w:link w:val="Heading1Char"/>
    <w:uiPriority w:val="9"/>
    <w:qFormat/>
    <w:rsid w:val="005F380B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inorHAnsi"/>
      <w:b/>
      <w:bCs/>
      <w:smallCaps/>
      <w:color w:val="4F81BD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7D7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B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21"/>
  </w:style>
  <w:style w:type="paragraph" w:styleId="Footer">
    <w:name w:val="footer"/>
    <w:basedOn w:val="Normal"/>
    <w:link w:val="FooterChar"/>
    <w:uiPriority w:val="99"/>
    <w:unhideWhenUsed/>
    <w:rsid w:val="003349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21"/>
  </w:style>
  <w:style w:type="paragraph" w:styleId="BalloonText">
    <w:name w:val="Balloon Text"/>
    <w:basedOn w:val="Normal"/>
    <w:link w:val="BalloonTextChar"/>
    <w:uiPriority w:val="99"/>
    <w:semiHidden/>
    <w:unhideWhenUsed/>
    <w:rsid w:val="0033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9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49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380B"/>
    <w:rPr>
      <w:rFonts w:asciiTheme="majorHAnsi" w:eastAsiaTheme="majorEastAsia" w:hAnsiTheme="majorHAnsi" w:cstheme="minorHAnsi"/>
      <w:b/>
      <w:bCs/>
      <w:smallCaps/>
      <w:color w:val="4F81BD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77D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477D7"/>
    <w:pPr>
      <w:ind w:left="720"/>
      <w:contextualSpacing/>
    </w:pPr>
  </w:style>
  <w:style w:type="table" w:styleId="TableGrid">
    <w:name w:val="Table Grid"/>
    <w:basedOn w:val="TableNormal"/>
    <w:uiPriority w:val="59"/>
    <w:rsid w:val="0068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56B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9407B6"/>
    <w:rPr>
      <w:sz w:val="16"/>
      <w:szCs w:val="16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semiHidden/>
    <w:unhideWhenUsed/>
    <w:rsid w:val="009407B6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9407B6"/>
    <w:rPr>
      <w:sz w:val="20"/>
      <w:szCs w:val="20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9407B6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940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7158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1571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9101B4-DA35-4DD0-A994-452E3175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Илия П. Горанов</dc:creator>
  <cp:lastModifiedBy>Георги Андреев</cp:lastModifiedBy>
  <cp:revision>4</cp:revision>
  <cp:lastPrinted>2021-01-21T15:48:00Z</cp:lastPrinted>
  <dcterms:created xsi:type="dcterms:W3CDTF">2021-03-31T11:43:00Z</dcterms:created>
  <dcterms:modified xsi:type="dcterms:W3CDTF">2021-03-31T11:45:00Z</dcterms:modified>
</cp:coreProperties>
</file>