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geçme toleransları</w:t>
        <w:br/>
        <w:t>ve program kontrol raporu</w:t>
      </w:r>
    </w:p>
    <w:p>
      <w:r>
        <w:rPr>
          <w:rFonts w:ascii="Calibri" w:hAnsi="Calibri"/>
          <w:b w:val="0"/>
          <w:color w:val="243041"/>
          <w:sz w:val="22"/>
        </w:rPr>
        <w:t>09.10.2026 13:35:13 — Türkiye saati (UTC+3)</w:t>
      </w:r>
    </w:p>
    <w:p>
      <w:r>
        <w:rPr>
          <w:rFonts w:ascii="Calibri" w:hAnsi="Calibri"/>
          <w:b/>
          <w:color w:val="243041"/>
          <w:sz w:val="22"/>
        </w:rPr>
        <w:t>216 test geçti; 0 başarısız, 0 atlanan. 58 gerçek Tk GUI testi.</w:t>
      </w:r>
    </w:p>
    <w:p>
      <w:r>
        <w:rPr>
          <w:rFonts w:ascii="Calibri" w:hAnsi="Calibri"/>
          <w:b w:val="0"/>
          <w:color w:val="243041"/>
          <w:sz w:val="22"/>
        </w:rPr>
        <w:t>ISO GEÇMELERİ: nominal çap, 11 delik / 18 mil sınıfı, boşluk/sıkılık limitleri, şematik kesit, gerçek sapma bölgeleri, üç örnek ölçü, mm/µm, arama, CSV ve pano. Açık/koyu tema ile seçimlerin kalıcılığı sınandı.</w:t>
      </w:r>
    </w:p>
    <w:p>
      <w:r>
        <w:rPr>
          <w:rFonts w:ascii="Calibri" w:hAnsi="Calibri"/>
          <w:b w:val="0"/>
          <w:color w:val="243041"/>
          <w:sz w:val="22"/>
        </w:rPr>
        <w:t>Çap kapsamı 1–400 mm. ISO 286-1:2010 ve ISO 286-2:2010 temel alınan standart adlarıdır. Resmî ISO/üretici sitelerine bulut ağ politikası nedeniyle erişilemedi. Tam standart metni indirilmedi veya incelenmiş sayılmadı; güncel baskı/düzeltmeler ISO kataloğundan ayrıca kontrol edilmelidir. Açık kaynak karşılaştırması ISO sertifikası değildir.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DE5ED"/>
          <w:left w:val="single" w:sz="4" w:color="DDE5ED"/>
          <w:bottom w:val="single" w:sz="4" w:color="DDE5ED"/>
          <w:right w:val="single" w:sz="4" w:color="DDE5ED"/>
          <w:insideH w:val="single" w:sz="4" w:color="DDE5ED"/>
          <w:insideV w:val="single" w:sz="4" w:color="DDE5ED"/>
        </w:tblBorders>
      </w:tblPr>
      <w:tblGrid>
        <w:gridCol w:w="1701"/>
        <w:gridCol w:w="3969"/>
        <w:gridCol w:w="3969"/>
      </w:tblGrid>
      <w:tr>
        <w:trPr>
          <w:tblHeader/>
          <w:cantSplit/>
        </w:trPr>
        <w:tc>
          <w:tcPr>
            <w:tcW w:type="dxa" w:w="1701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Ø50 mm</w:t>
            </w:r>
          </w:p>
        </w:tc>
        <w:tc>
          <w:tcPr>
            <w:tcW w:type="dxa" w:w="3969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Cmin / Cmax (mm)</w:t>
            </w:r>
          </w:p>
        </w:tc>
        <w:tc>
          <w:tcPr>
            <w:tcW w:type="dxa" w:w="3969"/>
            <w:shd w:fill="176B57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/>
                <w:color w:val="FFFFFF"/>
                <w:sz w:val="20"/>
              </w:rPr>
              <w:t>Tür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H8/f7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+0,025 / +0,089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Boşluklu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H7/h6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0 / +0,041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Boşluklu; sınırda temas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H7/k6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−0,018 / +0,023</w:t>
            </w:r>
          </w:p>
        </w:tc>
        <w:tc>
          <w:tcPr>
            <w:tcW w:type="dxa" w:w="3969"/>
            <w:vAlign w:val="center"/>
            <w:shd w:fill="F4F7FA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Ara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H7/p6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−0,042 / −0,001</w:t>
            </w:r>
          </w:p>
        </w:tc>
        <w:tc>
          <w:tcPr>
            <w:tcW w:type="dxa" w:w="3969"/>
            <w:vAlign w:val="center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before="0"/>
            </w:pPr>
            <w:r>
              <w:rPr>
                <w:rFonts w:ascii="Calibri" w:hAnsi="Calibri"/>
                <w:b w:val="0"/>
                <w:color w:val="243041"/>
                <w:sz w:val="20"/>
              </w:rPr>
              <w:t>Sıkı; 0,001–0,042 mm</w:t>
            </w:r>
          </w:p>
        </w:tc>
      </w:tr>
    </w:tbl>
    <w:p>
      <w:r>
        <w:rPr>
          <w:rFonts w:ascii="Calibri" w:hAnsi="Calibri"/>
          <w:b w:val="0"/>
          <w:color w:val="243041"/>
          <w:sz w:val="22"/>
        </w:rPr>
        <w:t>Elle kontrol: Dmin=D+EI; Dmax=D+ES; dmin=D+ei; dmax=D+es. Cmin=EI−es; Cmax=ES−ei. H8/f7 için EI=0, ES=39, es=−25, ei=−50 µm: Cmin=25, Cmax=89 µm. Tasarım örneğindeki 0,074–0,161 mm sayıları kullanılmadı.</w:t>
      </w:r>
    </w:p>
    <w:p>
      <w:pPr>
        <w:pStyle w:val="Heading1"/>
      </w:pPr>
      <w:r>
        <w:t>Kaynakların karşılaştırılması</w:t>
      </w:r>
    </w:p>
    <w:p>
      <w:r>
        <w:rPr>
          <w:rFonts w:ascii="Calibri" w:hAnsi="Calibri"/>
          <w:b w:val="0"/>
          <w:color w:val="243041"/>
          <w:sz w:val="22"/>
        </w:rPr>
        <w:t>3217 sayısal kontrol; 2 bilinen hatalı kaynak farkı, 0 beklenmeyen fark.</w:t>
      </w:r>
    </w:p>
    <w:p>
      <w:r>
        <w:rPr>
          <w:rFonts w:ascii="Calibri" w:hAnsi="Calibri"/>
          <w:b w:val="0"/>
          <w:color w:val="243041"/>
          <w:sz w:val="22"/>
        </w:rPr>
        <w:t>passungsrechner_table: 1288 kontrol.</w:t>
      </w:r>
    </w:p>
    <w:p>
      <w:r>
        <w:rPr>
          <w:rFonts w:ascii="Calibri" w:hAnsi="Calibri"/>
          <w:b w:val="0"/>
          <w:color w:val="243041"/>
          <w:sz w:val="22"/>
        </w:rPr>
        <w:t>isofits_runtime: 1100 kontrol.</w:t>
      </w:r>
    </w:p>
    <w:p>
      <w:r>
        <w:rPr>
          <w:rFonts w:ascii="Calibri" w:hAnsi="Calibri"/>
          <w:b w:val="0"/>
          <w:color w:val="243041"/>
          <w:sz w:val="22"/>
        </w:rPr>
        <w:t>independent_it_width: 667 kontrol.</w:t>
      </w:r>
    </w:p>
    <w:p>
      <w:r>
        <w:rPr>
          <w:rFonts w:ascii="Calibri" w:hAnsi="Calibri"/>
          <w:b w:val="0"/>
          <w:color w:val="243041"/>
          <w:sz w:val="22"/>
        </w:rPr>
        <w:t>independent_fundamental_deviation: 161 kontrol.</w:t>
      </w:r>
    </w:p>
    <w:p>
      <w:r>
        <w:rPr>
          <w:rFonts w:ascii="Calibri" w:hAnsi="Calibri"/>
          <w:b w:val="0"/>
          <w:color w:val="243041"/>
          <w:sz w:val="22"/>
        </w:rPr>
        <w:t>independent_f8_fundamental_deviation: 1 kontrol.</w:t>
      </w:r>
    </w:p>
    <w:p>
      <w:r>
        <w:rPr>
          <w:rFonts w:ascii="Calibri" w:hAnsi="Calibri"/>
          <w:b w:val="0"/>
          <w:color w:val="243041"/>
          <w:sz w:val="22"/>
        </w:rPr>
        <w:t>isofits isotol Python fonksiyonu D&gt;3 mm için gerçekten yürütüldü. Passungsrechner JSON tablosu karşılaştırıldı; JavaScript GUI çalıştırılmadı. Rust projesinin sayısal tabloları incelendi; Rust uygulaması çalıştırılmadı. ISO286 kaynağının IT genişlikleri ve temel sapmaları bağımsız kontrol edildi.</w:t>
      </w:r>
    </w:p>
    <w:p>
      <w:r>
        <w:rPr>
          <w:rFonts w:ascii="Calibri" w:hAnsi="Calibri"/>
          <w:b w:val="0"/>
          <w:color w:val="243041"/>
          <w:sz w:val="22"/>
        </w:rPr>
        <w:t>F8 ≤3 mm: Passungsrechner EI=+10, ES=+20 µm veriyor; IT8 genişliği 14 µm ve F temel sapması +6 µm olmalı. Uygulamada EI=+6, ES=+20 µm kullanılır. 1,5 ve 3 mm karşılaştırmalarındaki iki kaynak farkı kanıtta korunur. Kaynak commitleri ve dosya hashleri source-comparison.json içindedir.</w:t>
      </w:r>
    </w:p>
    <w:p>
      <w:pPr>
        <w:pStyle w:val="Heading1"/>
      </w:pPr>
      <w:r>
        <w:t>Test kapsamı ve sınırlar</w:t>
      </w:r>
    </w:p>
    <w:p>
      <w:r>
        <w:rPr>
          <w:rFonts w:ascii="Calibri" w:hAnsi="Calibri"/>
          <w:b w:val="0"/>
          <w:color w:val="243041"/>
          <w:sz w:val="22"/>
        </w:rPr>
        <w:t>ISO için 8 hesap testi ve 9 GUI testi eklendi. Bütün 198 delik/mil kombinasyonunun beş çaptaki örnek ölçüleri limitler içinde kontrol edildi. 3/50 mm sınırları, virgüllü giriş, yanlış sınıf, kapsam dışı çap, yarım mikrometre, sıfır boşluk, geçersiz girişte eski sonuçların temizlenmesi, CSV iptal/kayıt hatası ve tercihler sınandı.</w:t>
      </w:r>
    </w:p>
    <w:p>
      <w:r>
        <w:rPr>
          <w:rFonts w:ascii="Calibri" w:hAnsi="Calibri"/>
          <w:b w:val="0"/>
          <w:color w:val="243041"/>
          <w:sz w:val="22"/>
        </w:rPr>
        <w:t>ISO GUI matrisi iki tema × beş boyut/ölçek: 1000×690, 1240×860, 1366×768 (%100), 1400×900 (%125), 1920×1080 (%150). Gerçek pencere boyutu ve kaydırılarak sonuç düğmesine erişim doğrulandı. Önceki PDF/DXF/K-R testleri de tekrar geçti. Bu Linux çalışması gerçek Windows DPI, SolidWorks COM üretimi veya yerel Word sayfa görünümü değildir.</w:t>
      </w:r>
    </w:p>
    <w:p>
      <w:r>
        <w:rPr>
          <w:rFonts w:ascii="Calibri" w:hAnsi="Calibri"/>
          <w:b w:val="0"/>
          <w:color w:val="243041"/>
          <w:sz w:val="22"/>
        </w:rPr>
        <w:t>Satır kapsamı %96.42; satır/dal birleşik kapsamı %95.07. Uygulama 3459 fiziksel Python satırı; testler 3204 satır. Veri JSON'u ve rapor araçları bu Python sayımında değildir.</w:t>
      </w:r>
    </w:p>
    <w:p>
      <w:r>
        <w:rPr>
          <w:rFonts w:ascii="Calibri" w:hAnsi="Calibri"/>
          <w:b w:val="0"/>
          <w:color w:val="243041"/>
          <w:sz w:val="22"/>
        </w:rPr>
        <w:t>Kesit şematiktir; sapmalar büyütülür. Bölge grafiği doğrusal sapma ölçeğidir. Orta ölçü üretim dağılımı varsayımı değildir. Montaj kuvveti, yağlama, malzeme, sıcaklık ve geometrik toleranslar ayrıca değerlendirilir. CSV ölçü/tolerans raporudur; CAD modeli değiştirilmez.</w:t>
      </w:r>
    </w:p>
    <w:p>
      <w:r>
        <w:br w:type="page"/>
      </w:r>
    </w:p>
    <w:p>
      <w:pPr>
        <w:pStyle w:val="Heading1"/>
      </w:pPr>
      <w:r>
        <w:t>H8/f7 · Açık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H8/f7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d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H8/f7 · Koyu · Tolerans bölgeleri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zones-d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H7/k6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transition-da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r>
        <w:br w:type="page"/>
      </w:r>
    </w:p>
    <w:p>
      <w:pPr>
        <w:pStyle w:val="Heading1"/>
      </w:pPr>
      <w:r>
        <w:t>H7/p6 · Koyu · Montaj kesiti</w:t>
      </w:r>
    </w:p>
    <w:p>
      <w:r>
        <w:drawing>
          <wp:inline xmlns:a="http://schemas.openxmlformats.org/drawingml/2006/main" xmlns:pic="http://schemas.openxmlformats.org/drawingml/2006/picture">
            <wp:extent cx="5806440" cy="4027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-interference-dar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27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/>
          <w:b w:val="0"/>
          <w:color w:val="243041"/>
          <w:sz w:val="22"/>
        </w:rPr>
        <w:t>Gerçek 1240×860 Tk penceresi. Ø50 mm sayısal hesap; SolidWorks bağlantısı gerekmez.</w:t>
      </w:r>
    </w:p>
    <w:p>
      <w:pPr>
        <w:pStyle w:val="Heading1"/>
      </w:pPr>
      <w:r>
        <w:t>Kanıtlar</w:t>
      </w:r>
    </w:p>
    <w:p>
      <w:r>
        <w:rPr>
          <w:rFonts w:ascii="Calibri" w:hAnsi="Calibri"/>
          <w:b w:val="0"/>
          <w:color w:val="243041"/>
          <w:sz w:val="22"/>
        </w:rPr>
        <w:t>docs/iso-fits.md; gui-verification-results.json; test-run.log; coverage.json; source-comparison.json; screenshots.json. Önceki CAD referans incelemesi docs/reports/final-audit/README.md içinde tarihsel kayıt olarak korunur.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GOKWORKS |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GOKWORKS · ISO geçme toleransları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0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6B57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243041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