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K/R, ISO geçmeleri ve</w:t>
        <w:br/>
        <w:t>GUI kontrol raporu</w:t>
      </w:r>
    </w:p>
    <w:p>
      <w:r>
        <w:t>10.10.2026 · Son çalışma: 2026-10-10T07:33:45.719720+00:00</w:t>
      </w:r>
    </w:p>
    <w:p>
      <w:r>
        <w:t>289 test geçti; başarısız/atlanan test yok. 93 gerçek Tk GUI testi.</w:t>
      </w:r>
    </w:p>
    <w:p>
      <w:r>
        <w:t>Gerçek Linux/Tk arayüzü ve DXF okuyucusu çalıştırıldı. SolidWorks COM davranışı test nesneleriyle temsil edildi. Gerçek Windows/SolidWorks 2025 montajında K/R ataması ve CAD çıktıları bu ortamda çalıştırılmadı.</w:t>
      </w:r>
    </w:p>
    <w:p>
      <w:pPr>
        <w:pStyle w:val="Heading1"/>
      </w:pPr>
      <w:r>
        <w:t>Düzeltmeler</w:t>
      </w:r>
    </w:p>
    <w:p>
      <w:pPr>
        <w:pStyle w:val="ListBullet"/>
      </w:pPr>
      <w:r>
        <w:t>K/R: çağrılabilir dönen COM nesnesi varsayılan üye olarak çağrılmaz. Yalnız aktif büküm payı alanı okunur/yazılır; rebuild, geri okuma ve geri alma korunur. Hata aşama ve üye adı içerir.</w:t>
      </w:r>
    </w:p>
    <w:p>
      <w:pPr>
        <w:pStyle w:val="ListBullet"/>
      </w:pPr>
      <w:r>
        <w:t>Manuel örnek: hedef sac 2 mm, K=0,274, R=2 mm. SolidWorks radius birimi metre: 0,002. Diğer kalınlıklar atlanır. Kaydetme ayrı seçilir.</w:t>
      </w:r>
    </w:p>
    <w:p>
      <w:pPr>
        <w:pStyle w:val="ListBullet"/>
      </w:pPr>
      <w:r>
        <w:t>PDF/DXF/K: solda bağımsız kaydırılan form, sağda tam yükseklikte sonuç alanı. K/R tarama/hesap/kayıt seçimi sabit kalır. ISO/GD&amp;T kendi çalışma alanlarını korur.</w:t>
      </w:r>
    </w:p>
    <w:p>
      <w:pPr>
        <w:pStyle w:val="ListBullet"/>
      </w:pPr>
      <w:r>
        <w:t>ISO: 23 delik/mil esaslı örnek, Tümü/Delik esaslı/Mil esaslı filtresi. Tümü görünümünde iki esas dönüşümlü gösterilir. 198 çift menülerden seçilebilir.</w:t>
      </w:r>
    </w:p>
    <w:p>
      <w:pPr>
        <w:pStyle w:val="ListBullet"/>
      </w:pPr>
      <w:r>
        <w:t>Manuel ISO: H7 ağırlıklı ayrı hazır örnek önerisi kaldırıldı; tam eşleşme, yakın referans ve eşit uzaklıktaki sınıflar ayrılır. Giriş limitleri değişmez. Kısa filtreye geçişte boş kaydırma alanı sorunu giderildi.</w:t>
      </w:r>
    </w:p>
    <w:p>
      <w:pPr>
        <w:pStyle w:val="Heading1"/>
      </w:pPr>
      <w:r>
        <w:t>ISO bağımsız kontrol örnekleri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Ø50 mm</w:t>
            </w:r>
          </w:p>
        </w:tc>
        <w:tc>
          <w:tcPr>
            <w:tcW w:type="dxa" w:w="3289"/>
          </w:tcPr>
          <w:p>
            <w:r>
              <w:t>Delik − mil aralığı (mm)</w:t>
            </w:r>
          </w:p>
        </w:tc>
        <w:tc>
          <w:tcPr>
            <w:tcW w:type="dxa" w:w="3289"/>
          </w:tcPr>
          <w:p>
            <w:r>
              <w:t>Sonuç</w:t>
            </w:r>
          </w:p>
        </w:tc>
      </w:tr>
      <w:tr>
        <w:tc>
          <w:tcPr>
            <w:tcW w:type="dxa" w:w="3289"/>
          </w:tcPr>
          <w:p>
            <w:r>
              <w:t>JS7/h6</w:t>
            </w:r>
          </w:p>
        </w:tc>
        <w:tc>
          <w:tcPr>
            <w:tcW w:type="dxa" w:w="3289"/>
          </w:tcPr>
          <w:p>
            <w:r>
              <w:t>−0,0125 … +0,0285</w:t>
            </w:r>
          </w:p>
        </w:tc>
        <w:tc>
          <w:tcPr>
            <w:tcW w:type="dxa" w:w="3289"/>
          </w:tcPr>
          <w:p>
            <w:r>
              <w:t>Ara</w:t>
            </w:r>
          </w:p>
        </w:tc>
      </w:tr>
      <w:tr>
        <w:tc>
          <w:tcPr>
            <w:tcW w:type="dxa" w:w="3289"/>
          </w:tcPr>
          <w:p>
            <w:r>
              <w:t>K7/h6</w:t>
            </w:r>
          </w:p>
        </w:tc>
        <w:tc>
          <w:tcPr>
            <w:tcW w:type="dxa" w:w="3289"/>
          </w:tcPr>
          <w:p>
            <w:r>
              <w:t>−0,018 … +0,023</w:t>
            </w:r>
          </w:p>
        </w:tc>
        <w:tc>
          <w:tcPr>
            <w:tcW w:type="dxa" w:w="3289"/>
          </w:tcPr>
          <w:p>
            <w:r>
              <w:t>Ara</w:t>
            </w:r>
          </w:p>
        </w:tc>
      </w:tr>
      <w:tr>
        <w:tc>
          <w:tcPr>
            <w:tcW w:type="dxa" w:w="3289"/>
          </w:tcPr>
          <w:p>
            <w:r>
              <w:t>N7/h6</w:t>
            </w:r>
          </w:p>
        </w:tc>
        <w:tc>
          <w:tcPr>
            <w:tcW w:type="dxa" w:w="3289"/>
          </w:tcPr>
          <w:p>
            <w:r>
              <w:t>−0,033 … +0,008</w:t>
            </w:r>
          </w:p>
        </w:tc>
        <w:tc>
          <w:tcPr>
            <w:tcW w:type="dxa" w:w="3289"/>
          </w:tcPr>
          <w:p>
            <w:r>
              <w:t>Ara</w:t>
            </w:r>
          </w:p>
        </w:tc>
      </w:tr>
      <w:tr>
        <w:tc>
          <w:tcPr>
            <w:tcW w:type="dxa" w:w="3289"/>
          </w:tcPr>
          <w:p>
            <w:r>
              <w:t>P7/h6</w:t>
            </w:r>
          </w:p>
        </w:tc>
        <w:tc>
          <w:tcPr>
            <w:tcW w:type="dxa" w:w="3289"/>
          </w:tcPr>
          <w:p>
            <w:r>
              <w:t>−0,042 … −0,001</w:t>
            </w:r>
          </w:p>
        </w:tc>
        <w:tc>
          <w:tcPr>
            <w:tcW w:type="dxa" w:w="3289"/>
          </w:tcPr>
          <w:p>
            <w:r>
              <w:t>Sıkı</w:t>
            </w:r>
          </w:p>
        </w:tc>
      </w:tr>
      <w:tr>
        <w:tc>
          <w:tcPr>
            <w:tcW w:type="dxa" w:w="3289"/>
          </w:tcPr>
          <w:p>
            <w:r>
              <w:t>Manuel delik 0/+0,02; mil −0,02/0</w:t>
            </w:r>
          </w:p>
        </w:tc>
        <w:tc>
          <w:tcPr>
            <w:tcW w:type="dxa" w:w="3289"/>
          </w:tcPr>
          <w:p>
            <w:r>
              <w:t>0 … +0,04</w:t>
            </w:r>
          </w:p>
        </w:tc>
        <w:tc>
          <w:tcPr>
            <w:tcW w:type="dxa" w:w="3289"/>
          </w:tcPr>
          <w:p>
            <w:r>
              <w:t>Boşluklu; tam ISO değil</w:t>
            </w:r>
          </w:p>
        </w:tc>
      </w:tr>
      <w:tr>
        <w:tc>
          <w:tcPr>
            <w:tcW w:type="dxa" w:w="3289"/>
          </w:tcPr>
          <w:p>
            <w:r>
              <w:t>Manuel delik −0,05/0; mil ±0,1</w:t>
            </w:r>
          </w:p>
        </w:tc>
        <w:tc>
          <w:tcPr>
            <w:tcW w:type="dxa" w:w="3289"/>
          </w:tcPr>
          <w:p>
            <w:r>
              <w:t>−0,15 … +0,10</w:t>
            </w:r>
          </w:p>
        </w:tc>
        <w:tc>
          <w:tcPr>
            <w:tcW w:type="dxa" w:w="3289"/>
          </w:tcPr>
          <w:p>
            <w:r>
              <w:t>Ara; eşit delik referansları N7/P7</w:t>
            </w:r>
          </w:p>
        </w:tc>
      </w:tr>
    </w:tbl>
    <w:p>
      <w:r>
        <w:t>Sabit GitHub kaynaklarıyla 3217 sayısal kontrol: 0 beklenmeyen fark; bilinen F8 ≤3 mm kaynak satırından iki fark. Ø50 için 11 delik sınıfı bağımsız sayılarla GUI/raporda sınandı. Resmî ISO sertifikası iddia edilmez.</w:t>
      </w:r>
    </w:p>
    <w:p>
      <w:r>
        <w:t>H7/p6 Ø3’te ara, Ø50’de sıkı; P7/h6 Ø3’te −0,016…0 mm sıkılık/sınırda temastır. Gruplama seçilen çaptaki sayısal limitlerden yapılır.</w:t>
      </w:r>
    </w:p>
    <w:p>
      <w:pPr>
        <w:pStyle w:val="Heading1"/>
      </w:pPr>
      <w:r>
        <w:t>Test kanıtı ve kapsam sınırı</w:t>
      </w:r>
    </w:p>
    <w:p>
      <w:r>
        <w:t>test_dxf_dwg: 69 başarılı test</w:t>
      </w:r>
    </w:p>
    <w:p>
      <w:r>
        <w:t>test_export_window: 22 başarılı test</w:t>
      </w:r>
    </w:p>
    <w:p>
      <w:r>
        <w:t>test_final_gui: 5 başarılı test</w:t>
      </w:r>
    </w:p>
    <w:p>
      <w:r>
        <w:t>test_geometric_tolerances: 30 başarılı test</w:t>
      </w:r>
    </w:p>
    <w:p>
      <w:r>
        <w:t>test_gui_audit: 12 başarılı test</w:t>
      </w:r>
    </w:p>
    <w:p>
      <w:r>
        <w:t>test_iso_fits: 17 başarılı test</w:t>
      </w:r>
    </w:p>
    <w:p>
      <w:r>
        <w:t>test_iso_matching: 10 başarılı test</w:t>
      </w:r>
    </w:p>
    <w:p>
      <w:r>
        <w:t>test_k_factor: 34 başarılı test</w:t>
      </w:r>
    </w:p>
    <w:p>
      <w:r>
        <w:t>test_kr_dispatch: 7 başarılı test</w:t>
      </w:r>
    </w:p>
    <w:p>
      <w:r>
        <w:t>test_manual_iso: 24 başarılı test</w:t>
      </w:r>
    </w:p>
    <w:p>
      <w:r>
        <w:t>test_manual_k_radius: 15 başarılı test</w:t>
      </w:r>
    </w:p>
    <w:p>
      <w:r>
        <w:t>test_pdf_exporter: 34 başarılı test</w:t>
      </w:r>
    </w:p>
    <w:p>
      <w:r>
        <w:t>test_settings_and_connection: 8 başarılı test</w:t>
      </w:r>
    </w:p>
    <w:p>
      <w:r>
        <w:t>test_workspace_layout: 2 başarılı test</w:t>
      </w:r>
    </w:p>
    <w:p>
      <w:r>
        <w:t>Uygulama 4749 Python satırı; testler 4462 satırı. Satır/dal birleşik kapsamı %95.8; bu oran gerçek CAD doğruluğu ölçüsü değildir.</w:t>
      </w:r>
    </w:p>
    <w:p>
      <w:r>
        <w:t>1000×690 ve 1366×768 (%100), 1400×900 (%125), 1920×1080 (%150), iki tema, sayfa/alt sekme geçişleri ve kaydırma sınandı. Gerçek Windows monitör/DPI davranışı ayrıca kontrol edilmelidir.</w:t>
      </w:r>
    </w:p>
    <w:p>
      <w:r>
        <w:br w:type="page"/>
      </w:r>
    </w:p>
    <w:p>
      <w:pPr>
        <w:pStyle w:val="Heading1"/>
      </w:pPr>
      <w:r>
        <w:t>K/R manuel · koyu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-factor-manual-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K/R manuel · açık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-factor-manual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ISO mil esaslı · koyu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fits-shaft-basis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ISO mil esaslı · açık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fits-shaft-basis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ISO manuel karşılaştırma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fits-manual-comparison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DXF/DWG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f-dwg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PDF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-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GD&amp;T</w:t>
      </w:r>
    </w:p>
    <w:p>
      <w:r>
        <w:drawing>
          <wp:inline xmlns:a="http://schemas.openxmlformats.org/drawingml/2006/main" xmlns:pic="http://schemas.openxmlformats.org/drawingml/2006/picture">
            <wp:extent cx="6120000" cy="42445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ic-tolerances-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Gerçek 1240×860 Tk penceresi; SolidWorks verisi veya gerçek CAD başarı sonucu gösterilmez.</w:t>
      </w:r>
    </w:p>
    <w:p>
      <w:r>
        <w:br w:type="page"/>
      </w:r>
    </w:p>
    <w:p>
      <w:pPr>
        <w:pStyle w:val="Heading1"/>
      </w:pPr>
      <w:r>
        <w:t>Yerel SolidWorks 2025 kabul kontrolü</w:t>
      </w:r>
    </w:p>
    <w:p>
      <w:r>
        <w:t>GitHub dalı codex/dxf-dwg-gui-report. Git ile açılan projede doğru dalda Pull; ZIP ile açılan projede güncel ZIP ayrı klasöre açılmalı. Aynı PyCharm yorumlayıcısına requirements.txt kurulur; main.py çalıştırılır.</w:t>
      </w:r>
    </w:p>
    <w:p>
      <w:r>
        <w:t>Aktif montajda 2 mm / K=0,274 / R=2 mm ile tara → uygula. İlk kontrol dosya kaydı kapalıyken yapılır. SheetMetal unsurunun doğru konfigürasyonunda K, R, kalınlık ve büküm payı türü kontrol edilir. Başarısızsa yeni aşama/API üyesini içeren tam günlük/CSV gerekir.</w:t>
      </w:r>
    </w:p>
    <w:p>
      <w:r>
        <w:t>Kanıtlar: docs/reports/kr-workspace-fix/README.md, test-run.log, gui-verification-results.json, coverage.json, dispatch-reproduction.json, iso-matching-reproduction.json, iso-source-comparison.json, screenshots.json. Yerel adımlar: docs/local-solidworks-check.md.</w:t>
      </w:r>
    </w:p>
    <w:sectPr w:rsidR="00FC693F" w:rsidRPr="0006063C" w:rsidSect="00034616">
      <w:head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K/R, ISO ve GUI doğrulaması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7C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