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9D35" w14:textId="77777777" w:rsidR="00B62F72" w:rsidRDefault="00000000">
      <w:pPr>
        <w:pStyle w:val="Title"/>
      </w:pPr>
      <w:r>
        <w:t>Research Project: Impact of MFN Tariff Shocks on GDP Using Local Projections</w:t>
      </w:r>
    </w:p>
    <w:p w14:paraId="55B4CD80" w14:textId="77777777" w:rsidR="00B62F72" w:rsidRDefault="00000000">
      <w:pPr>
        <w:pStyle w:val="Heading1"/>
      </w:pPr>
      <w:r>
        <w:t>1. Motivation</w:t>
      </w:r>
    </w:p>
    <w:p w14:paraId="143C79C6" w14:textId="54C05FA2" w:rsidR="00B62F72" w:rsidRDefault="00000000">
      <w:r>
        <w:t>Trade policy is a key driver of macroeconomic outcomes. Recent work highlights that exogenous changes in most-favored-nation (MFN) tariffs for one country can be treated as plausibly exogenous trade shocks for its partners. This project explores how such exogenous MFN tariff shocks affect a country's GDP over time.</w:t>
      </w:r>
    </w:p>
    <w:p w14:paraId="6F186556" w14:textId="77777777" w:rsidR="00B62F72" w:rsidRDefault="00000000">
      <w:pPr>
        <w:pStyle w:val="Heading1"/>
      </w:pPr>
      <w:r>
        <w:t>2. Data and Sample</w:t>
      </w:r>
    </w:p>
    <w:p w14:paraId="15F48E3A" w14:textId="77777777" w:rsidR="00B62F72" w:rsidRDefault="00000000">
      <w:r>
        <w:t>- Tariff data from 'tariffsPairs_88_21_vbeta1-2024-12.dta', covering MFN tariffs by country, product, and year (1988–2021).</w:t>
      </w:r>
    </w:p>
    <w:p w14:paraId="620115D1" w14:textId="77777777" w:rsidR="00B62F72" w:rsidRDefault="00000000">
      <w:r>
        <w:t>- GDP data (log real GDP) from World Bank or Penn World Table.</w:t>
      </w:r>
    </w:p>
    <w:p w14:paraId="5EAEEF74" w14:textId="77777777" w:rsidR="00B62F72" w:rsidRDefault="00000000">
      <w:r>
        <w:t>- Exclude very small countries or outliers. Analyze effects by groups: developed vs. developing.</w:t>
      </w:r>
    </w:p>
    <w:p w14:paraId="782530FE" w14:textId="77777777" w:rsidR="00B62F72" w:rsidRDefault="00000000">
      <w:pPr>
        <w:pStyle w:val="Heading1"/>
      </w:pPr>
      <w:r>
        <w:t>3. Identification Strategy and Treatment Construction</w:t>
      </w:r>
    </w:p>
    <w:p w14:paraId="45D58A24" w14:textId="77777777" w:rsidR="00B62F72" w:rsidRDefault="00000000">
      <w:r>
        <w:t>Following Coelli et al. (2022) and Boehm et al. (2023), we construct a shift-share instrument:</w:t>
      </w:r>
    </w:p>
    <w:p w14:paraId="2C216950" w14:textId="77777777" w:rsidR="00B62F72" w:rsidRDefault="00000000">
      <w:r>
        <w:t>Z_{i,t} = ∑_{j≠i} ω_{i,j}^{pre} × ΔMFN_{j,t},</w:t>
      </w:r>
    </w:p>
    <w:p w14:paraId="18D1DA90" w14:textId="77777777" w:rsidR="00B62F72" w:rsidRDefault="00000000">
      <w:r>
        <w:t>where ω_{i,j}^{pre} is the pre-period trade share and ΔMFN_{j,t} is the change in MFN tariffs. We compute separate shocks for manufacturing and commodity tariffs.</w:t>
      </w:r>
    </w:p>
    <w:p w14:paraId="45BA7824" w14:textId="77777777" w:rsidR="00B62F72" w:rsidRDefault="00000000">
      <w:pPr>
        <w:pStyle w:val="Heading1"/>
      </w:pPr>
      <w:r>
        <w:t>4. Empirical Methodology: Local Projections</w:t>
      </w:r>
    </w:p>
    <w:p w14:paraId="1D9FCEE7" w14:textId="77777777" w:rsidR="00B62F72" w:rsidRDefault="00000000">
      <w:r>
        <w:t>We use local projections to estimate the dynamic response of log GDP to MFN tariff shocks over a horizon from one year before to five years after:</w:t>
      </w:r>
    </w:p>
    <w:p w14:paraId="16D134E2" w14:textId="77777777" w:rsidR="00B62F72" w:rsidRDefault="00000000">
      <w:r>
        <w:t>ln(GDP_{i,t+h}) - ln(GDP_{i,t-1}) = α_i + α_{t+h} + β_h Z_{i,t} + X_{i,t}'γ + ε_{i,t+h}</w:t>
      </w:r>
    </w:p>
    <w:p w14:paraId="72E68815" w14:textId="77777777" w:rsidR="00B62F72" w:rsidRDefault="00000000">
      <w:pPr>
        <w:pStyle w:val="Heading1"/>
      </w:pPr>
      <w:r>
        <w:t>5. Sectoral and Heterogeneity Analysis</w:t>
      </w:r>
    </w:p>
    <w:p w14:paraId="10FF807F" w14:textId="77777777" w:rsidR="00B62F72" w:rsidRDefault="00000000">
      <w:r>
        <w:t>- Separate estimates for manufacturing and commodities.</w:t>
      </w:r>
    </w:p>
    <w:p w14:paraId="34F14D26" w14:textId="77777777" w:rsidR="00B62F72" w:rsidRDefault="00000000">
      <w:r>
        <w:t>- Group comparisons: developed vs. developing countries.</w:t>
      </w:r>
    </w:p>
    <w:p w14:paraId="28296972" w14:textId="77777777" w:rsidR="00B62F72" w:rsidRDefault="00000000">
      <w:pPr>
        <w:pStyle w:val="Heading1"/>
      </w:pPr>
      <w:r>
        <w:lastRenderedPageBreak/>
        <w:t>6. Implementation Steps</w:t>
      </w:r>
    </w:p>
    <w:p w14:paraId="57BF0E8F" w14:textId="77777777" w:rsidR="00B62F72" w:rsidRDefault="00000000">
      <w:r>
        <w:t>1. Merge tariff and GDP data.</w:t>
      </w:r>
      <w:r>
        <w:br/>
        <w:t>2. Classify sectors and compute average MFN tariffs.</w:t>
      </w:r>
      <w:r>
        <w:br/>
        <w:t>3. Compute pre-period trade shares.</w:t>
      </w:r>
      <w:r>
        <w:br/>
        <w:t>4. Construct exogenous shock Z_{i,t}.</w:t>
      </w:r>
      <w:r>
        <w:br/>
        <w:t>5. Run local projection regressions for h = -1 to 5.</w:t>
      </w:r>
      <w:r>
        <w:br/>
        <w:t>6. Include fixed effects and cluster standard errors.</w:t>
      </w:r>
    </w:p>
    <w:p w14:paraId="579E5D1D" w14:textId="77777777" w:rsidR="00B62F72" w:rsidRDefault="00000000">
      <w:pPr>
        <w:pStyle w:val="Heading1"/>
      </w:pPr>
      <w:r>
        <w:t>7. Robustness Checks</w:t>
      </w:r>
    </w:p>
    <w:p w14:paraId="71670137" w14:textId="77777777" w:rsidR="00B62F72" w:rsidRDefault="00000000">
      <w:r>
        <w:t>- Alternative weight bases.</w:t>
      </w:r>
      <w:r>
        <w:br/>
        <w:t>- Different outcome variables.</w:t>
      </w:r>
      <w:r>
        <w:br/>
        <w:t>- Excluding major global events.</w:t>
      </w:r>
      <w:r>
        <w:br/>
        <w:t>- Placebo shocks.</w:t>
      </w:r>
      <w:r>
        <w:br/>
        <w:t>- Additional controls.</w:t>
      </w:r>
    </w:p>
    <w:p w14:paraId="17A69976" w14:textId="77777777" w:rsidR="00B62F72" w:rsidRDefault="00000000">
      <w:pPr>
        <w:pStyle w:val="Heading1"/>
      </w:pPr>
      <w:r>
        <w:t>8. Extensions and Further Analysis</w:t>
      </w:r>
    </w:p>
    <w:p w14:paraId="6D5A0EB8" w14:textId="77777777" w:rsidR="00B62F72" w:rsidRDefault="00000000">
      <w:r>
        <w:t>- Spillovers to neighboring countries.</w:t>
      </w:r>
      <w:r>
        <w:br/>
        <w:t>- Alternative instruments.</w:t>
      </w:r>
      <w:r>
        <w:br/>
        <w:t>- Sectoral GDP decomposition.</w:t>
      </w:r>
      <w:r>
        <w:br/>
        <w:t>- Fiscal/monetary policy responses.</w:t>
      </w:r>
      <w:r>
        <w:br/>
        <w:t>- Welfare implications and model simulations.</w:t>
      </w:r>
    </w:p>
    <w:sectPr w:rsidR="00B62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605359">
    <w:abstractNumId w:val="8"/>
  </w:num>
  <w:num w:numId="2" w16cid:durableId="840394178">
    <w:abstractNumId w:val="6"/>
  </w:num>
  <w:num w:numId="3" w16cid:durableId="798693985">
    <w:abstractNumId w:val="5"/>
  </w:num>
  <w:num w:numId="4" w16cid:durableId="986008313">
    <w:abstractNumId w:val="4"/>
  </w:num>
  <w:num w:numId="5" w16cid:durableId="1751928445">
    <w:abstractNumId w:val="7"/>
  </w:num>
  <w:num w:numId="6" w16cid:durableId="1384714242">
    <w:abstractNumId w:val="3"/>
  </w:num>
  <w:num w:numId="7" w16cid:durableId="650643224">
    <w:abstractNumId w:val="2"/>
  </w:num>
  <w:num w:numId="8" w16cid:durableId="1388800884">
    <w:abstractNumId w:val="1"/>
  </w:num>
  <w:num w:numId="9" w16cid:durableId="149213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D16"/>
    <w:rsid w:val="0029639D"/>
    <w:rsid w:val="002A2EB0"/>
    <w:rsid w:val="00326F90"/>
    <w:rsid w:val="00450775"/>
    <w:rsid w:val="00AA1D8D"/>
    <w:rsid w:val="00B47730"/>
    <w:rsid w:val="00B62F72"/>
    <w:rsid w:val="00C710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B58F95"/>
  <w14:defaultImageDpi w14:val="300"/>
  <w15:docId w15:val="{2950EC0F-081D-7C4A-BC89-AE7C8C11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Klein Martins</cp:lastModifiedBy>
  <cp:revision>2</cp:revision>
  <dcterms:created xsi:type="dcterms:W3CDTF">2025-05-14T23:42:00Z</dcterms:created>
  <dcterms:modified xsi:type="dcterms:W3CDTF">2025-05-14T23:42:00Z</dcterms:modified>
  <cp:category/>
</cp:coreProperties>
</file>