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Masdar City, Abu Dhabi (2008-2015)</w:t>
      </w:r>
    </w:p>
    <w:p>
      <w:pPr/>
      <w:r>
        <w:rPr/>
        <w:t xml:space="preserve">Occupying 6 million sq m of land, the project is a landmark development initiated by the Abu Dhabi Government. Envisaged to be the first carbon neutral city, the project will be cultivated as a global centre of excellence for research and education, as a commercial hub and most importantly, as a model for sustainable development for Abu Dhabi.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Chennai, India (2010-2016)</w:t>
      </w:r>
    </w:p>
    <w:p>
      <w:pPr/>
      <w:r>
        <w:rPr/>
        <w:t xml:space="preserve">Rage is a digital marketing agency based in India. We help clients meet their business goals through a host of web-based services.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2016-01-28T18:37:46+05:30</dcterms:created>
  <dcterms:modified xsi:type="dcterms:W3CDTF">2016-01-28T18:37:46+05:30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