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67CD2" w14:textId="77777777" w:rsidR="00756825" w:rsidRDefault="00756825">
      <w:pPr>
        <w:jc w:val="center"/>
        <w:rPr>
          <w:rFonts w:ascii="Times New Roman" w:hAnsi="Times New Roman" w:cs="Times New Roman"/>
          <w:i/>
          <w:sz w:val="26"/>
          <w:szCs w:val="26"/>
        </w:rPr>
      </w:pPr>
      <w:r>
        <w:rPr>
          <w:rFonts w:ascii="Times New Roman" w:hAnsi="Times New Roman" w:cs="Times New Roman"/>
          <w:noProof/>
          <w:sz w:val="26"/>
          <w:szCs w:val="26"/>
        </w:rPr>
        <w:drawing>
          <wp:inline distT="0" distB="0" distL="0" distR="0" wp14:anchorId="1E2CD6C3" wp14:editId="3937A705">
            <wp:extent cx="597408" cy="677406"/>
            <wp:effectExtent l="0" t="0" r="0" b="0"/>
            <wp:docPr id="116930906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09065" name="Picture 1" descr="A black background with a black square&#10;&#10;AI-generated content may be incorrect."/>
                    <pic:cNvPicPr/>
                  </pic:nvPicPr>
                  <pic:blipFill>
                    <a:blip r:embed="rId6"/>
                    <a:stretch>
                      <a:fillRect/>
                    </a:stretch>
                  </pic:blipFill>
                  <pic:spPr>
                    <a:xfrm>
                      <a:off x="0" y="0"/>
                      <a:ext cx="611585" cy="693481"/>
                    </a:xfrm>
                    <a:prstGeom prst="rect">
                      <a:avLst/>
                    </a:prstGeom>
                  </pic:spPr>
                </pic:pic>
              </a:graphicData>
            </a:graphic>
          </wp:inline>
        </w:drawing>
      </w:r>
    </w:p>
    <w:p w14:paraId="56F36D84" w14:textId="1A2EBF30" w:rsidR="00756825" w:rsidRPr="00756825" w:rsidRDefault="00756825" w:rsidP="00756825">
      <w:pPr>
        <w:jc w:val="center"/>
        <w:rPr>
          <w:rFonts w:ascii="Times New Roman" w:hAnsi="Times New Roman" w:cs="Times New Roman"/>
          <w:b/>
          <w:bCs/>
          <w:iCs/>
          <w:sz w:val="32"/>
          <w:szCs w:val="32"/>
        </w:rPr>
      </w:pPr>
      <w:r w:rsidRPr="00756825">
        <w:rPr>
          <w:rFonts w:ascii="Times New Roman" w:hAnsi="Times New Roman" w:cs="Times New Roman"/>
          <w:b/>
          <w:bCs/>
          <w:iCs/>
          <w:sz w:val="32"/>
          <w:szCs w:val="32"/>
        </w:rPr>
        <w:t>METHODIC VENTURES</w:t>
      </w:r>
    </w:p>
    <w:p w14:paraId="18B64E42" w14:textId="5544AEDA" w:rsidR="00756825" w:rsidRDefault="00756825" w:rsidP="00756825">
      <w:pPr>
        <w:spacing w:after="300"/>
        <w:jc w:val="center"/>
      </w:pPr>
      <w:r>
        <w:rPr>
          <w:rFonts w:ascii="Libre Baskerville" w:eastAsia="Libre Baskerville" w:hAnsi="Libre Baskerville" w:cs="Libre Baskerville"/>
          <w:color w:val="89B4D4"/>
          <w:sz w:val="21"/>
          <w:szCs w:val="21"/>
        </w:rPr>
        <w:t xml:space="preserve">Preserving </w:t>
      </w:r>
      <w:r>
        <w:rPr>
          <w:rFonts w:ascii="Libre Baskerville" w:eastAsia="Libre Baskerville" w:hAnsi="Libre Baskerville" w:cs="Libre Baskerville"/>
          <w:i/>
          <w:iCs/>
          <w:color w:val="89B4D4"/>
          <w:sz w:val="21"/>
          <w:szCs w:val="21"/>
        </w:rPr>
        <w:t>What Works.</w:t>
      </w:r>
      <w:r>
        <w:rPr>
          <w:rFonts w:ascii="Libre Baskerville" w:eastAsia="Libre Baskerville" w:hAnsi="Libre Baskerville" w:cs="Libre Baskerville"/>
          <w:color w:val="89B4D4"/>
          <w:sz w:val="21"/>
          <w:szCs w:val="21"/>
        </w:rPr>
        <w:t xml:space="preserve"> Unlocking </w:t>
      </w:r>
      <w:r>
        <w:rPr>
          <w:rFonts w:ascii="Libre Baskerville" w:eastAsia="Libre Baskerville" w:hAnsi="Libre Baskerville" w:cs="Libre Baskerville"/>
          <w:i/>
          <w:iCs/>
          <w:color w:val="89B4D4"/>
          <w:sz w:val="21"/>
          <w:szCs w:val="21"/>
        </w:rPr>
        <w:t>What’s Possible.</w:t>
      </w:r>
    </w:p>
    <w:p w14:paraId="4266B7E1" w14:textId="46F4B856" w:rsidR="00756825" w:rsidRDefault="00756825" w:rsidP="00756825">
      <w:pPr>
        <w:jc w:val="center"/>
        <w:rPr>
          <w:rFonts w:ascii="Times New Roman" w:hAnsi="Times New Roman" w:cs="Times New Roman"/>
          <w:b/>
          <w:color w:val="000000" w:themeColor="text1"/>
          <w:sz w:val="40"/>
          <w:szCs w:val="40"/>
        </w:rPr>
      </w:pPr>
      <w:r>
        <w:rPr>
          <w:rFonts w:ascii="Times New Roman" w:hAnsi="Times New Roman" w:cs="Times New Roman"/>
          <w:b/>
          <w:noProof/>
          <w:color w:val="000000" w:themeColor="text1"/>
          <w:sz w:val="40"/>
          <w:szCs w:val="40"/>
        </w:rPr>
        <mc:AlternateContent>
          <mc:Choice Requires="wps">
            <w:drawing>
              <wp:anchor distT="0" distB="0" distL="114300" distR="114300" simplePos="0" relativeHeight="251659264" behindDoc="0" locked="0" layoutInCell="1" allowOverlap="1" wp14:anchorId="44B4344F" wp14:editId="0D5337DD">
                <wp:simplePos x="0" y="0"/>
                <wp:positionH relativeFrom="column">
                  <wp:posOffset>-207010</wp:posOffset>
                </wp:positionH>
                <wp:positionV relativeFrom="paragraph">
                  <wp:posOffset>181494</wp:posOffset>
                </wp:positionV>
                <wp:extent cx="6583680" cy="0"/>
                <wp:effectExtent l="25400" t="25400" r="33020" b="38100"/>
                <wp:wrapNone/>
                <wp:docPr id="655257253" name="Straight Connector 3"/>
                <wp:cNvGraphicFramePr/>
                <a:graphic xmlns:a="http://schemas.openxmlformats.org/drawingml/2006/main">
                  <a:graphicData uri="http://schemas.microsoft.com/office/word/2010/wordprocessingShape">
                    <wps:wsp>
                      <wps:cNvCnPr/>
                      <wps:spPr>
                        <a:xfrm flipH="1">
                          <a:off x="0" y="0"/>
                          <a:ext cx="6583680" cy="0"/>
                        </a:xfrm>
                        <a:prstGeom prst="line">
                          <a:avLst/>
                        </a:prstGeom>
                        <a:ln w="9525"/>
                        <a:effectLst>
                          <a:outerShdw blurRad="40000" dist="20000" dir="5400000" rotWithShape="0">
                            <a:srgbClr val="000000">
                              <a:alpha val="0"/>
                            </a:srgb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ECDBEE"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pt,14.3pt" to="502.1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" strokecolor="black [3200]">
                <v:shadow on="t" color="black" opacity="0" origin=",.5" offset="0,.55556mm"/>
              </v:line>
            </w:pict>
          </mc:Fallback>
        </mc:AlternateContent>
      </w:r>
    </w:p>
    <w:p w14:paraId="3AAB99F8" w14:textId="6E801306" w:rsidR="00756825" w:rsidRPr="00756825" w:rsidRDefault="00756825" w:rsidP="00756825">
      <w:pPr>
        <w:jc w:val="center"/>
        <w:rPr>
          <w:rFonts w:ascii="Times New Roman" w:hAnsi="Times New Roman" w:cs="Times New Roman"/>
          <w:bCs/>
          <w:color w:val="000000" w:themeColor="text1"/>
          <w:sz w:val="40"/>
          <w:szCs w:val="40"/>
        </w:rPr>
      </w:pPr>
      <w:r w:rsidRPr="00756825">
        <w:rPr>
          <w:rFonts w:ascii="Times New Roman" w:hAnsi="Times New Roman" w:cs="Times New Roman"/>
          <w:bCs/>
          <w:color w:val="000000" w:themeColor="text1"/>
          <w:sz w:val="40"/>
          <w:szCs w:val="40"/>
        </w:rPr>
        <w:t>Non-Binding Letter of Intent</w:t>
      </w:r>
      <w:r w:rsidRPr="00756825">
        <w:rPr>
          <w:rFonts w:ascii="Times New Roman" w:hAnsi="Times New Roman" w:cs="Times New Roman"/>
          <w:bCs/>
          <w:color w:val="000000" w:themeColor="text1"/>
          <w:sz w:val="40"/>
          <w:szCs w:val="40"/>
        </w:rPr>
        <w:br/>
        <w:t>to Acquire Mass Landscape Inc.</w:t>
      </w:r>
    </w:p>
    <w:p w14:paraId="171C7B1C" w14:textId="77777777" w:rsidR="00756825" w:rsidRPr="00756825" w:rsidRDefault="00756825" w:rsidP="00756825">
      <w:pPr>
        <w:rPr>
          <w:rFonts w:ascii="Times New Roman" w:hAnsi="Times New Roman" w:cs="Times New Roman"/>
          <w:color w:val="000000" w:themeColor="text1"/>
          <w:sz w:val="26"/>
          <w:szCs w:val="26"/>
        </w:rPr>
      </w:pPr>
    </w:p>
    <w:p w14:paraId="47A3383C" w14:textId="77777777" w:rsidR="001059D7" w:rsidRPr="00756825" w:rsidRDefault="001059D7">
      <w:pPr>
        <w:rPr>
          <w:rFonts w:ascii="Times New Roman" w:hAnsi="Times New Roman" w:cs="Times New Roman"/>
          <w:color w:val="000000" w:themeColor="text1"/>
          <w:sz w:val="26"/>
          <w:szCs w:val="26"/>
        </w:rPr>
      </w:pPr>
    </w:p>
    <w:p w14:paraId="6D7B9DF1" w14:textId="77777777" w:rsidR="00756825" w:rsidRDefault="00756825">
      <w:pPr>
        <w:spacing w:before="360" w:after="120"/>
        <w:rPr>
          <w:rFonts w:ascii="Times New Roman" w:hAnsi="Times New Roman" w:cs="Times New Roman"/>
          <w:b/>
          <w:color w:val="000000" w:themeColor="text1"/>
          <w:sz w:val="26"/>
          <w:szCs w:val="26"/>
        </w:rPr>
      </w:pPr>
    </w:p>
    <w:p w14:paraId="22F3041A" w14:textId="77777777" w:rsidR="00756825" w:rsidRDefault="00756825">
      <w:pPr>
        <w:spacing w:before="360" w:after="120"/>
        <w:rPr>
          <w:rFonts w:ascii="Times New Roman" w:hAnsi="Times New Roman" w:cs="Times New Roman"/>
          <w:b/>
          <w:color w:val="000000" w:themeColor="text1"/>
          <w:sz w:val="26"/>
          <w:szCs w:val="26"/>
        </w:rPr>
      </w:pPr>
    </w:p>
    <w:p w14:paraId="41B3FB6D" w14:textId="77777777" w:rsidR="00756825" w:rsidRDefault="00756825">
      <w:pPr>
        <w:spacing w:before="360" w:after="120"/>
        <w:rPr>
          <w:rFonts w:ascii="Times New Roman" w:hAnsi="Times New Roman" w:cs="Times New Roman"/>
          <w:b/>
          <w:color w:val="000000" w:themeColor="text1"/>
          <w:sz w:val="26"/>
          <w:szCs w:val="26"/>
        </w:rPr>
      </w:pPr>
    </w:p>
    <w:p w14:paraId="06171771" w14:textId="77777777" w:rsidR="00756825" w:rsidRDefault="00756825">
      <w:pPr>
        <w:spacing w:before="360" w:after="120"/>
        <w:rPr>
          <w:rFonts w:ascii="Times New Roman" w:hAnsi="Times New Roman" w:cs="Times New Roman"/>
          <w:b/>
          <w:color w:val="000000" w:themeColor="text1"/>
          <w:sz w:val="26"/>
          <w:szCs w:val="26"/>
        </w:rPr>
      </w:pPr>
    </w:p>
    <w:p w14:paraId="559D31C7" w14:textId="77777777" w:rsidR="00756825" w:rsidRDefault="00756825">
      <w:pPr>
        <w:spacing w:before="360" w:after="120"/>
        <w:rPr>
          <w:rFonts w:ascii="Times New Roman" w:hAnsi="Times New Roman" w:cs="Times New Roman"/>
          <w:b/>
          <w:color w:val="000000" w:themeColor="text1"/>
          <w:sz w:val="26"/>
          <w:szCs w:val="26"/>
        </w:rPr>
      </w:pPr>
    </w:p>
    <w:p w14:paraId="256AAB3D" w14:textId="77777777" w:rsidR="00756825" w:rsidRDefault="00756825">
      <w:pPr>
        <w:spacing w:before="360" w:after="120"/>
        <w:rPr>
          <w:rFonts w:ascii="Times New Roman" w:hAnsi="Times New Roman" w:cs="Times New Roman"/>
          <w:b/>
          <w:color w:val="000000" w:themeColor="text1"/>
          <w:sz w:val="26"/>
          <w:szCs w:val="26"/>
        </w:rPr>
      </w:pPr>
    </w:p>
    <w:p w14:paraId="692B1849" w14:textId="77777777" w:rsidR="00756825" w:rsidRDefault="00756825">
      <w:pPr>
        <w:spacing w:before="360" w:after="120"/>
        <w:rPr>
          <w:rFonts w:ascii="Times New Roman" w:hAnsi="Times New Roman" w:cs="Times New Roman"/>
          <w:b/>
          <w:color w:val="000000" w:themeColor="text1"/>
          <w:sz w:val="26"/>
          <w:szCs w:val="26"/>
        </w:rPr>
      </w:pPr>
    </w:p>
    <w:p w14:paraId="49AA0E2B" w14:textId="77777777" w:rsidR="00756825" w:rsidRDefault="00756825">
      <w:pPr>
        <w:spacing w:before="360" w:after="120"/>
        <w:rPr>
          <w:rFonts w:ascii="Times New Roman" w:hAnsi="Times New Roman" w:cs="Times New Roman"/>
          <w:b/>
          <w:color w:val="000000" w:themeColor="text1"/>
          <w:sz w:val="26"/>
          <w:szCs w:val="26"/>
        </w:rPr>
      </w:pPr>
    </w:p>
    <w:p w14:paraId="2120F46F" w14:textId="77777777" w:rsidR="00756825" w:rsidRDefault="00756825">
      <w:pPr>
        <w:spacing w:before="360" w:after="120"/>
        <w:rPr>
          <w:rFonts w:ascii="Times New Roman" w:hAnsi="Times New Roman" w:cs="Times New Roman"/>
          <w:b/>
          <w:color w:val="000000" w:themeColor="text1"/>
          <w:sz w:val="26"/>
          <w:szCs w:val="26"/>
        </w:rPr>
      </w:pPr>
    </w:p>
    <w:p w14:paraId="3277DF04" w14:textId="77777777" w:rsidR="00756825" w:rsidRDefault="00756825">
      <w:pPr>
        <w:spacing w:before="360" w:after="120"/>
        <w:rPr>
          <w:rFonts w:ascii="Times New Roman" w:hAnsi="Times New Roman" w:cs="Times New Roman"/>
          <w:b/>
          <w:color w:val="000000" w:themeColor="text1"/>
          <w:sz w:val="26"/>
          <w:szCs w:val="26"/>
        </w:rPr>
      </w:pPr>
    </w:p>
    <w:p w14:paraId="7DA33104" w14:textId="1F360A65"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lastRenderedPageBreak/>
        <w:t>Letter of Intent</w:t>
      </w:r>
    </w:p>
    <w:p w14:paraId="789C67B4"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April 4, 2026</w:t>
      </w:r>
    </w:p>
    <w:p w14:paraId="23434AF8"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Mass Landscape Inc.</w:t>
      </w:r>
      <w:r w:rsidRPr="00756825">
        <w:rPr>
          <w:rFonts w:ascii="Times New Roman" w:hAnsi="Times New Roman" w:cs="Times New Roman"/>
          <w:color w:val="000000" w:themeColor="text1"/>
          <w:sz w:val="26"/>
          <w:szCs w:val="26"/>
        </w:rPr>
        <w:br/>
        <w:t>110 Industrial Way</w:t>
      </w:r>
      <w:r w:rsidRPr="00756825">
        <w:rPr>
          <w:rFonts w:ascii="Times New Roman" w:hAnsi="Times New Roman" w:cs="Times New Roman"/>
          <w:color w:val="000000" w:themeColor="text1"/>
          <w:sz w:val="26"/>
          <w:szCs w:val="26"/>
        </w:rPr>
        <w:br/>
        <w:t>Hanover, MA 02339</w:t>
      </w:r>
    </w:p>
    <w:p w14:paraId="679FD931"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Non-Binding Letter of Intent to Acquire Mass Landscape Inc.</w:t>
      </w:r>
    </w:p>
    <w:p w14:paraId="7A5C297A"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 xml:space="preserve">After conducting a thorough review of Mass Landscaping Inc., we are pleased to submit this Letter of Intent to acquire 100% of the assets of Mass Landscape Inc. In structuring our LOI we have </w:t>
      </w:r>
      <w:proofErr w:type="gramStart"/>
      <w:r w:rsidRPr="00756825">
        <w:rPr>
          <w:rFonts w:ascii="Times New Roman" w:hAnsi="Times New Roman" w:cs="Times New Roman"/>
          <w:color w:val="000000" w:themeColor="text1"/>
          <w:sz w:val="26"/>
          <w:szCs w:val="26"/>
        </w:rPr>
        <w:t>taken into account</w:t>
      </w:r>
      <w:proofErr w:type="gramEnd"/>
      <w:r w:rsidRPr="00756825">
        <w:rPr>
          <w:rFonts w:ascii="Times New Roman" w:hAnsi="Times New Roman" w:cs="Times New Roman"/>
          <w:color w:val="000000" w:themeColor="text1"/>
          <w:sz w:val="26"/>
          <w:szCs w:val="26"/>
        </w:rPr>
        <w:t xml:space="preserve"> the following:</w:t>
      </w:r>
    </w:p>
    <w:p w14:paraId="3CB0371D"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2024 Adjusted SDE of $693,275</w:t>
      </w:r>
      <w:r w:rsidRPr="00756825">
        <w:rPr>
          <w:rFonts w:ascii="Times New Roman" w:hAnsi="Times New Roman" w:cs="Times New Roman"/>
          <w:color w:val="000000" w:themeColor="text1"/>
          <w:sz w:val="26"/>
          <w:szCs w:val="26"/>
        </w:rPr>
        <w:t xml:space="preserve"> based on the recast provided in the CIM (tax return source)</w:t>
      </w:r>
    </w:p>
    <w:p w14:paraId="4F3F2EDF"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2025 YTD Adjusted SDE of $472,736</w:t>
      </w:r>
      <w:r w:rsidRPr="00756825">
        <w:rPr>
          <w:rFonts w:ascii="Times New Roman" w:hAnsi="Times New Roman" w:cs="Times New Roman"/>
          <w:color w:val="000000" w:themeColor="text1"/>
          <w:sz w:val="26"/>
          <w:szCs w:val="26"/>
        </w:rPr>
        <w:t xml:space="preserve"> (Jan–Sep), annualized to approximately $630,314</w:t>
      </w:r>
    </w:p>
    <w:p w14:paraId="45F60AF6"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Approximately $1.5M in FF&amp;E and $110K–$120K in inventory</w:t>
      </w:r>
      <w:r w:rsidRPr="00756825">
        <w:rPr>
          <w:rFonts w:ascii="Times New Roman" w:hAnsi="Times New Roman" w:cs="Times New Roman"/>
          <w:color w:val="000000" w:themeColor="text1"/>
          <w:sz w:val="26"/>
          <w:szCs w:val="26"/>
        </w:rPr>
        <w:t xml:space="preserve"> included in the transaction</w:t>
      </w:r>
    </w:p>
    <w:p w14:paraId="0B0F5311"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Loyal recurring maintenance customer base</w:t>
      </w:r>
      <w:r w:rsidRPr="00756825">
        <w:rPr>
          <w:rFonts w:ascii="Times New Roman" w:hAnsi="Times New Roman" w:cs="Times New Roman"/>
          <w:color w:val="000000" w:themeColor="text1"/>
          <w:sz w:val="26"/>
          <w:szCs w:val="26"/>
        </w:rPr>
        <w:t xml:space="preserve"> with 5+ year average retention and strong commercial snow contracts, with low employee turnover rate</w:t>
      </w:r>
    </w:p>
    <w:p w14:paraId="65F26287" w14:textId="77777777"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Deal Structure</w:t>
      </w:r>
    </w:p>
    <w:p w14:paraId="1EBACD75"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 xml:space="preserve">The purpose of this letter is to outline the </w:t>
      </w:r>
      <w:proofErr w:type="gramStart"/>
      <w:r w:rsidRPr="00756825">
        <w:rPr>
          <w:rFonts w:ascii="Times New Roman" w:hAnsi="Times New Roman" w:cs="Times New Roman"/>
          <w:color w:val="000000" w:themeColor="text1"/>
          <w:sz w:val="26"/>
          <w:szCs w:val="26"/>
        </w:rPr>
        <w:t>manner in which</w:t>
      </w:r>
      <w:proofErr w:type="gramEnd"/>
      <w:r w:rsidRPr="00756825">
        <w:rPr>
          <w:rFonts w:ascii="Times New Roman" w:hAnsi="Times New Roman" w:cs="Times New Roman"/>
          <w:color w:val="000000" w:themeColor="text1"/>
          <w:sz w:val="26"/>
          <w:szCs w:val="26"/>
        </w:rPr>
        <w:t xml:space="preserve"> Methodic Ventures LLC, and/or Assigns ("Buyer"), proposes to acquire the Company ("Seller"). The parties recognize that the transaction will require further documentation and approvals, including the preparation and approval of one or more formal agreements setting forth the terms and conditions of the proposed acquisition (the Purchase Agreement). Nonetheless, this letter contains the parties’ non-binding expression of interest in negotiating the terms of a Purchase Agreement consistent with this letter.</w:t>
      </w:r>
    </w:p>
    <w:p w14:paraId="7F68B101"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Transaction Structure.</w:t>
      </w:r>
      <w:r w:rsidRPr="00756825">
        <w:rPr>
          <w:rFonts w:ascii="Times New Roman" w:hAnsi="Times New Roman" w:cs="Times New Roman"/>
          <w:color w:val="000000" w:themeColor="text1"/>
          <w:sz w:val="26"/>
          <w:szCs w:val="26"/>
        </w:rPr>
        <w:t xml:space="preserve"> The Buyer will purchase from the Seller all the assets, tangible and intangible, owned or used by the Seller in connection with the conduct of its business ("Business"), collectively the "Assets." The Assets will include, without limitation:</w:t>
      </w:r>
    </w:p>
    <w:p w14:paraId="6E5B79B5"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All furniture, fixtures, and equipment (FF&amp;E) as listed in the equipment schedule (estimated $1,500,000 in value)</w:t>
      </w:r>
    </w:p>
    <w:p w14:paraId="465908D1"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All inventory (estimated $110,000–$120,000 in value)</w:t>
      </w:r>
    </w:p>
    <w:p w14:paraId="60B421B3"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All customer relationships, contracts, and goodwill</w:t>
      </w:r>
    </w:p>
    <w:p w14:paraId="797DBFD1"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lastRenderedPageBreak/>
        <w:t>All website assets, brand identity, and intellectual property</w:t>
      </w:r>
    </w:p>
    <w:p w14:paraId="6834B56D" w14:textId="77777777" w:rsidR="001059D7" w:rsidRPr="00756825" w:rsidRDefault="00000000">
      <w:pPr>
        <w:pStyle w:val="ListBullet"/>
        <w:rPr>
          <w:rFonts w:ascii="Times New Roman" w:hAnsi="Times New Roman" w:cs="Times New Roman"/>
          <w:color w:val="000000" w:themeColor="text1"/>
          <w:sz w:val="26"/>
          <w:szCs w:val="26"/>
        </w:rPr>
      </w:pPr>
      <w:proofErr w:type="gramStart"/>
      <w:r w:rsidRPr="00756825">
        <w:rPr>
          <w:rFonts w:ascii="Times New Roman" w:hAnsi="Times New Roman" w:cs="Times New Roman"/>
          <w:color w:val="000000" w:themeColor="text1"/>
          <w:sz w:val="26"/>
          <w:szCs w:val="26"/>
        </w:rPr>
        <w:t>All of</w:t>
      </w:r>
      <w:proofErr w:type="gramEnd"/>
      <w:r w:rsidRPr="00756825">
        <w:rPr>
          <w:rFonts w:ascii="Times New Roman" w:hAnsi="Times New Roman" w:cs="Times New Roman"/>
          <w:color w:val="000000" w:themeColor="text1"/>
          <w:sz w:val="26"/>
          <w:szCs w:val="26"/>
        </w:rPr>
        <w:t xml:space="preserve"> the Seller’s contracts and agreements with contractors, vendors, or customers</w:t>
      </w:r>
    </w:p>
    <w:p w14:paraId="49210438"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Working capital sufficient to operate the business at close — the exact amount will be determined during due diligence based on seasonal cash needs and accounts receivable/payable cycles</w:t>
      </w:r>
    </w:p>
    <w:p w14:paraId="12ABA838"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Any other assets as both Parties may identify in due diligence</w:t>
      </w:r>
    </w:p>
    <w:p w14:paraId="5E6137F2"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Except as listed above, the Buyer will not assume any other liabilities or obligations of the Seller except to the extent otherwise hereafter agreed between the parties. The Seller shall be responsible for all liabilities of the Seller which are not assumed by the Buyer. All liabilities for which Seller is responsible and which are known at the time of closing shall be paid from the portion of the Purchase Price paid by the Buyer at the closing, and the Seller will indemnify and hold harmless the Buyer against all liabilities and obligations of the Seller which are not assumed by the Buyer.</w:t>
      </w:r>
    </w:p>
    <w:p w14:paraId="52AC2351"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i/>
          <w:color w:val="000000" w:themeColor="text1"/>
          <w:sz w:val="26"/>
          <w:szCs w:val="26"/>
        </w:rPr>
        <w:t>The final structure of the transaction is subject to legal, accounting, and tax review by each party and each such party’s legal and accounting advisors.</w:t>
      </w:r>
    </w:p>
    <w:p w14:paraId="30D3C38D" w14:textId="77777777"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Consideration</w:t>
      </w:r>
    </w:p>
    <w:p w14:paraId="4701CBFE"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 xml:space="preserve">Payment for the Assets will consist of a total purchase price of </w:t>
      </w:r>
      <w:r w:rsidRPr="00756825">
        <w:rPr>
          <w:rFonts w:ascii="Times New Roman" w:hAnsi="Times New Roman" w:cs="Times New Roman"/>
          <w:b/>
          <w:color w:val="000000" w:themeColor="text1"/>
          <w:sz w:val="26"/>
          <w:szCs w:val="26"/>
        </w:rPr>
        <w:t>$1,550,000</w:t>
      </w:r>
      <w:r w:rsidRPr="00756825">
        <w:rPr>
          <w:rFonts w:ascii="Times New Roman" w:hAnsi="Times New Roman" w:cs="Times New Roman"/>
          <w:color w:val="000000" w:themeColor="text1"/>
          <w:sz w:val="26"/>
          <w:szCs w:val="26"/>
        </w:rPr>
        <w:t>, which is comprised as follows:</w:t>
      </w:r>
    </w:p>
    <w:p w14:paraId="2AFBABF6"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Cash at Close:</w:t>
      </w:r>
      <w:r w:rsidRPr="00756825">
        <w:rPr>
          <w:rFonts w:ascii="Times New Roman" w:hAnsi="Times New Roman" w:cs="Times New Roman"/>
          <w:color w:val="000000" w:themeColor="text1"/>
          <w:sz w:val="26"/>
          <w:szCs w:val="26"/>
        </w:rPr>
        <w:t xml:space="preserve"> $620,000 (40% of purchase price)</w:t>
      </w:r>
    </w:p>
    <w:p w14:paraId="1400CA4C"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Seller Financing:</w:t>
      </w:r>
      <w:r w:rsidRPr="00756825">
        <w:rPr>
          <w:rFonts w:ascii="Times New Roman" w:hAnsi="Times New Roman" w:cs="Times New Roman"/>
          <w:color w:val="000000" w:themeColor="text1"/>
          <w:sz w:val="26"/>
          <w:szCs w:val="26"/>
        </w:rPr>
        <w:t xml:space="preserve"> $930,000 (60% of purchase price) — The Seller will carry a note for $930,000, repaid from operating cash flow.</w:t>
      </w:r>
    </w:p>
    <w:p w14:paraId="7D5D757C" w14:textId="77777777"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Seller Financing Repayment Terms</w:t>
      </w:r>
    </w:p>
    <w:p w14:paraId="057118E0"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Base Annual Payment:</w:t>
      </w:r>
      <w:r w:rsidRPr="00756825">
        <w:rPr>
          <w:rFonts w:ascii="Times New Roman" w:hAnsi="Times New Roman" w:cs="Times New Roman"/>
          <w:color w:val="000000" w:themeColor="text1"/>
          <w:sz w:val="26"/>
          <w:szCs w:val="26"/>
        </w:rPr>
        <w:t xml:space="preserve"> $70,000 per year from operating cash flow.</w:t>
      </w:r>
    </w:p>
    <w:p w14:paraId="5ED40265" w14:textId="77777777" w:rsidR="001059D7" w:rsidRPr="00756825" w:rsidRDefault="00000000">
      <w:pPr>
        <w:pStyle w:val="ListBullet"/>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Cash Flow Participation:</w:t>
      </w:r>
      <w:r w:rsidRPr="00756825">
        <w:rPr>
          <w:rFonts w:ascii="Times New Roman" w:hAnsi="Times New Roman" w:cs="Times New Roman"/>
          <w:color w:val="000000" w:themeColor="text1"/>
          <w:sz w:val="26"/>
          <w:szCs w:val="26"/>
        </w:rPr>
        <w:t xml:space="preserve"> In addition to the base payment, the Seller will receive 20% of all operating cash flow until the remaining principal is repaid.</w:t>
      </w:r>
    </w:p>
    <w:p w14:paraId="066CBF4D" w14:textId="77777777"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Transition Period</w:t>
      </w:r>
    </w:p>
    <w:p w14:paraId="14F3A1F3"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The Seller will provide six (6) months of full-time transition assistance following close, continuing to perform daily operational duties including estimating, crew oversight, customer relationship management, and vendor coordination. This transition period ensures continuity and allows the new operator to fully absorb the institutional knowledge that has made this business successful.</w:t>
      </w:r>
    </w:p>
    <w:p w14:paraId="6198AADC" w14:textId="4EBACA25"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lastRenderedPageBreak/>
        <w:t>The Seller’s compensation during the transition period is provided through the seller financing payments described above. This structure directly ties the Seller’s income to business performance, creating alignment between both parties during the critical first year.</w:t>
      </w:r>
    </w:p>
    <w:p w14:paraId="38DFB3FB" w14:textId="0D5EFFCA"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Following the 6-month full-time transition, the Seller will be available for on-call consulting for the next six (6) months at no additional cost (estimated 2–4 hours per month for questions, introductions, or strategic guidance).</w:t>
      </w:r>
    </w:p>
    <w:p w14:paraId="790879E6"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Standard non-compete and non-solicitation provisions will apply in the Buyer’s primary geography for the duration of the seller financing term.</w:t>
      </w:r>
    </w:p>
    <w:p w14:paraId="553964F7" w14:textId="77777777"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Facility</w:t>
      </w:r>
    </w:p>
    <w:p w14:paraId="15E32DAD"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The Buyer proposes to lease the current Seller-owned facility for a minimum of thirty-six (36) months post-close at the current fair market rate ($2,000–$4,000/month as referenced in the CIM), with the rate fixed for the initial 36-month term. The Seller will cooperate fully in securing a permanent location of 15,000–20,000 square feet if the Buyer elects to relocate within the first year.</w:t>
      </w:r>
    </w:p>
    <w:p w14:paraId="475C0670" w14:textId="77777777"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Next Steps</w:t>
      </w:r>
    </w:p>
    <w:p w14:paraId="306FC032"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Given the need for further discovery, we propose a sixty (60) day period of exclusivity so that we may undergo a formal due diligence process and bring in any appropriate third parties to assist with finalizing the deal. During this time, we will conduct our due diligence while working with the Seller to complete a Purchase Agreement.</w:t>
      </w:r>
    </w:p>
    <w:p w14:paraId="4A2CF8E8" w14:textId="77777777"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Confidentiality</w:t>
      </w:r>
    </w:p>
    <w:p w14:paraId="3A55C5B5"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In consideration of the obligations under this Agreement, the parties agree that this Letter of Intent, and its terms, and any confidential information disclosed by either party through discussion and other communication arising from, or regarding this Agreement, are strictly confidential, and that the parties (or their agents, attorneys, legal representatives and assigns, collectively "Their Agents") shall not disclose or disseminate any information concerning any such terms to any third person(s).</w:t>
      </w:r>
    </w:p>
    <w:p w14:paraId="078E7A0A"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 xml:space="preserve">Should either Buyer or Seller </w:t>
      </w:r>
      <w:proofErr w:type="gramStart"/>
      <w:r w:rsidRPr="00756825">
        <w:rPr>
          <w:rFonts w:ascii="Times New Roman" w:hAnsi="Times New Roman" w:cs="Times New Roman"/>
          <w:color w:val="000000" w:themeColor="text1"/>
          <w:sz w:val="26"/>
          <w:szCs w:val="26"/>
        </w:rPr>
        <w:t>disclose</w:t>
      </w:r>
      <w:proofErr w:type="gramEnd"/>
      <w:r w:rsidRPr="00756825">
        <w:rPr>
          <w:rFonts w:ascii="Times New Roman" w:hAnsi="Times New Roman" w:cs="Times New Roman"/>
          <w:color w:val="000000" w:themeColor="text1"/>
          <w:sz w:val="26"/>
          <w:szCs w:val="26"/>
        </w:rPr>
        <w:t xml:space="preserve"> this information to Their Agents through the course of business, or concerning this agreement, the Buyer or Seller agree to take responsibility for notifying Their Agents of the confidential terms agreed to herein, and their responsibilities to remain confidential. Further, Buyer and Seller agree that neither shall make any announcements to third parties related to this transaction other than as </w:t>
      </w:r>
      <w:r w:rsidRPr="00756825">
        <w:rPr>
          <w:rFonts w:ascii="Times New Roman" w:hAnsi="Times New Roman" w:cs="Times New Roman"/>
          <w:color w:val="000000" w:themeColor="text1"/>
          <w:sz w:val="26"/>
          <w:szCs w:val="26"/>
        </w:rPr>
        <w:lastRenderedPageBreak/>
        <w:t xml:space="preserve">mutually agreed in writing as specified by terms of the Agreement, and that until the time that such agreement exists, no announcements will be made. </w:t>
      </w:r>
      <w:proofErr w:type="gramStart"/>
      <w:r w:rsidRPr="00756825">
        <w:rPr>
          <w:rFonts w:ascii="Times New Roman" w:hAnsi="Times New Roman" w:cs="Times New Roman"/>
          <w:color w:val="000000" w:themeColor="text1"/>
          <w:sz w:val="26"/>
          <w:szCs w:val="26"/>
        </w:rPr>
        <w:t>In the event that</w:t>
      </w:r>
      <w:proofErr w:type="gramEnd"/>
      <w:r w:rsidRPr="00756825">
        <w:rPr>
          <w:rFonts w:ascii="Times New Roman" w:hAnsi="Times New Roman" w:cs="Times New Roman"/>
          <w:color w:val="000000" w:themeColor="text1"/>
          <w:sz w:val="26"/>
          <w:szCs w:val="26"/>
        </w:rPr>
        <w:t xml:space="preserve"> the Agreement never becomes final, and is not executed by the parties, then this confidentiality provision shall remain in effect for two years from the date of disclosure.</w:t>
      </w:r>
    </w:p>
    <w:p w14:paraId="7FEC7778" w14:textId="77777777" w:rsidR="001059D7" w:rsidRPr="00756825" w:rsidRDefault="00000000">
      <w:pPr>
        <w:spacing w:after="160"/>
        <w:rPr>
          <w:rFonts w:ascii="Times New Roman" w:hAnsi="Times New Roman" w:cs="Times New Roman"/>
          <w:color w:val="000000" w:themeColor="text1"/>
          <w:sz w:val="26"/>
          <w:szCs w:val="26"/>
        </w:rPr>
      </w:pPr>
      <w:r w:rsidRPr="00756825">
        <w:rPr>
          <w:rFonts w:ascii="Times New Roman" w:hAnsi="Times New Roman" w:cs="Times New Roman"/>
          <w:i/>
          <w:color w:val="000000" w:themeColor="text1"/>
          <w:sz w:val="26"/>
          <w:szCs w:val="26"/>
        </w:rPr>
        <w:t>This LOI is non-binding except for the confidentiality and exclusivity provisions above. We look forward to working together to finalize a mutually beneficial agreement and to preserving the legacy you have built at Mass Landscape Inc.</w:t>
      </w:r>
    </w:p>
    <w:p w14:paraId="2402DC62" w14:textId="77777777" w:rsidR="00886A25" w:rsidRDefault="00886A25">
      <w:pPr>
        <w:spacing w:before="360" w:after="120"/>
        <w:rPr>
          <w:rFonts w:ascii="Times New Roman" w:hAnsi="Times New Roman" w:cs="Times New Roman"/>
          <w:b/>
          <w:color w:val="000000" w:themeColor="text1"/>
          <w:sz w:val="26"/>
          <w:szCs w:val="26"/>
        </w:rPr>
      </w:pPr>
    </w:p>
    <w:p w14:paraId="10224D1B" w14:textId="77777777" w:rsidR="00886A25" w:rsidRDefault="00886A25">
      <w:pPr>
        <w:spacing w:before="360" w:after="120"/>
        <w:rPr>
          <w:rFonts w:ascii="Times New Roman" w:hAnsi="Times New Roman" w:cs="Times New Roman"/>
          <w:b/>
          <w:color w:val="000000" w:themeColor="text1"/>
          <w:sz w:val="26"/>
          <w:szCs w:val="26"/>
        </w:rPr>
      </w:pPr>
    </w:p>
    <w:p w14:paraId="2DB02C62" w14:textId="1CCD6ED9" w:rsidR="001059D7" w:rsidRPr="00756825" w:rsidRDefault="00000000">
      <w:pPr>
        <w:spacing w:before="360" w:after="120"/>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Signatures</w:t>
      </w:r>
    </w:p>
    <w:tbl>
      <w:tblPr>
        <w:tblW w:w="0" w:type="auto"/>
        <w:tblLook w:val="04A0" w:firstRow="1" w:lastRow="0" w:firstColumn="1" w:lastColumn="0" w:noHBand="0" w:noVBand="1"/>
      </w:tblPr>
      <w:tblGrid>
        <w:gridCol w:w="4680"/>
        <w:gridCol w:w="4680"/>
      </w:tblGrid>
      <w:tr w:rsidR="00756825" w:rsidRPr="00756825" w14:paraId="5E92382B" w14:textId="77777777">
        <w:tc>
          <w:tcPr>
            <w:tcW w:w="4680" w:type="dxa"/>
          </w:tcPr>
          <w:p w14:paraId="5AA373C2"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MASS LANDSCAPE INC. (SELLER)</w:t>
            </w:r>
          </w:p>
          <w:p w14:paraId="4B9CB03E"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br/>
              <w:t>Signature: ______________________________</w:t>
            </w:r>
          </w:p>
          <w:p w14:paraId="55222166"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Date: ______________________________</w:t>
            </w:r>
          </w:p>
          <w:p w14:paraId="19682EF5"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Name: ______________________________</w:t>
            </w:r>
          </w:p>
          <w:p w14:paraId="4CDE2BDE"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Title: ______________________________</w:t>
            </w:r>
          </w:p>
        </w:tc>
        <w:tc>
          <w:tcPr>
            <w:tcW w:w="4680" w:type="dxa"/>
          </w:tcPr>
          <w:p w14:paraId="0245CCB4"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b/>
                <w:color w:val="000000" w:themeColor="text1"/>
                <w:sz w:val="26"/>
                <w:szCs w:val="26"/>
              </w:rPr>
              <w:t>METHODIC VENTURES LLC (BUYER)</w:t>
            </w:r>
          </w:p>
          <w:p w14:paraId="4ACABBD4"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br/>
              <w:t>Signature: Gavin Mestler</w:t>
            </w:r>
          </w:p>
          <w:p w14:paraId="5E9494D3"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Date: 04/04/2026</w:t>
            </w:r>
          </w:p>
          <w:p w14:paraId="051E4736"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Name: ______________________________</w:t>
            </w:r>
          </w:p>
          <w:p w14:paraId="759E8CF3" w14:textId="77777777" w:rsidR="001059D7" w:rsidRPr="00756825" w:rsidRDefault="00000000">
            <w:pPr>
              <w:rPr>
                <w:rFonts w:ascii="Times New Roman" w:hAnsi="Times New Roman" w:cs="Times New Roman"/>
                <w:color w:val="000000" w:themeColor="text1"/>
                <w:sz w:val="26"/>
                <w:szCs w:val="26"/>
              </w:rPr>
            </w:pPr>
            <w:r w:rsidRPr="00756825">
              <w:rPr>
                <w:rFonts w:ascii="Times New Roman" w:hAnsi="Times New Roman" w:cs="Times New Roman"/>
                <w:color w:val="000000" w:themeColor="text1"/>
                <w:sz w:val="26"/>
                <w:szCs w:val="26"/>
              </w:rPr>
              <w:t>Title: ______________________________</w:t>
            </w:r>
          </w:p>
        </w:tc>
      </w:tr>
    </w:tbl>
    <w:p w14:paraId="2A81A70F" w14:textId="42DE983D" w:rsidR="00F128E8" w:rsidRPr="00756825" w:rsidRDefault="00F128E8">
      <w:pPr>
        <w:rPr>
          <w:rFonts w:ascii="Times New Roman" w:hAnsi="Times New Roman" w:cs="Times New Roman"/>
          <w:color w:val="000000" w:themeColor="text1"/>
          <w:sz w:val="26"/>
          <w:szCs w:val="26"/>
        </w:rPr>
      </w:pPr>
    </w:p>
    <w:sectPr w:rsidR="00F128E8" w:rsidRPr="007568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re Baskerville">
    <w:panose1 w:val="02000000000000000000"/>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765568">
    <w:abstractNumId w:val="8"/>
  </w:num>
  <w:num w:numId="2" w16cid:durableId="1434938654">
    <w:abstractNumId w:val="6"/>
  </w:num>
  <w:num w:numId="3" w16cid:durableId="1383404028">
    <w:abstractNumId w:val="5"/>
  </w:num>
  <w:num w:numId="4" w16cid:durableId="1356805763">
    <w:abstractNumId w:val="4"/>
  </w:num>
  <w:num w:numId="5" w16cid:durableId="1540388084">
    <w:abstractNumId w:val="7"/>
  </w:num>
  <w:num w:numId="6" w16cid:durableId="1239439591">
    <w:abstractNumId w:val="3"/>
  </w:num>
  <w:num w:numId="7" w16cid:durableId="1613517023">
    <w:abstractNumId w:val="2"/>
  </w:num>
  <w:num w:numId="8" w16cid:durableId="1326081923">
    <w:abstractNumId w:val="1"/>
  </w:num>
  <w:num w:numId="9" w16cid:durableId="188397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9D7"/>
    <w:rsid w:val="0015074B"/>
    <w:rsid w:val="0029639D"/>
    <w:rsid w:val="002D42E6"/>
    <w:rsid w:val="00326F90"/>
    <w:rsid w:val="00756825"/>
    <w:rsid w:val="008145C8"/>
    <w:rsid w:val="00886A25"/>
    <w:rsid w:val="00AA1D8D"/>
    <w:rsid w:val="00B47730"/>
    <w:rsid w:val="00CB0664"/>
    <w:rsid w:val="00F128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79DBE"/>
  <w14:defaultImageDpi w14:val="300"/>
  <w15:docId w15:val="{78D11D9F-9A2C-344B-A0A9-7AAA804DE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Gavin Mestler</cp:lastModifiedBy>
  <cp:revision>2</cp:revision>
  <dcterms:created xsi:type="dcterms:W3CDTF">2026-04-13T22:15:00Z</dcterms:created>
  <dcterms:modified xsi:type="dcterms:W3CDTF">2026-04-13T22:15:00Z</dcterms:modified>
  <cp:category/>
</cp:coreProperties>
</file>