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40"/>
          <w:szCs w:val="40"/>
        </w:rPr>
        <w:t xml:space="preserve">The ApexPlanet Sales Data Story</w:t>
      </w:r>
    </w:p>
    <w:p>
      <w:pPr>
        <w:spacing w:after="400"/>
      </w:pPr>
      <w:r>
        <w:rPr>
          <w:color w:val="44546A"/>
          <w:sz w:val="24"/>
          <w:szCs w:val="24"/>
        </w:rPr>
        <w:t xml:space="preserve">Data Analytics Internship — Task 4 Final Narrative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60"/>
      </w:pPr>
      <w:r>
        <w:t xml:space="preserve">ApexPlanet's 1,000-order sales dataset was cleaned, explored, and segmented across Tasks 1–3. This report pulls those findings into one narrative: what the data shows, what it means for the business, and what to do about it — backed by a formal statistical test rather than a chart that merely looks convincing.</w:t>
      </w:r>
    </w:p>
    <w:p>
      <w:pPr>
        <w:pStyle w:val="Heading1"/>
        <w:spacing w:after="160" w:before="320"/>
      </w:pPr>
      <w:r>
        <w:t xml:space="preserve">2. The Analysis, in Order</w:t>
      </w:r>
    </w:p>
    <w:p>
      <w:pPr>
        <w:pStyle w:val="Heading2"/>
        <w:spacing w:after="120" w:before="240"/>
      </w:pPr>
      <w:r>
        <w:t xml:space="preserve">2.1 Getting the data ready (Task 1)</w:t>
      </w:r>
    </w:p>
    <w:p>
      <w:pPr>
        <w:spacing w:after="160"/>
      </w:pPr>
      <w:r>
        <w:t xml:space="preserve">The raw dataset had two real problems: 20 missing Age values, 13 missing City values, and — the standout issue — the Order_ID "ORD100050" was mistakenly reused across 9 different transactions. All three were fixed before any analysis began; without that step, any customer- or order-level finding downstream would have been unreliable.</w:t>
      </w:r>
    </w:p>
    <w:p>
      <w:pPr>
        <w:pStyle w:val="Heading2"/>
        <w:spacing w:after="120" w:before="240"/>
      </w:pPr>
      <w:r>
        <w:t xml:space="preserve">2.2 What the data shows (Task 2)</w:t>
      </w:r>
    </w:p>
    <w:p>
      <w:pPr>
        <w:spacing w:after="160"/>
      </w:pPr>
      <w:r>
        <w:t xml:space="preserve">Electronics is the single largest category by revenue (₹50.8M, 36.4% of the ₹139.4M total) despite being only 35% of order volume — it earns more per order than any other category. Revenue is right-skewed: a small number of high-ticket orders pull the average order value (₹1,39,399) well above the median.</w:t>
      </w:r>
    </w:p>
    <w:p>
      <w:pPr>
        <w:pStyle w:val="Heading2"/>
        <w:spacing w:after="120" w:before="240"/>
      </w:pPr>
      <w:r>
        <w:t xml:space="preserve">2.3 Who the customers are (Task 3)</w:t>
      </w:r>
    </w:p>
    <w:p>
      <w:pPr>
        <w:spacing w:after="160"/>
      </w:pPr>
      <w:r>
        <w:t xml:space="preserve">Clustering customers by spend, order frequency, and age split them into three clean groups: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50"/>
        <w:gridCol w:w="1150"/>
        <w:gridCol w:w="1450"/>
        <w:gridCol w:w="1300"/>
      </w:tblGrid>
      <w:tr>
        <w:tc>
          <w:tcPr>
            <w:tcW w:type="dxa" w:w="300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5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15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45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  <w:tc>
          <w:tcPr>
            <w:tcW w:type="dxa" w:w="130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Low-Value / One-Time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631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66.6%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₹76,117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34.5%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High-Value / Big-Basket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264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27.9%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₹2,84,833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53.9%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Repeat Customers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5.5%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₹3,11,035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11.6%</w:t>
            </w:r>
          </w:p>
        </w:tc>
      </w:tr>
    </w:tbl>
    <w:p>
      <w:pPr>
        <w:spacing w:after="160" w:before="200"/>
      </w:pPr>
      <w:r>
        <w:rPr>
          <w:i/>
          <w:iCs/>
          <w:color w:val="44546A"/>
          <w:sz w:val="21"/>
          <w:szCs w:val="21"/>
        </w:rPr>
        <w:t xml:space="preserve">28% of customers generate 54% of all revenue. That's the single most important number in this dataset — but a striking split in a table isn't yet proof it's real and repeatable, rather than an artifact of who happened to be in the data.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Putting the Key Finding to the Test</w:t>
      </w:r>
    </w:p>
    <w:p>
      <w:pPr>
        <w:spacing w:after="160"/>
      </w:pPr>
      <w:r>
        <w:t xml:space="preserve">Hypothesis: High-Value / Big-Basket customers have a significantly higher order value than Low-Value / One-Time customers — not just on average in this sample, but as a real, generalizable difference.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H0 (null): no difference in mean order value between the two segments.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H1 (alternative): High-Value / Big-Basket customers have a significantly higher mean order value.</w:t>
      </w:r>
    </w:p>
    <w:p>
      <w:pPr>
        <w:spacing w:after="160"/>
      </w:pPr>
      <w:r>
        <w:t xml:space="preserve">Both segments' customers placed exactly one order each, so their order values are independent observations — the right test is an independent two-sample t-test. A Levene's test first confirmed the two groups' variances are significantly different (p = 1.01×10⁻¹⁷), so Welch's t-test (which doesn't assume equal variances) was used.</w:t>
      </w:r>
    </w:p>
    <w:p>
      <w:pPr>
        <w:spacing w:after="200"/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c>
          <w:tcPr>
            <w:tcW w:type="dxa" w:w="465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00"/>
            <w:shd w:fill="4454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High-Value / Big-Basket mean order value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₹2,84,833 (n = 264)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Low-Value / One-Time mean order value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₹76,117 (n = 631)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Welch's t-statistic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38.93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p-value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2.64 × 10⁻¹²⁹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Mean difference (95% CI)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₹2,08,715 [₹1,98,171 – ₹2,19,260]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Effect size (Cohen's d)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3.43 (conventionally "large" is 0.8)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0"/>
      </w:pPr>
      <w:r>
        <w:rPr>
          <w:sz w:val="21"/>
          <w:szCs w:val="21"/>
        </w:rPr>
        <w:t xml:space="preserve">With a sample this large, even a trivial difference can become statistically significant — so the effect size matters as much as the p-value here. A Cohen's d of 3.43 means the two groups barely overlap: this is a large, practically meaningful gap, not a sample-size artifact.</w:t>
      </w:r>
    </w:p>
    <w:p>
      <w:pPr>
        <w:pStyle w:val="Heading1"/>
        <w:spacing w:after="160" w:before="320"/>
      </w:pPr>
      <w:r>
        <w:t xml:space="preserve">4. Conclusion &amp; Call to Action</w:t>
      </w:r>
    </w:p>
    <w:p>
      <w:pPr>
        <w:spacing w:after="160"/>
      </w:pPr>
      <w:r>
        <w:t xml:space="preserve">The 54%-of-revenue-from-28%-of-customers finding holds up under a formal test — it's a real, large, and statistically confirmed pattern, not noise. That changes it from an interesting chart into something worth acting 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 action: the ~264 High-Value / Big-Basket customers order only once on average (per Task 3). Converting even a small fraction of them into repeat buyers is now a statistically justified, high-leverage investment — each one is confirmed to be worth roughly ₹2,08,700 more per order than a typical one-time customer.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Secondary action: the 52 existing Repeat Customers are proof this conversion is achievable. Study what made them come back and turn it into a deliberate second-order incentive for the High-Value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focus: pair the retention push with Electronics, since it already drives the most revenue per order and likely overlaps heavily with the High-Value segment.</w:t>
      </w:r>
    </w:p>
    <w:p>
      <w:pPr>
        <w:pStyle w:val="Heading1"/>
        <w:spacing w:after="160" w:before="320"/>
      </w:pPr>
      <w:r>
        <w:t xml:space="preserve">5.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GitHub: this report (Data_Story_Report.docx), the hypothesis-testing notebook (ApexPlanet_Hypothesis_Testing.ipynb), and the final presentation deck (Final_Presentation.pptx).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LinkedIn video: 7–10 min — walk through the segmentation finding, show the hypothesis test as the proof point, and close on the retention recommendation.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8d53eef58b82f82f49019101ed8cf0bfd8063.png"/><Relationship Id="rId8" Type="http://schemas.openxmlformats.org/officeDocument/2006/relationships/image" Target="media/8d5e6b02c638e24b7a7229097cefac8b6a7c85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2026-09-22T06:30:24.421Z</dcterms:created>
  <dcterms:modified xsi:type="dcterms:W3CDTF">2026-09-22T06:30:24.430Z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