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1794" w14:textId="536B3DAB" w:rsidR="00A46652" w:rsidRDefault="007D68AA" w:rsidP="00185D1A">
      <w:pPr>
        <w:pStyle w:val="Title"/>
      </w:pPr>
      <w:r>
        <w:t>Complementary Data Description</w:t>
      </w:r>
    </w:p>
    <w:p w14:paraId="5C1EA2B7" w14:textId="1C55FD1C" w:rsidR="00A46652" w:rsidRDefault="00F342A2" w:rsidP="00414BA4">
      <w:pPr>
        <w:spacing w:line="276" w:lineRule="auto"/>
        <w:jc w:val="both"/>
      </w:pPr>
      <w:r>
        <w:t>For data used for the</w:t>
      </w:r>
      <w:r w:rsidR="007D68AA">
        <w:t xml:space="preserve"> online qualification: all channel data is ideal, with no noise and no Timing Advance (TA). The differences lie in the different scenarios for channel data collection, the number of anchors, and the distribution of anchors. In the finals, all channel data (including anchor points and points to be located) includes noise and TA. Please consider these non-ideal factors in your algorithm design. The coordinates of the anchor points are real coordinates.</w:t>
      </w:r>
    </w:p>
    <w:p w14:paraId="46F68701" w14:textId="7AA605CE" w:rsidR="007D68AA" w:rsidRDefault="007D68AA" w:rsidP="00414BA4">
      <w:pPr>
        <w:spacing w:line="276" w:lineRule="auto"/>
      </w:pPr>
    </w:p>
    <w:p w14:paraId="1E6284AF" w14:textId="50F010F8" w:rsidR="007D68AA" w:rsidRPr="007D68AA" w:rsidRDefault="007D68AA" w:rsidP="00414BA4">
      <w:pPr>
        <w:pStyle w:val="Heading4"/>
        <w:numPr>
          <w:ilvl w:val="0"/>
          <w:numId w:val="39"/>
        </w:numPr>
        <w:spacing w:line="276" w:lineRule="auto"/>
        <w:ind w:left="284" w:hanging="284"/>
        <w:rPr>
          <w:b/>
          <w:i w:val="0"/>
          <w:snapToGrid/>
          <w:color w:val="auto"/>
          <w:sz w:val="24"/>
          <w:szCs w:val="24"/>
        </w:rPr>
      </w:pPr>
      <w:r w:rsidRPr="007D68AA">
        <w:rPr>
          <w:b/>
          <w:i w:val="0"/>
          <w:color w:val="auto"/>
        </w:rPr>
        <w:t>Noise</w:t>
      </w:r>
      <w:r w:rsidRPr="007D68AA">
        <w:rPr>
          <w:b/>
          <w:i w:val="0"/>
          <w:color w:val="auto"/>
        </w:rPr>
        <w:tab/>
      </w:r>
    </w:p>
    <w:p w14:paraId="44890251" w14:textId="6E3997F2" w:rsidR="007D68AA" w:rsidRDefault="007D68AA" w:rsidP="00414BA4">
      <w:pPr>
        <w:spacing w:line="276" w:lineRule="auto"/>
        <w:jc w:val="both"/>
      </w:pPr>
      <w:r>
        <w:t xml:space="preserve">The noise is white Gaussian noise, with random noise added to different channel data points. The Signal-to-Noise Ratio (SNR) is 0 </w:t>
      </w:r>
      <w:proofErr w:type="spellStart"/>
      <w:r>
        <w:t>dB.</w:t>
      </w:r>
      <w:proofErr w:type="spellEnd"/>
    </w:p>
    <w:p w14:paraId="7D2D6E29" w14:textId="52E82882" w:rsidR="007D68AA" w:rsidRDefault="007D68AA" w:rsidP="00414BA4">
      <w:pPr>
        <w:spacing w:line="276" w:lineRule="auto"/>
        <w:rPr>
          <w:rStyle w:val="Strong"/>
        </w:rPr>
      </w:pPr>
    </w:p>
    <w:p w14:paraId="1AF3240B" w14:textId="77777777" w:rsidR="007D68AA" w:rsidRPr="007D68AA" w:rsidRDefault="007D68AA" w:rsidP="00414BA4">
      <w:pPr>
        <w:pStyle w:val="Heading4"/>
        <w:numPr>
          <w:ilvl w:val="0"/>
          <w:numId w:val="39"/>
        </w:numPr>
        <w:spacing w:line="276" w:lineRule="auto"/>
        <w:ind w:left="284" w:hanging="284"/>
        <w:rPr>
          <w:b/>
          <w:i w:val="0"/>
          <w:color w:val="auto"/>
        </w:rPr>
      </w:pPr>
      <w:r w:rsidRPr="007D68AA">
        <w:rPr>
          <w:b/>
          <w:i w:val="0"/>
          <w:color w:val="auto"/>
        </w:rPr>
        <w:t>TA (Timing Advance)</w:t>
      </w:r>
    </w:p>
    <w:p w14:paraId="02E3DE25" w14:textId="0F6899A6" w:rsidR="007D68AA" w:rsidRPr="007D68AA" w:rsidRDefault="007D68AA" w:rsidP="00414BA4">
      <w:pPr>
        <w:spacing w:line="276" w:lineRule="auto"/>
        <w:jc w:val="both"/>
      </w:pPr>
      <w:r>
        <w:t xml:space="preserve">The absolute distance of different terminals from the base station </w:t>
      </w:r>
      <w:r w:rsidR="00477E97">
        <w:t>are different</w:t>
      </w:r>
      <w:r>
        <w:t xml:space="preserve">, </w:t>
      </w:r>
      <w:r w:rsidR="00F342A2">
        <w:t>leading</w:t>
      </w:r>
      <w:r>
        <w:t xml:space="preserve"> </w:t>
      </w:r>
      <w:r w:rsidR="00477E97">
        <w:t>to</w:t>
      </w:r>
      <w:r>
        <w:t xml:space="preserve"> differen</w:t>
      </w:r>
      <w:r w:rsidR="00477E97">
        <w:t>ces in the</w:t>
      </w:r>
      <w:r>
        <w:t xml:space="preserve"> transmission</w:t>
      </w:r>
      <w:r w:rsidR="00477E97">
        <w:t xml:space="preserve"> time of the wireless signals</w:t>
      </w:r>
      <w:r>
        <w:t>. Since the base station uses time-frequency orthogonal multiple access, disorder</w:t>
      </w:r>
      <w:r w:rsidR="00F342A2">
        <w:t>s</w:t>
      </w:r>
      <w:r>
        <w:t xml:space="preserve"> in the frequency domain of different terminals arriving at the base station within the same subframe would cause significant interference. Therefore, the</w:t>
      </w:r>
      <w:r w:rsidR="00477E97">
        <w:t xml:space="preserve"> wireless</w:t>
      </w:r>
      <w:r>
        <w:t xml:space="preserve"> protocol requires that signals from different terminals arrive at the base station </w:t>
      </w:r>
      <w:r w:rsidR="00477E97">
        <w:t xml:space="preserve">to be </w:t>
      </w:r>
      <w:r>
        <w:t>aligned within the Cyclic Prefix (CP) range. The base station can notify the terminal to transmit the uplink signal with an appropriate timing advance (TA) using a TA command. The effect of TA on the channel is described as follows:</w:t>
      </w:r>
      <w:r w:rsidR="00477E97">
        <w:t xml:space="preserve"> </w:t>
      </w:r>
      <w:r>
        <w:t>In the delay domain, a multipath channel can be represented as:</w:t>
      </w:r>
    </w:p>
    <w:p w14:paraId="6B62E4FB" w14:textId="77777777" w:rsidR="00AC3537" w:rsidRDefault="00AC3537" w:rsidP="00414BA4">
      <w:pPr>
        <w:spacing w:line="276" w:lineRule="auto"/>
        <w:ind w:firstLine="420"/>
      </w:pPr>
      <m:oMathPara>
        <m:oMath>
          <m:r>
            <w:rPr>
              <w:rFonts w:ascii="Cambria Math" w:hAnsi="Cambria Math"/>
            </w:rPr>
            <m:t>h</m:t>
          </m:r>
          <m:d>
            <m:dPr>
              <m:ctrlPr>
                <w:rPr>
                  <w:rFonts w:ascii="Cambria Math" w:hAnsi="Cambria Math"/>
                  <w:lang w:val="en-GB"/>
                </w:rPr>
              </m:ctrlPr>
            </m:dPr>
            <m:e>
              <m:r>
                <w:rPr>
                  <w:rFonts w:ascii="Cambria Math" w:hAnsi="Cambria Math"/>
                  <w:lang w:val="en-GB"/>
                </w:rPr>
                <m:t>t</m:t>
              </m:r>
            </m:e>
          </m:d>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L</m:t>
              </m:r>
            </m:sup>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lang w:val="en-GB"/>
                        </w:rPr>
                      </m:ctrlPr>
                    </m:sSubPr>
                    <m:e>
                      <m:r>
                        <m:rPr>
                          <m:sty m:val="p"/>
                        </m:rPr>
                        <w:rPr>
                          <w:rFonts w:ascii="Cambria Math" w:hAnsi="Cambria Math"/>
                          <w:lang w:val="en-GB"/>
                        </w:rPr>
                        <m:t>Φ</m:t>
                      </m:r>
                      <m:ctrlPr>
                        <w:rPr>
                          <w:rFonts w:ascii="Cambria Math" w:hAnsi="Cambria Math"/>
                          <w:lang w:val="en-GB"/>
                        </w:rPr>
                      </m:ctrlP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sup>
              </m:sSup>
              <m:r>
                <w:rPr>
                  <w:rFonts w:ascii="Cambria Math" w:hAnsi="Cambria Math"/>
                  <w:lang w:val="en-GB"/>
                </w:rPr>
                <m:t>δ</m:t>
              </m:r>
              <m:d>
                <m:dPr>
                  <m:ctrlPr>
                    <w:rPr>
                      <w:rFonts w:ascii="Cambria Math" w:hAnsi="Cambria Math"/>
                      <w:i/>
                      <w:lang w:val="en-GB"/>
                    </w:rPr>
                  </m:ctrlPr>
                </m:dPr>
                <m:e>
                  <m:r>
                    <w:rPr>
                      <w:rFonts w:ascii="Cambria Math" w:hAnsi="Cambria Math" w:hint="eastAsia"/>
                      <w:lang w:val="en-GB"/>
                    </w:rPr>
                    <m:t>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e>
              </m:d>
            </m:e>
          </m:nary>
        </m:oMath>
      </m:oMathPara>
    </w:p>
    <w:p w14:paraId="6A9E248F" w14:textId="38AB9E10" w:rsidR="003B780D" w:rsidRDefault="007D68AA" w:rsidP="00414BA4">
      <w:pPr>
        <w:spacing w:line="276" w:lineRule="auto"/>
        <w:jc w:val="both"/>
      </w:pPr>
      <w:r>
        <w:t xml:space="preserve">where </w:t>
      </w:r>
      <w:r w:rsidR="00477E97" w:rsidRPr="00477E97">
        <w:rPr>
          <w:i/>
        </w:rPr>
        <w:t>L</w:t>
      </w:r>
      <w:r>
        <w:t xml:space="preserve"> represents the total number of multipaths, and </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oMath>
      <w:r>
        <w:t xml:space="preserve">and </w:t>
      </w:r>
      <m:oMath>
        <m:sSub>
          <m:sSubPr>
            <m:ctrlPr>
              <w:rPr>
                <w:rFonts w:ascii="Cambria Math" w:hAnsi="Cambria Math"/>
                <w:i/>
                <w:lang w:val="en-GB"/>
              </w:rPr>
            </m:ctrlPr>
          </m:sSubPr>
          <m:e>
            <m:r>
              <m:rPr>
                <m:sty m:val="p"/>
              </m:rPr>
              <w:rPr>
                <w:rFonts w:ascii="Cambria Math" w:hAnsi="Cambria Math"/>
                <w:lang w:val="en-GB"/>
              </w:rPr>
              <m:t>Φ</m:t>
            </m:r>
            <m:ctrlPr>
              <w:rPr>
                <w:rFonts w:ascii="Cambria Math" w:hAnsi="Cambria Math"/>
                <w:lang w:val="en-GB"/>
              </w:rPr>
            </m:ctrlP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oMath>
      <w:r w:rsidRPr="007D68AA">
        <w:t>​</w:t>
      </w:r>
      <w:r>
        <w:t xml:space="preserve"> represent the amplitude attenuation and phase of the </w:t>
      </w:r>
      <w:proofErr w:type="spellStart"/>
      <w:r w:rsidRPr="007D68AA">
        <w:t>i</w:t>
      </w:r>
      <w:r>
        <w:t>-th</w:t>
      </w:r>
      <w:proofErr w:type="spellEnd"/>
      <w:r>
        <w:t xml:space="preserve"> path, respectively, while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oMath>
      <w:r>
        <w:t>is the path delay, and</w:t>
      </w:r>
      <m:oMath>
        <m:r>
          <w:rPr>
            <w:rFonts w:ascii="Cambria Math" w:hAnsi="Cambria Math"/>
            <w:lang w:val="en-GB"/>
          </w:rPr>
          <m:t xml:space="preserve"> δ</m:t>
        </m:r>
        <m:d>
          <m:dPr>
            <m:ctrlPr>
              <w:rPr>
                <w:rFonts w:ascii="Cambria Math" w:hAnsi="Cambria Math"/>
                <w:i/>
                <w:lang w:val="en-GB"/>
              </w:rPr>
            </m:ctrlPr>
          </m:dPr>
          <m:e>
            <m:r>
              <w:rPr>
                <w:rFonts w:ascii="Cambria Math" w:hAnsi="Cambria Math"/>
                <w:lang w:val="en-GB"/>
              </w:rPr>
              <m:t>.</m:t>
            </m:r>
          </m:e>
        </m:d>
      </m:oMath>
      <w:r>
        <w:t xml:space="preserve"> is the unit impulse function.</w:t>
      </w:r>
      <w:r w:rsidRPr="007D68AA">
        <w:rPr>
          <w:rFonts w:hint="eastAsia"/>
        </w:rPr>
        <w:t xml:space="preserve"> </w:t>
      </w:r>
      <w:r w:rsidRPr="007D68AA">
        <w:t>With</w:t>
      </w:r>
      <w:r>
        <w:t xml:space="preserve"> the influence of TA, </w:t>
      </w:r>
      <w:r w:rsidR="00477E97">
        <w:t xml:space="preserve">the signal </w:t>
      </w:r>
      <w:r>
        <w:t xml:space="preserve">will experience an </w:t>
      </w:r>
      <w:r w:rsidR="00477E97">
        <w:t xml:space="preserve">overall time </w:t>
      </w:r>
      <w:r>
        <w:t>shift</w:t>
      </w:r>
      <w:r w:rsidR="00477E97">
        <w:t xml:space="preserve"> (i.e.,</w:t>
      </w:r>
      <w:r>
        <w:t xml:space="preserve"> forward or backward</w:t>
      </w:r>
      <w:r w:rsidR="00477E97">
        <w:t>)</w:t>
      </w:r>
      <w:r>
        <w:t>:</w:t>
      </w:r>
    </w:p>
    <w:p w14:paraId="4FED7EEE" w14:textId="77777777" w:rsidR="00A32BF9" w:rsidRDefault="00A32BF9" w:rsidP="00414BA4">
      <w:pPr>
        <w:spacing w:line="276" w:lineRule="auto"/>
        <w:ind w:firstLine="420"/>
      </w:pPr>
      <m:oMathPara>
        <m:oMath>
          <m:r>
            <w:rPr>
              <w:rFonts w:ascii="Cambria Math" w:hAnsi="Cambria Math"/>
            </w:rPr>
            <m:t>h</m:t>
          </m:r>
          <m:d>
            <m:dPr>
              <m:ctrlPr>
                <w:rPr>
                  <w:rFonts w:ascii="Cambria Math" w:hAnsi="Cambria Math"/>
                  <w:lang w:val="en-GB"/>
                </w:rPr>
              </m:ctrlPr>
            </m:dPr>
            <m:e>
              <m:r>
                <w:rPr>
                  <w:rFonts w:ascii="Cambria Math" w:hAnsi="Cambria Math"/>
                  <w:lang w:val="en-GB"/>
                </w:rPr>
                <m:t>t</m:t>
              </m:r>
            </m:e>
          </m:d>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L</m:t>
              </m:r>
            </m:sup>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lang w:val="en-GB"/>
                        </w:rPr>
                      </m:ctrlPr>
                    </m:sSubPr>
                    <m:e>
                      <m:r>
                        <m:rPr>
                          <m:sty m:val="p"/>
                        </m:rPr>
                        <w:rPr>
                          <w:rFonts w:ascii="Cambria Math" w:hAnsi="Cambria Math"/>
                          <w:lang w:val="en-GB"/>
                        </w:rPr>
                        <m:t>Φ</m:t>
                      </m:r>
                      <m:ctrlPr>
                        <w:rPr>
                          <w:rFonts w:ascii="Cambria Math" w:hAnsi="Cambria Math"/>
                          <w:lang w:val="en-GB"/>
                        </w:rPr>
                      </m:ctrlP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sup>
              </m:sSup>
              <m:r>
                <w:rPr>
                  <w:rFonts w:ascii="Cambria Math" w:hAnsi="Cambria Math"/>
                  <w:lang w:val="en-GB"/>
                </w:rPr>
                <m:t>δ</m:t>
              </m:r>
              <m:d>
                <m:dPr>
                  <m:ctrlPr>
                    <w:rPr>
                      <w:rFonts w:ascii="Cambria Math" w:hAnsi="Cambria Math"/>
                      <w:i/>
                      <w:lang w:val="en-GB"/>
                    </w:rPr>
                  </m:ctrlPr>
                </m:dPr>
                <m:e>
                  <m:r>
                    <w:rPr>
                      <w:rFonts w:ascii="Cambria Math" w:hAnsi="Cambria Math" w:hint="eastAsia"/>
                      <w:lang w:val="en-GB"/>
                    </w:rPr>
                    <m:t>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r>
                    <w:rPr>
                      <w:rFonts w:ascii="Cambria Math" w:hAnsi="Cambria Math"/>
                      <w:color w:val="FF0000"/>
                      <w:lang w:val="en-GB"/>
                    </w:rPr>
                    <m:t>TA</m:t>
                  </m:r>
                </m:e>
              </m:d>
            </m:e>
          </m:nary>
        </m:oMath>
      </m:oMathPara>
    </w:p>
    <w:p w14:paraId="48ABBF32" w14:textId="78EF4F43" w:rsidR="007A76A1" w:rsidRDefault="007D68AA" w:rsidP="00414BA4">
      <w:pPr>
        <w:spacing w:line="276" w:lineRule="auto"/>
        <w:jc w:val="both"/>
      </w:pPr>
      <w:r>
        <w:t xml:space="preserve">An example figure shows the Power Delay Profile (PDP) of the channel with and without TA. As </w:t>
      </w:r>
      <w:r>
        <w:lastRenderedPageBreak/>
        <w:t>can be seen, with TA, the PDP curve shifts overall</w:t>
      </w:r>
      <w:r w:rsidR="00477E97">
        <w:rPr>
          <w:noProof/>
        </w:rPr>
        <w:drawing>
          <wp:anchor distT="0" distB="0" distL="114300" distR="114300" simplePos="0" relativeHeight="251658240" behindDoc="0" locked="0" layoutInCell="1" allowOverlap="0" wp14:anchorId="0FC0BEBF" wp14:editId="26A7A16E">
            <wp:simplePos x="0" y="0"/>
            <wp:positionH relativeFrom="column">
              <wp:posOffset>2691130</wp:posOffset>
            </wp:positionH>
            <wp:positionV relativeFrom="paragraph">
              <wp:posOffset>22225</wp:posOffset>
            </wp:positionV>
            <wp:extent cx="2005200" cy="1497600"/>
            <wp:effectExtent l="0" t="0" r="0" b="7620"/>
            <wp:wrapTopAndBottom/>
            <wp:docPr id="2" name="图片 2" descr="D:\Software\WeLink\imagefiles\AE40B4DA-75AE-45A6-AD2A-FD33D41B2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oftware\WeLink\imagefiles\AE40B4DA-75AE-45A6-AD2A-FD33D41B210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5200" cy="149760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p w14:paraId="132E18F0" w14:textId="77777777" w:rsidR="007D68AA" w:rsidRDefault="007D68AA" w:rsidP="00414BA4">
      <w:pPr>
        <w:spacing w:line="276" w:lineRule="auto"/>
        <w:rPr>
          <w:rStyle w:val="Strong"/>
        </w:rPr>
      </w:pPr>
    </w:p>
    <w:p w14:paraId="53F514AC" w14:textId="3C9FD7EF" w:rsidR="00A32BF9" w:rsidRPr="00193B78" w:rsidRDefault="007D68AA" w:rsidP="00414BA4">
      <w:pPr>
        <w:spacing w:line="276" w:lineRule="auto"/>
      </w:pPr>
      <w:r w:rsidRPr="00477E97">
        <w:rPr>
          <w:b/>
          <w:bCs/>
        </w:rPr>
        <w:t>[Note]</w:t>
      </w:r>
      <w:r>
        <w:t xml:space="preserve"> In this </w:t>
      </w:r>
      <w:r w:rsidR="00477E97">
        <w:t>competition</w:t>
      </w:r>
      <w:r>
        <w:t>, the channel</w:t>
      </w:r>
      <w:r w:rsidR="00477E97">
        <w:t xml:space="preserve"> provided</w:t>
      </w:r>
      <w:r>
        <w:t xml:space="preserve"> is in the frequency domain, specifically SRS (Sounding Reference Signal) channel</w:t>
      </w:r>
      <w:r w:rsidR="00477E97">
        <w:t>s</w:t>
      </w:r>
      <w:r>
        <w:t>. The frequency and delay domains are Fourier transform</w:t>
      </w:r>
      <w:r w:rsidR="00477E97">
        <w:t>ed</w:t>
      </w:r>
      <w:r>
        <w:t xml:space="preserve"> pairs. By performing a </w:t>
      </w:r>
      <w:r w:rsidR="009265AC">
        <w:t>DFT</w:t>
      </w:r>
      <w:r>
        <w:t xml:space="preserve"> on the delay domain channel, you can obtain the frequency domain channel; performing</w:t>
      </w:r>
      <w:r w:rsidR="009265AC">
        <w:t xml:space="preserve"> an IDFT</w:t>
      </w:r>
      <w:r>
        <w:t xml:space="preserve"> on the frequency domain channel gives the delay domain channel.</w:t>
      </w:r>
    </w:p>
    <w:p w14:paraId="39703AC0" w14:textId="77777777" w:rsidR="009265AC" w:rsidRDefault="009265AC" w:rsidP="00414BA4">
      <w:pPr>
        <w:pStyle w:val="Heading4"/>
        <w:spacing w:line="276" w:lineRule="auto"/>
        <w:ind w:left="284"/>
        <w:rPr>
          <w:b/>
          <w:i w:val="0"/>
          <w:color w:val="auto"/>
        </w:rPr>
      </w:pPr>
    </w:p>
    <w:p w14:paraId="7ACB8C7F" w14:textId="5B2BC6A3" w:rsidR="007D68AA" w:rsidRPr="007D68AA" w:rsidRDefault="007D68AA" w:rsidP="00414BA4">
      <w:pPr>
        <w:pStyle w:val="Heading4"/>
        <w:numPr>
          <w:ilvl w:val="0"/>
          <w:numId w:val="39"/>
        </w:numPr>
        <w:spacing w:line="276" w:lineRule="auto"/>
        <w:ind w:left="284" w:hanging="284"/>
        <w:rPr>
          <w:b/>
          <w:i w:val="0"/>
          <w:color w:val="auto"/>
        </w:rPr>
      </w:pPr>
      <w:r w:rsidRPr="007D68AA">
        <w:rPr>
          <w:b/>
          <w:i w:val="0"/>
          <w:color w:val="auto"/>
        </w:rPr>
        <w:t>TA Range in Final Channel Data</w:t>
      </w:r>
    </w:p>
    <w:p w14:paraId="6DD9D74D" w14:textId="507AEA04" w:rsidR="007D68AA" w:rsidRPr="009265AC" w:rsidRDefault="009265AC" w:rsidP="00414BA4">
      <w:pPr>
        <w:pStyle w:val="NormalWeb"/>
        <w:spacing w:line="276" w:lineRule="auto"/>
        <w:rPr>
          <w:rFonts w:eastAsia="SimSun"/>
          <w:snapToGrid w:val="0"/>
          <w:sz w:val="21"/>
          <w:szCs w:val="21"/>
          <w:lang w:val="en-US"/>
        </w:rPr>
      </w:pPr>
      <w:r>
        <w:rPr>
          <w:rFonts w:eastAsia="SimSun"/>
          <w:snapToGrid w:val="0"/>
          <w:sz w:val="21"/>
          <w:szCs w:val="21"/>
          <w:lang w:val="en-US"/>
        </w:rPr>
        <w:t>For channels used for on-site Hackathon</w:t>
      </w:r>
      <w:r w:rsidR="007D68AA" w:rsidRPr="009265AC">
        <w:rPr>
          <w:rFonts w:eastAsia="SimSun"/>
          <w:snapToGrid w:val="0"/>
          <w:sz w:val="21"/>
          <w:szCs w:val="21"/>
          <w:lang w:val="en-US"/>
        </w:rPr>
        <w:t>, the TA range is between -8Ts and +8Ts, where Ts is defined as the time unit in 5G NR:</w:t>
      </w:r>
    </w:p>
    <w:p w14:paraId="798B2769" w14:textId="77777777" w:rsidR="002C226D" w:rsidRDefault="002C226D" w:rsidP="00414BA4">
      <w:pPr>
        <w:spacing w:line="276" w:lineRule="auto"/>
        <w:ind w:firstLine="420"/>
      </w:pPr>
      <m:oMathPara>
        <m:oMath>
          <m:r>
            <m:rPr>
              <m:sty m:val="p"/>
            </m:rPr>
            <w:rPr>
              <w:rFonts w:ascii="Cambria Math" w:hAnsi="Cambria Math"/>
            </w:rPr>
            <m:t>1Ts=</m:t>
          </m:r>
          <m:f>
            <m:fPr>
              <m:ctrlPr>
                <w:rPr>
                  <w:rFonts w:ascii="Cambria Math" w:hAnsi="Cambria Math"/>
                </w:rPr>
              </m:ctrlPr>
            </m:fPr>
            <m:num>
              <m:r>
                <m:rPr>
                  <m:sty m:val="p"/>
                </m:rPr>
                <w:rPr>
                  <w:rFonts w:ascii="Cambria Math" w:hAnsi="Cambria Math"/>
                </w:rPr>
                <m:t>1</m:t>
              </m:r>
            </m:num>
            <m:den>
              <m:r>
                <w:rPr>
                  <w:rFonts w:ascii="Cambria Math" w:hAnsi="Cambria Math" w:hint="eastAsia"/>
                </w:rPr>
                <m:t>SCS</m:t>
              </m:r>
              <m:r>
                <m:rPr>
                  <m:sty m:val="p"/>
                </m:rPr>
                <w:rPr>
                  <w:rFonts w:ascii="Cambria Math" w:hAnsi="Cambria Math"/>
                </w:rPr>
                <m:t>*</m:t>
              </m:r>
              <m:r>
                <w:rPr>
                  <w:rFonts w:ascii="Cambria Math" w:hAnsi="Cambria Math"/>
                </w:rPr>
                <m:t>FFTSize</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30*1000*2048</m:t>
              </m:r>
            </m:den>
          </m:f>
          <m:r>
            <w:rPr>
              <w:rFonts w:ascii="Cambria Math" w:hAnsi="Cambria Math"/>
            </w:rPr>
            <m:t>s</m:t>
          </m:r>
          <m:r>
            <m:rPr>
              <m:sty m:val="p"/>
            </m:rPr>
            <w:rPr>
              <w:rFonts w:ascii="Cambria Math" w:hAnsi="Cambria Math"/>
            </w:rPr>
            <m:t>≈16.28</m:t>
          </m:r>
          <m:r>
            <w:rPr>
              <w:rFonts w:ascii="Cambria Math" w:hAnsi="Cambria Math"/>
            </w:rPr>
            <m:t>ns</m:t>
          </m:r>
        </m:oMath>
      </m:oMathPara>
    </w:p>
    <w:p w14:paraId="75365A0F" w14:textId="77777777" w:rsidR="009265AC" w:rsidRDefault="009265AC" w:rsidP="00414BA4">
      <w:pPr>
        <w:widowControl/>
        <w:autoSpaceDE/>
        <w:autoSpaceDN/>
        <w:adjustRightInd/>
        <w:spacing w:line="276" w:lineRule="auto"/>
      </w:pPr>
    </w:p>
    <w:p w14:paraId="7EFC0364" w14:textId="266E81E5" w:rsidR="007D68AA" w:rsidRPr="007D68AA" w:rsidRDefault="009265AC" w:rsidP="00414BA4">
      <w:pPr>
        <w:widowControl/>
        <w:autoSpaceDE/>
        <w:autoSpaceDN/>
        <w:adjustRightInd/>
        <w:spacing w:line="276" w:lineRule="auto"/>
      </w:pPr>
      <w:r>
        <w:t>Which means that the TA</w:t>
      </w:r>
      <w:r w:rsidR="007D68AA" w:rsidRPr="009265AC">
        <w:t> range</w:t>
      </w:r>
      <w:r>
        <w:t xml:space="preserve"> is</w:t>
      </w:r>
      <w:r w:rsidR="007D68AA" w:rsidRPr="009265AC">
        <w:t> approximately</w:t>
      </w:r>
      <w:r>
        <w:t xml:space="preserve"> from</w:t>
      </w:r>
      <w:r w:rsidR="007D68AA" w:rsidRPr="009265AC">
        <w:t> -130ns to 130ns</w:t>
      </w:r>
      <w:r>
        <w:t xml:space="preserve">. </w:t>
      </w:r>
      <w:r w:rsidR="007D68AA" w:rsidRPr="007D68AA">
        <w:t>Each user's TA value is a random</w:t>
      </w:r>
      <w:r>
        <w:t xml:space="preserve"> variable that is applicable to the whole band</w:t>
      </w:r>
      <w:r w:rsidR="007D68AA" w:rsidRPr="007D68AA">
        <w:t xml:space="preserve">, </w:t>
      </w:r>
      <w:r w:rsidR="00B339F4">
        <w:t>meaning that</w:t>
      </w:r>
      <w:r w:rsidR="007D68AA" w:rsidRPr="007D68AA">
        <w:t xml:space="preserve"> each terminal’s channel TA value is identical across all subcarriers.</w:t>
      </w:r>
    </w:p>
    <w:p w14:paraId="7934AD75" w14:textId="77777777" w:rsidR="00152B8F" w:rsidRPr="009265AC" w:rsidRDefault="00152B8F" w:rsidP="00414BA4">
      <w:pPr>
        <w:spacing w:line="276" w:lineRule="auto"/>
      </w:pPr>
      <w:bookmarkStart w:id="0" w:name="_GoBack"/>
      <w:bookmarkEnd w:id="0"/>
    </w:p>
    <w:sectPr w:rsidR="00152B8F" w:rsidRPr="009265AC">
      <w:headerReference w:type="even" r:id="rId9"/>
      <w:footerReference w:type="even"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3BD18" w14:textId="77777777" w:rsidR="00D625DB" w:rsidRDefault="00D625DB">
      <w:r>
        <w:separator/>
      </w:r>
    </w:p>
  </w:endnote>
  <w:endnote w:type="continuationSeparator" w:id="0">
    <w:p w14:paraId="67CE953B" w14:textId="77777777" w:rsidR="00D625DB" w:rsidRDefault="00D6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C86D" w14:textId="77777777" w:rsidR="00152B8F" w:rsidRDefault="00152B8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240C6" w14:textId="77777777" w:rsidR="00152B8F" w:rsidRDefault="00152B8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FA541" w14:textId="77777777" w:rsidR="00D625DB" w:rsidRDefault="00D625DB">
      <w:r>
        <w:separator/>
      </w:r>
    </w:p>
  </w:footnote>
  <w:footnote w:type="continuationSeparator" w:id="0">
    <w:p w14:paraId="0F70CD6C" w14:textId="77777777" w:rsidR="00D625DB" w:rsidRDefault="00D62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92CB7" w14:textId="77777777" w:rsidR="00152B8F" w:rsidRDefault="00152B8F">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47CD" w14:textId="77777777" w:rsidR="00152B8F" w:rsidRDefault="00152B8F">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EC45224"/>
    <w:multiLevelType w:val="hybridMultilevel"/>
    <w:tmpl w:val="F2507C1C"/>
    <w:lvl w:ilvl="0" w:tplc="04090003">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4DB772E"/>
    <w:multiLevelType w:val="hybridMultilevel"/>
    <w:tmpl w:val="C592FB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4295F28"/>
    <w:multiLevelType w:val="hybridMultilevel"/>
    <w:tmpl w:val="9BB62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2"/>
  </w:num>
  <w:num w:numId="11">
    <w:abstractNumId w:val="2"/>
  </w:num>
  <w:num w:numId="12">
    <w:abstractNumId w:val="2"/>
  </w:num>
  <w:num w:numId="13">
    <w:abstractNumId w:val="5"/>
  </w:num>
  <w:num w:numId="14">
    <w:abstractNumId w:val="7"/>
  </w:num>
  <w:num w:numId="15">
    <w:abstractNumId w:val="0"/>
  </w:num>
  <w:num w:numId="16">
    <w:abstractNumId w:val="4"/>
  </w:num>
  <w:num w:numId="17">
    <w:abstractNumId w:val="9"/>
  </w:num>
  <w:num w:numId="18">
    <w:abstractNumId w:val="9"/>
  </w:num>
  <w:num w:numId="19">
    <w:abstractNumId w:val="9"/>
  </w:num>
  <w:num w:numId="20">
    <w:abstractNumId w:val="14"/>
  </w:num>
  <w:num w:numId="21">
    <w:abstractNumId w:val="14"/>
  </w:num>
  <w:num w:numId="22">
    <w:abstractNumId w:val="14"/>
  </w:num>
  <w:num w:numId="23">
    <w:abstractNumId w:val="14"/>
  </w:num>
  <w:num w:numId="24">
    <w:abstractNumId w:val="9"/>
  </w:num>
  <w:num w:numId="25">
    <w:abstractNumId w:val="9"/>
  </w:num>
  <w:num w:numId="26">
    <w:abstractNumId w:val="14"/>
  </w:num>
  <w:num w:numId="27">
    <w:abstractNumId w:val="14"/>
  </w:num>
  <w:num w:numId="28">
    <w:abstractNumId w:val="14"/>
  </w:num>
  <w:num w:numId="29">
    <w:abstractNumId w:val="1"/>
  </w:num>
  <w:num w:numId="30">
    <w:abstractNumId w:val="9"/>
  </w:num>
  <w:num w:numId="31">
    <w:abstractNumId w:val="9"/>
  </w:num>
  <w:num w:numId="32">
    <w:abstractNumId w:val="14"/>
  </w:num>
  <w:num w:numId="33">
    <w:abstractNumId w:val="12"/>
  </w:num>
  <w:num w:numId="34">
    <w:abstractNumId w:val="12"/>
  </w:num>
  <w:num w:numId="35">
    <w:abstractNumId w:val="12"/>
  </w:num>
  <w:num w:numId="36">
    <w:abstractNumId w:val="11"/>
  </w:num>
  <w:num w:numId="37">
    <w:abstractNumId w:val="6"/>
  </w:num>
  <w:num w:numId="38">
    <w:abstractNumId w:val="1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52"/>
    <w:rsid w:val="000178E6"/>
    <w:rsid w:val="00035469"/>
    <w:rsid w:val="0003605F"/>
    <w:rsid w:val="00080F25"/>
    <w:rsid w:val="00091E38"/>
    <w:rsid w:val="0009426B"/>
    <w:rsid w:val="000A007B"/>
    <w:rsid w:val="000A13D4"/>
    <w:rsid w:val="000B289D"/>
    <w:rsid w:val="000C0C5F"/>
    <w:rsid w:val="000D75EB"/>
    <w:rsid w:val="000E68B7"/>
    <w:rsid w:val="000F0714"/>
    <w:rsid w:val="000F18EE"/>
    <w:rsid w:val="00100DFD"/>
    <w:rsid w:val="00124640"/>
    <w:rsid w:val="00152B8F"/>
    <w:rsid w:val="00153DA9"/>
    <w:rsid w:val="001604E5"/>
    <w:rsid w:val="001672C1"/>
    <w:rsid w:val="00175FAE"/>
    <w:rsid w:val="00185D1A"/>
    <w:rsid w:val="001914F3"/>
    <w:rsid w:val="00193B78"/>
    <w:rsid w:val="001B0973"/>
    <w:rsid w:val="001D0EB6"/>
    <w:rsid w:val="001D43CA"/>
    <w:rsid w:val="001F268A"/>
    <w:rsid w:val="002119EB"/>
    <w:rsid w:val="002148F3"/>
    <w:rsid w:val="00224578"/>
    <w:rsid w:val="002268BD"/>
    <w:rsid w:val="00231D25"/>
    <w:rsid w:val="002425AC"/>
    <w:rsid w:val="00250F82"/>
    <w:rsid w:val="0025201C"/>
    <w:rsid w:val="00273AE0"/>
    <w:rsid w:val="00284B45"/>
    <w:rsid w:val="002A564A"/>
    <w:rsid w:val="002B4453"/>
    <w:rsid w:val="002C226D"/>
    <w:rsid w:val="002C50E9"/>
    <w:rsid w:val="002D7AAF"/>
    <w:rsid w:val="002F5BC1"/>
    <w:rsid w:val="002F6475"/>
    <w:rsid w:val="002F7C22"/>
    <w:rsid w:val="003035C5"/>
    <w:rsid w:val="003055E4"/>
    <w:rsid w:val="00307760"/>
    <w:rsid w:val="00322726"/>
    <w:rsid w:val="0035113A"/>
    <w:rsid w:val="00386A95"/>
    <w:rsid w:val="00396AD0"/>
    <w:rsid w:val="003A05A5"/>
    <w:rsid w:val="003B780D"/>
    <w:rsid w:val="003D122C"/>
    <w:rsid w:val="003E0CE7"/>
    <w:rsid w:val="003F41EA"/>
    <w:rsid w:val="00414BA4"/>
    <w:rsid w:val="00425F62"/>
    <w:rsid w:val="0045038E"/>
    <w:rsid w:val="00464D1A"/>
    <w:rsid w:val="00477E97"/>
    <w:rsid w:val="00496021"/>
    <w:rsid w:val="004A49F7"/>
    <w:rsid w:val="004B76EB"/>
    <w:rsid w:val="004D0C8E"/>
    <w:rsid w:val="004D69DD"/>
    <w:rsid w:val="004E19F9"/>
    <w:rsid w:val="004E3DBD"/>
    <w:rsid w:val="00531E0F"/>
    <w:rsid w:val="00572877"/>
    <w:rsid w:val="00575327"/>
    <w:rsid w:val="005A14D3"/>
    <w:rsid w:val="005A5479"/>
    <w:rsid w:val="005A57CC"/>
    <w:rsid w:val="005C579F"/>
    <w:rsid w:val="005D265C"/>
    <w:rsid w:val="005F1EDC"/>
    <w:rsid w:val="006054C7"/>
    <w:rsid w:val="0060617F"/>
    <w:rsid w:val="00622E01"/>
    <w:rsid w:val="00634265"/>
    <w:rsid w:val="006343AB"/>
    <w:rsid w:val="00693C5D"/>
    <w:rsid w:val="006B1AC6"/>
    <w:rsid w:val="006F3FF2"/>
    <w:rsid w:val="006F6832"/>
    <w:rsid w:val="00703AFC"/>
    <w:rsid w:val="00703EDF"/>
    <w:rsid w:val="007307DB"/>
    <w:rsid w:val="00734F93"/>
    <w:rsid w:val="00741BB2"/>
    <w:rsid w:val="00744CED"/>
    <w:rsid w:val="0075012D"/>
    <w:rsid w:val="00751E53"/>
    <w:rsid w:val="00752FA5"/>
    <w:rsid w:val="00774133"/>
    <w:rsid w:val="00775BB5"/>
    <w:rsid w:val="00777E86"/>
    <w:rsid w:val="00780144"/>
    <w:rsid w:val="007A2D13"/>
    <w:rsid w:val="007A3C83"/>
    <w:rsid w:val="007A69A3"/>
    <w:rsid w:val="007A76A1"/>
    <w:rsid w:val="007C1714"/>
    <w:rsid w:val="007D59BD"/>
    <w:rsid w:val="007D68AA"/>
    <w:rsid w:val="00807719"/>
    <w:rsid w:val="008949C3"/>
    <w:rsid w:val="008C17BB"/>
    <w:rsid w:val="008D16E7"/>
    <w:rsid w:val="008E5629"/>
    <w:rsid w:val="008E56EA"/>
    <w:rsid w:val="008E7B0F"/>
    <w:rsid w:val="00910B1B"/>
    <w:rsid w:val="0092305F"/>
    <w:rsid w:val="009265AC"/>
    <w:rsid w:val="009472C1"/>
    <w:rsid w:val="009500A6"/>
    <w:rsid w:val="00987CF4"/>
    <w:rsid w:val="00996CC6"/>
    <w:rsid w:val="009B45CA"/>
    <w:rsid w:val="009C4DE0"/>
    <w:rsid w:val="009D0211"/>
    <w:rsid w:val="009D2F12"/>
    <w:rsid w:val="009D7FC4"/>
    <w:rsid w:val="009E7024"/>
    <w:rsid w:val="00A302D2"/>
    <w:rsid w:val="00A32BF9"/>
    <w:rsid w:val="00A4178B"/>
    <w:rsid w:val="00A46652"/>
    <w:rsid w:val="00A503FE"/>
    <w:rsid w:val="00A52690"/>
    <w:rsid w:val="00A93552"/>
    <w:rsid w:val="00AA37FE"/>
    <w:rsid w:val="00AA7962"/>
    <w:rsid w:val="00AB5AD5"/>
    <w:rsid w:val="00AC3537"/>
    <w:rsid w:val="00AF22B6"/>
    <w:rsid w:val="00B00542"/>
    <w:rsid w:val="00B136A7"/>
    <w:rsid w:val="00B339F4"/>
    <w:rsid w:val="00B41573"/>
    <w:rsid w:val="00BC0C66"/>
    <w:rsid w:val="00BC410E"/>
    <w:rsid w:val="00BD2628"/>
    <w:rsid w:val="00BD3029"/>
    <w:rsid w:val="00BD53F5"/>
    <w:rsid w:val="00BF6640"/>
    <w:rsid w:val="00BF73F0"/>
    <w:rsid w:val="00C05873"/>
    <w:rsid w:val="00C12394"/>
    <w:rsid w:val="00C12C66"/>
    <w:rsid w:val="00C216AC"/>
    <w:rsid w:val="00C33EA0"/>
    <w:rsid w:val="00C36BC4"/>
    <w:rsid w:val="00C41CA4"/>
    <w:rsid w:val="00C53AFA"/>
    <w:rsid w:val="00C765AA"/>
    <w:rsid w:val="00C80293"/>
    <w:rsid w:val="00CD61EB"/>
    <w:rsid w:val="00CE79FD"/>
    <w:rsid w:val="00CF5DEE"/>
    <w:rsid w:val="00CF7CA3"/>
    <w:rsid w:val="00D04A2B"/>
    <w:rsid w:val="00D15A84"/>
    <w:rsid w:val="00D160BB"/>
    <w:rsid w:val="00D167A4"/>
    <w:rsid w:val="00D16C4C"/>
    <w:rsid w:val="00D625DB"/>
    <w:rsid w:val="00D64023"/>
    <w:rsid w:val="00D70F0E"/>
    <w:rsid w:val="00D74873"/>
    <w:rsid w:val="00D87114"/>
    <w:rsid w:val="00DB0824"/>
    <w:rsid w:val="00DC7AA7"/>
    <w:rsid w:val="00DF2B6B"/>
    <w:rsid w:val="00E7611D"/>
    <w:rsid w:val="00E90A73"/>
    <w:rsid w:val="00EB06D0"/>
    <w:rsid w:val="00EB5AC7"/>
    <w:rsid w:val="00EC1DEB"/>
    <w:rsid w:val="00EC35DC"/>
    <w:rsid w:val="00EE2438"/>
    <w:rsid w:val="00EE58DB"/>
    <w:rsid w:val="00EE7304"/>
    <w:rsid w:val="00F00ACA"/>
    <w:rsid w:val="00F342A2"/>
    <w:rsid w:val="00FA1BA6"/>
    <w:rsid w:val="00FB2FB1"/>
    <w:rsid w:val="00FE6385"/>
    <w:rsid w:val="00FF1054"/>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64975"/>
  <w15:chartTrackingRefBased/>
  <w15:docId w15:val="{20F19D19-8F62-409B-91F3-34A0BD6E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spacing w:line="360" w:lineRule="auto"/>
    </w:pPr>
    <w:rPr>
      <w:snapToGrid w:val="0"/>
      <w:sz w:val="21"/>
      <w:szCs w:val="21"/>
    </w:rPr>
  </w:style>
  <w:style w:type="paragraph" w:styleId="Heading1">
    <w:name w:val="heading 1"/>
    <w:next w:val="Heading2"/>
    <w:qFormat/>
    <w:pPr>
      <w:keepNext/>
      <w:numPr>
        <w:numId w:val="35"/>
      </w:numPr>
      <w:spacing w:before="240" w:after="240"/>
      <w:jc w:val="both"/>
      <w:outlineLvl w:val="0"/>
    </w:pPr>
    <w:rPr>
      <w:rFonts w:ascii="Arial" w:eastAsia="SimHei" w:hAnsi="Arial"/>
      <w:b/>
      <w:sz w:val="32"/>
      <w:szCs w:val="32"/>
    </w:rPr>
  </w:style>
  <w:style w:type="paragraph" w:styleId="Heading2">
    <w:name w:val="heading 2"/>
    <w:next w:val="Normal"/>
    <w:qFormat/>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pPr>
      <w:keepNext/>
      <w:keepLines/>
      <w:numPr>
        <w:ilvl w:val="2"/>
        <w:numId w:val="35"/>
      </w:numPr>
      <w:autoSpaceDE/>
      <w:autoSpaceDN/>
      <w:adjustRightInd/>
      <w:spacing w:before="260" w:after="260" w:line="416" w:lineRule="auto"/>
      <w:jc w:val="both"/>
      <w:outlineLvl w:val="2"/>
    </w:pPr>
    <w:rPr>
      <w:rFonts w:eastAsia="SimHei"/>
      <w:bCs/>
      <w:kern w:val="2"/>
      <w:sz w:val="24"/>
      <w:szCs w:val="32"/>
    </w:rPr>
  </w:style>
  <w:style w:type="paragraph" w:styleId="Heading4">
    <w:name w:val="heading 4"/>
    <w:basedOn w:val="Normal"/>
    <w:next w:val="Normal"/>
    <w:link w:val="Heading4Char"/>
    <w:semiHidden/>
    <w:unhideWhenUsed/>
    <w:qFormat/>
    <w:rsid w:val="007D68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表格题注"/>
    <w:next w:val="Normal"/>
    <w:pPr>
      <w:keepLines/>
      <w:numPr>
        <w:ilvl w:val="8"/>
        <w:numId w:val="5"/>
      </w:numPr>
      <w:spacing w:beforeLines="100"/>
      <w:ind w:left="1089" w:hanging="369"/>
      <w:jc w:val="center"/>
    </w:pPr>
    <w:rPr>
      <w:rFonts w:ascii="Arial" w:hAnsi="Arial"/>
      <w:sz w:val="18"/>
      <w:szCs w:val="18"/>
    </w:rPr>
  </w:style>
  <w:style w:type="paragraph" w:customStyle="1" w:styleId="a1">
    <w:name w:val="表格文本"/>
    <w:pPr>
      <w:tabs>
        <w:tab w:val="decimal" w:pos="0"/>
      </w:tabs>
    </w:pPr>
    <w:rPr>
      <w:rFonts w:ascii="Arial" w:hAnsi="Arial"/>
      <w:noProof/>
      <w:sz w:val="21"/>
      <w:szCs w:val="21"/>
    </w:rPr>
  </w:style>
  <w:style w:type="paragraph" w:customStyle="1" w:styleId="a2">
    <w:name w:val="表头文本"/>
    <w:pPr>
      <w:jc w:val="center"/>
    </w:pPr>
    <w:rPr>
      <w:rFonts w:ascii="Arial" w:hAnsi="Arial"/>
      <w:b/>
      <w:sz w:val="21"/>
      <w:szCs w:val="21"/>
    </w:rPr>
  </w:style>
  <w:style w:type="table" w:customStyle="1" w:styleId="a3">
    <w:name w:val="表样式"/>
    <w:basedOn w:val="TableNormal"/>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Normal"/>
    <w:pPr>
      <w:numPr>
        <w:ilvl w:val="7"/>
        <w:numId w:val="5"/>
      </w:numPr>
      <w:spacing w:afterLines="100"/>
      <w:ind w:left="1089" w:hanging="369"/>
      <w:jc w:val="center"/>
    </w:pPr>
    <w:rPr>
      <w:rFonts w:ascii="Arial" w:hAnsi="Arial"/>
      <w:sz w:val="18"/>
      <w:szCs w:val="18"/>
    </w:rPr>
  </w:style>
  <w:style w:type="paragraph" w:customStyle="1" w:styleId="a4">
    <w:name w:val="图样式"/>
    <w:basedOn w:val="Normal"/>
    <w:pPr>
      <w:keepNext/>
      <w:widowControl/>
      <w:spacing w:before="80" w:after="80"/>
      <w:jc w:val="center"/>
    </w:pPr>
  </w:style>
  <w:style w:type="paragraph" w:customStyle="1" w:styleId="a5">
    <w:name w:val="文档标题"/>
    <w:basedOn w:val="Normal"/>
    <w:pPr>
      <w:tabs>
        <w:tab w:val="left" w:pos="0"/>
      </w:tabs>
      <w:spacing w:before="300" w:after="300"/>
      <w:jc w:val="center"/>
    </w:pPr>
    <w:rPr>
      <w:rFonts w:ascii="Arial" w:eastAsia="SimHei" w:hAnsi="Arial"/>
      <w:sz w:val="36"/>
      <w:szCs w:val="36"/>
    </w:rPr>
  </w:style>
  <w:style w:type="paragraph" w:styleId="Footer">
    <w:name w:val="footer"/>
    <w:pPr>
      <w:tabs>
        <w:tab w:val="center" w:pos="4510"/>
        <w:tab w:val="right" w:pos="9020"/>
      </w:tabs>
    </w:pPr>
    <w:rPr>
      <w:rFonts w:ascii="Arial" w:hAnsi="Arial"/>
      <w:sz w:val="18"/>
      <w:szCs w:val="18"/>
    </w:rPr>
  </w:style>
  <w:style w:type="paragraph" w:styleId="Header">
    <w:name w:val="header"/>
    <w:pPr>
      <w:tabs>
        <w:tab w:val="center" w:pos="4153"/>
        <w:tab w:val="right" w:pos="8306"/>
      </w:tabs>
      <w:snapToGrid w:val="0"/>
      <w:jc w:val="both"/>
    </w:pPr>
    <w:rPr>
      <w:rFonts w:ascii="Arial" w:hAnsi="Arial"/>
      <w:sz w:val="18"/>
      <w:szCs w:val="18"/>
    </w:rPr>
  </w:style>
  <w:style w:type="paragraph" w:customStyle="1" w:styleId="a6">
    <w:name w:val="正文（首行不缩进）"/>
    <w:basedOn w:val="Normal"/>
  </w:style>
  <w:style w:type="paragraph" w:customStyle="1" w:styleId="a7">
    <w:name w:val="注示头"/>
    <w:basedOn w:val="Normal"/>
    <w:pPr>
      <w:pBdr>
        <w:top w:val="single" w:sz="4" w:space="1" w:color="000000"/>
      </w:pBdr>
      <w:jc w:val="both"/>
    </w:pPr>
    <w:rPr>
      <w:rFonts w:ascii="Arial" w:eastAsia="SimHei" w:hAnsi="Arial"/>
      <w:sz w:val="18"/>
    </w:rPr>
  </w:style>
  <w:style w:type="paragraph" w:customStyle="1" w:styleId="a8">
    <w:name w:val="注示文本"/>
    <w:basedOn w:val="Normal"/>
    <w:pPr>
      <w:pBdr>
        <w:bottom w:val="single" w:sz="4" w:space="1" w:color="000000"/>
      </w:pBdr>
      <w:ind w:firstLine="360"/>
      <w:jc w:val="both"/>
    </w:pPr>
    <w:rPr>
      <w:rFonts w:ascii="Arial" w:eastAsia="KaiTi_GB2312" w:hAnsi="Arial"/>
      <w:sz w:val="18"/>
      <w:szCs w:val="18"/>
    </w:rPr>
  </w:style>
  <w:style w:type="paragraph" w:customStyle="1" w:styleId="a9">
    <w:name w:val="编写建议"/>
    <w:basedOn w:val="Normal"/>
    <w:pPr>
      <w:ind w:firstLine="420"/>
    </w:pPr>
    <w:rPr>
      <w:rFonts w:ascii="Arial" w:hAnsi="Arial" w:cs="Arial"/>
      <w:i/>
      <w:color w:val="0000FF"/>
    </w:rPr>
  </w:style>
  <w:style w:type="table" w:styleId="TableGrid">
    <w:name w:val="Table Grid"/>
    <w:basedOn w:val="TableNormal"/>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样式一"/>
    <w:basedOn w:val="DefaultParagraphFont"/>
    <w:rPr>
      <w:rFonts w:ascii="SimSun" w:hAnsi="SimSun"/>
      <w:b/>
      <w:bCs/>
      <w:color w:val="000000"/>
      <w:sz w:val="36"/>
    </w:rPr>
  </w:style>
  <w:style w:type="character" w:customStyle="1" w:styleId="ab">
    <w:name w:val="样式二"/>
    <w:basedOn w:val="aa"/>
    <w:rPr>
      <w:rFonts w:ascii="SimSun" w:hAnsi="SimSun"/>
      <w:b/>
      <w:bCs/>
      <w:color w:val="000000"/>
      <w:sz w:val="36"/>
    </w:rPr>
  </w:style>
  <w:style w:type="paragraph" w:styleId="BalloonText">
    <w:name w:val="Balloon Text"/>
    <w:basedOn w:val="Normal"/>
    <w:link w:val="BalloonTextChar"/>
    <w:pPr>
      <w:spacing w:line="240" w:lineRule="auto"/>
    </w:pPr>
    <w:rPr>
      <w:sz w:val="18"/>
      <w:szCs w:val="18"/>
    </w:rPr>
  </w:style>
  <w:style w:type="character" w:customStyle="1" w:styleId="BalloonTextChar">
    <w:name w:val="Balloon Text Char"/>
    <w:basedOn w:val="DefaultParagraphFont"/>
    <w:link w:val="BalloonText"/>
    <w:rPr>
      <w:snapToGrid w:val="0"/>
      <w:sz w:val="18"/>
      <w:szCs w:val="18"/>
    </w:rPr>
  </w:style>
  <w:style w:type="paragraph" w:styleId="ListParagraph">
    <w:name w:val="List Paragraph"/>
    <w:basedOn w:val="Normal"/>
    <w:uiPriority w:val="34"/>
    <w:qFormat/>
    <w:rsid w:val="0075012D"/>
    <w:pPr>
      <w:ind w:firstLineChars="200" w:firstLine="420"/>
    </w:pPr>
  </w:style>
  <w:style w:type="paragraph" w:styleId="Title">
    <w:name w:val="Title"/>
    <w:basedOn w:val="Normal"/>
    <w:next w:val="Normal"/>
    <w:link w:val="TitleChar"/>
    <w:qFormat/>
    <w:rsid w:val="00185D1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185D1A"/>
    <w:rPr>
      <w:rFonts w:asciiTheme="majorHAnsi" w:eastAsiaTheme="majorEastAsia" w:hAnsiTheme="majorHAnsi" w:cstheme="majorBidi"/>
      <w:b/>
      <w:bCs/>
      <w:snapToGrid w:val="0"/>
      <w:sz w:val="32"/>
      <w:szCs w:val="32"/>
    </w:rPr>
  </w:style>
  <w:style w:type="character" w:styleId="PlaceholderText">
    <w:name w:val="Placeholder Text"/>
    <w:basedOn w:val="DefaultParagraphFont"/>
    <w:uiPriority w:val="99"/>
    <w:semiHidden/>
    <w:rsid w:val="002C226D"/>
    <w:rPr>
      <w:color w:val="808080"/>
    </w:rPr>
  </w:style>
  <w:style w:type="character" w:styleId="Strong">
    <w:name w:val="Strong"/>
    <w:basedOn w:val="DefaultParagraphFont"/>
    <w:uiPriority w:val="22"/>
    <w:qFormat/>
    <w:rsid w:val="00531E0F"/>
    <w:rPr>
      <w:b/>
      <w:bCs/>
    </w:rPr>
  </w:style>
  <w:style w:type="character" w:customStyle="1" w:styleId="Heading4Char">
    <w:name w:val="Heading 4 Char"/>
    <w:basedOn w:val="DefaultParagraphFont"/>
    <w:link w:val="Heading4"/>
    <w:semiHidden/>
    <w:rsid w:val="007D68AA"/>
    <w:rPr>
      <w:rFonts w:asciiTheme="majorHAnsi" w:eastAsiaTheme="majorEastAsia" w:hAnsiTheme="majorHAnsi" w:cstheme="majorBidi"/>
      <w:i/>
      <w:iCs/>
      <w:snapToGrid w:val="0"/>
      <w:color w:val="365F91" w:themeColor="accent1" w:themeShade="BF"/>
      <w:sz w:val="21"/>
      <w:szCs w:val="21"/>
    </w:rPr>
  </w:style>
  <w:style w:type="paragraph" w:styleId="NormalWeb">
    <w:name w:val="Normal (Web)"/>
    <w:basedOn w:val="Normal"/>
    <w:uiPriority w:val="99"/>
    <w:unhideWhenUsed/>
    <w:rsid w:val="007D68AA"/>
    <w:pPr>
      <w:widowControl/>
      <w:autoSpaceDE/>
      <w:autoSpaceDN/>
      <w:adjustRightInd/>
      <w:spacing w:before="100" w:beforeAutospacing="1" w:after="100" w:afterAutospacing="1" w:line="240" w:lineRule="auto"/>
    </w:pPr>
    <w:rPr>
      <w:rFonts w:eastAsia="Times New Roman"/>
      <w:snapToGrid/>
      <w:sz w:val="24"/>
      <w:szCs w:val="24"/>
      <w:lang w:val="en-SE"/>
    </w:rPr>
  </w:style>
  <w:style w:type="character" w:customStyle="1" w:styleId="katex-mathml">
    <w:name w:val="katex-mathml"/>
    <w:basedOn w:val="DefaultParagraphFont"/>
    <w:rsid w:val="007D68AA"/>
  </w:style>
  <w:style w:type="character" w:customStyle="1" w:styleId="mord">
    <w:name w:val="mord"/>
    <w:basedOn w:val="DefaultParagraphFont"/>
    <w:rsid w:val="007D68AA"/>
  </w:style>
  <w:style w:type="character" w:customStyle="1" w:styleId="vlist-s">
    <w:name w:val="vlist-s"/>
    <w:basedOn w:val="DefaultParagraphFont"/>
    <w:rsid w:val="007D68AA"/>
  </w:style>
  <w:style w:type="character" w:customStyle="1" w:styleId="mopen">
    <w:name w:val="mopen"/>
    <w:basedOn w:val="DefaultParagraphFont"/>
    <w:rsid w:val="007D68AA"/>
  </w:style>
  <w:style w:type="character" w:customStyle="1" w:styleId="mbin">
    <w:name w:val="mbin"/>
    <w:basedOn w:val="DefaultParagraphFont"/>
    <w:rsid w:val="007D68AA"/>
  </w:style>
  <w:style w:type="character" w:customStyle="1" w:styleId="mclose">
    <w:name w:val="mclose"/>
    <w:basedOn w:val="DefaultParagraphFont"/>
    <w:rsid w:val="007D6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047">
      <w:bodyDiv w:val="1"/>
      <w:marLeft w:val="0"/>
      <w:marRight w:val="0"/>
      <w:marTop w:val="0"/>
      <w:marBottom w:val="0"/>
      <w:divBdr>
        <w:top w:val="none" w:sz="0" w:space="0" w:color="auto"/>
        <w:left w:val="none" w:sz="0" w:space="0" w:color="auto"/>
        <w:bottom w:val="none" w:sz="0" w:space="0" w:color="auto"/>
        <w:right w:val="none" w:sz="0" w:space="0" w:color="auto"/>
      </w:divBdr>
    </w:div>
    <w:div w:id="1191608255">
      <w:bodyDiv w:val="1"/>
      <w:marLeft w:val="0"/>
      <w:marRight w:val="0"/>
      <w:marTop w:val="0"/>
      <w:marBottom w:val="0"/>
      <w:divBdr>
        <w:top w:val="none" w:sz="0" w:space="0" w:color="auto"/>
        <w:left w:val="none" w:sz="0" w:space="0" w:color="auto"/>
        <w:bottom w:val="none" w:sz="0" w:space="0" w:color="auto"/>
        <w:right w:val="none" w:sz="0" w:space="0" w:color="auto"/>
      </w:divBdr>
    </w:div>
    <w:div w:id="1857881526">
      <w:bodyDiv w:val="1"/>
      <w:marLeft w:val="0"/>
      <w:marRight w:val="0"/>
      <w:marTop w:val="0"/>
      <w:marBottom w:val="0"/>
      <w:divBdr>
        <w:top w:val="none" w:sz="0" w:space="0" w:color="auto"/>
        <w:left w:val="none" w:sz="0" w:space="0" w:color="auto"/>
        <w:bottom w:val="none" w:sz="0" w:space="0" w:color="auto"/>
        <w:right w:val="none" w:sz="0" w:space="0" w:color="auto"/>
      </w:divBdr>
    </w:div>
    <w:div w:id="188247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F46CE-9464-424E-8810-28194BB9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wangsulei</dc:creator>
  <cp:keywords/>
  <dc:description/>
  <cp:lastModifiedBy>Jinxiang Song</cp:lastModifiedBy>
  <cp:revision>43</cp:revision>
  <cp:lastPrinted>2024-07-20T07:47:00Z</cp:lastPrinted>
  <dcterms:created xsi:type="dcterms:W3CDTF">2024-07-20T03:27:00Z</dcterms:created>
  <dcterms:modified xsi:type="dcterms:W3CDTF">2024-11-08T09:45:00Z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(3)Zoap6+N96Wwzfta6ZEYihckxSXHCtmuwjkpeqE01VYpB18yD5gb3lDMKxXSq+LU0+R+uewK2
UvxVWopoSQYhdxeMcvo6oXQe/NBdpMpghNbkmzhA8za1rgRKebBSMZBEP7Byx2DFAViAeSpJ
2JG9rA7qEMafp/3xZgJni/aomr0szcZa5xWvrjSOD4ewIgzFGd2vL90sVdZjNZOoduhYSxbw
VpueaTDBNpjI6G78hm</vt:lpwstr>
  </property>
  <property fmtid="{D5CDD505-2E9C-101B-9397-08002B2CF9AE}" pid="3" name="_2015_ms_pID_7253431">
    <vt:lpwstr>9axMGbb//Am8AR5/OC4jM7BCCEfhonbV36Jy63l0eSaRS+KPGLEk66
uEyw94TiAyMT+HcIovh7ngQzHNvUknQhxg0t/5TqjYCBY/QVwvP/C1/Wut0NVi4wCCyDC4ew
xRlo0C45oZ7riwxuBrU1/83STnXlUZxXzFrFKRJuAWoeGp8GU2bvQ43s1na0+tb3K71rJYmF
BOGb9MxteCLB7B7Yaxss/cN7CkigpAmIroiL</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1721912689</vt:lpwstr>
  </property>
  <property fmtid="{D5CDD505-2E9C-101B-9397-08002B2CF9AE}" pid="8" name="_2015_ms_pID_7253432">
    <vt:lpwstr>bQ==</vt:lpwstr>
  </property>
</Properties>
</file>