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SDE1 HLD Distributed Messaging Queue Study Guide</w:t>
      </w:r>
    </w:p>
    <w:p>
      <w:pPr>
        <w:pStyle w:val="Heading1"/>
      </w:pPr>
      <w:r>
        <w:t>What is a Messaging Queue?</w:t>
      </w:r>
    </w:p>
    <w:p>
      <w:r>
        <w:t>A messaging queue is middleware that enables asynchronous communication between producers and consumers. Messages are temporarily stored until they are processed.</w:t>
      </w:r>
    </w:p>
    <w:p>
      <w:r>
        <w:rPr>
          <w:rFonts w:ascii="Courier New" w:hAnsi="Courier New"/>
          <w:sz w:val="18"/>
        </w:rPr>
        <w:br/>
        <w:t>Producer</w:t>
        <w:br/>
        <w:t xml:space="preserve"> |</w:t>
        <w:br/>
        <w:t xml:space="preserve"> v</w:t>
        <w:br/>
        <w:t>Queue</w:t>
        <w:br/>
        <w:t xml:space="preserve"> |</w:t>
        <w:br/>
        <w:t xml:space="preserve"> v</w:t>
        <w:br/>
        <w:t>Consumer</w:t>
      </w:r>
    </w:p>
    <w:p>
      <w:pPr>
        <w:pStyle w:val="Heading1"/>
      </w:pPr>
      <w:r>
        <w:t>Why is it Needed?</w:t>
      </w:r>
    </w:p>
    <w:p>
      <w:r>
        <w:t>It decouples services, improves response time, supports retries, absorbs traffic spikes and improves reliability.</w:t>
      </w:r>
    </w:p>
    <w:p>
      <w:r>
        <w:rPr>
          <w:rFonts w:ascii="Courier New" w:hAnsi="Courier New"/>
          <w:sz w:val="18"/>
        </w:rPr>
        <w:br/>
        <w:t>Client-&gt;Order Service-&gt;Queue-&gt;Payment/Email/Inventory</w:t>
      </w:r>
    </w:p>
    <w:p>
      <w:pPr>
        <w:pStyle w:val="Heading1"/>
      </w:pPr>
      <w:r>
        <w:t>Messaging Patterns</w:t>
      </w:r>
    </w:p>
    <w:p>
      <w:r>
        <w:t>Point-to-Point delivers one message to one consumer. Publish/Subscribe delivers a copy to every subscriber.</w:t>
      </w:r>
    </w:p>
    <w:p>
      <w:pPr>
        <w:pStyle w:val="Heading1"/>
      </w:pPr>
      <w:r>
        <w:t>RabbitMQ</w:t>
      </w:r>
    </w:p>
    <w:p>
      <w:r>
        <w:t>Producer sends messages to an Exchange, which routes them to queues. Consumers process messages and send acknowledgements.</w:t>
      </w:r>
    </w:p>
    <w:p>
      <w:r>
        <w:rPr>
          <w:rFonts w:ascii="Courier New" w:hAnsi="Courier New"/>
          <w:sz w:val="18"/>
        </w:rPr>
        <w:br/>
        <w:t>Producer-&gt;Exchange-&gt;Queue-&gt;Consumer</w:t>
      </w:r>
    </w:p>
    <w:p>
      <w:pPr>
        <w:pStyle w:val="Heading1"/>
      </w:pPr>
      <w:r>
        <w:t>Kafka</w:t>
      </w:r>
    </w:p>
    <w:p>
      <w:r>
        <w:t>Kafka stores events in partitioned topics across brokers. Consumers read using offsets and messages are retained.</w:t>
      </w:r>
    </w:p>
    <w:p>
      <w:r>
        <w:rPr>
          <w:rFonts w:ascii="Courier New" w:hAnsi="Courier New"/>
          <w:sz w:val="18"/>
        </w:rPr>
        <w:br/>
        <w:t>Producer-&gt;Topic-&gt;Partitions-&gt;Consumer Group</w:t>
      </w:r>
    </w:p>
    <w:p>
      <w:pPr>
        <w:pStyle w:val="Heading1"/>
      </w:pPr>
      <w:r>
        <w:t>Failure Handling</w:t>
      </w:r>
    </w:p>
    <w:p>
      <w:r>
        <w:t>Queue full, queue down, consumer down and consumer processing failures are handled using retries, replication, acknowledgements and DLQs.</w:t>
      </w:r>
    </w:p>
    <w:p>
      <w:pPr>
        <w:pStyle w:val="Heading1"/>
      </w:pPr>
      <w:r>
        <w:t>Interview Questions</w:t>
      </w:r>
    </w:p>
    <w:p>
      <w:r>
        <w:t>Includes answers on ACKs, DLQs, partitions, scaling, consumer failures and queue vs pub/sub.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