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3.png" ContentType="image/png"/>
  <Override PartName="/word/media/rId47.png" ContentType="image/png"/>
  <Override PartName="/word/media/rId3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Unified Price-and-Demand Model for Cost-Optimal Day-Ahead</w:t>
      </w:r>
      <w:r>
        <w:t xml:space="preserve"> </w:t>
      </w:r>
      <w:r>
        <w:t xml:space="preserve">Electricity Demand Forecasting: Evidence from the Israeli Market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Day-ahead electricity is bought before demand is known, and a shortfall is</w:t>
      </w:r>
      <w:r>
        <w:t xml:space="preserve"> </w:t>
      </w:r>
      <w:r>
        <w:t xml:space="preserve">settled at a price several times higher than a surplus, by a factor that rises</w:t>
      </w:r>
      <w:r>
        <w:t xml:space="preserve"> </w:t>
      </w:r>
      <w:r>
        <w:t xml:space="preserve">with the price. The cost-optimal forecast is therefore a quantile of demand</w:t>
      </w:r>
      <w:r>
        <w:t xml:space="preserve"> </w:t>
      </w:r>
      <w:r>
        <w:t xml:space="preserve">that moves with the price, yet demand and prices are forecast separately and</w:t>
      </w:r>
      <w:r>
        <w:t xml:space="preserve"> </w:t>
      </w:r>
      <w:r>
        <w:t xml:space="preserve">for accuracy. We propose a unified model: a small neural network that</w:t>
      </w:r>
      <w:r>
        <w:t xml:space="preserve"> </w:t>
      </w:r>
      <w:r>
        <w:t xml:space="preserve">forecasts demand and prices from a shared representation and trains the</w:t>
      </w:r>
      <w:r>
        <w:t xml:space="preserve"> </w:t>
      </w:r>
      <w:r>
        <w:t xml:space="preserve">demand forecast on the price-weighted procurement cost. On a new open dataset</w:t>
      </w:r>
      <w:r>
        <w:t xml:space="preserve"> </w:t>
      </w:r>
      <w:r>
        <w:t xml:space="preserve">of the Israeli market, with real day-ahead and synthetic imbalance prices,</w:t>
      </w:r>
      <w:r>
        <w:t xml:space="preserve"> </w:t>
      </w:r>
      <w:r>
        <w:t xml:space="preserve">the model lowers the excess cost of the test year to $49.5 million: 6%</w:t>
      </w:r>
      <w:r>
        <w:t xml:space="preserve"> </w:t>
      </w:r>
      <w:r>
        <w:t xml:space="preserve">below a joint demand-and-price network trained for accuracy and corrected</w:t>
      </w:r>
      <w:r>
        <w:t xml:space="preserve"> </w:t>
      </w:r>
      <w:r>
        <w:t xml:space="preserve">afterwards, and 19% below the operator’s corrected forecast. Replacing the</w:t>
      </w:r>
      <w:r>
        <w:t xml:space="preserve"> </w:t>
      </w:r>
      <w:r>
        <w:t xml:space="preserve">operator’s published forecast would save about $27 million per year in</w:t>
      </w:r>
      <w:r>
        <w:t xml:space="preserve"> </w:t>
      </w:r>
      <w:r>
        <w:t xml:space="preserve">Israel, roughly $1 billion at US scale.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Load forecasting; Electricity price forecasting;</w:t>
      </w:r>
      <w:r>
        <w:t xml:space="preserve"> </w:t>
      </w:r>
      <w:r>
        <w:t xml:space="preserve">Decision-focused learning; Newsvendor problem; Imbalance cost;</w:t>
      </w:r>
      <w:r>
        <w:t xml:space="preserve"> </w:t>
      </w:r>
      <w:r>
        <w:t xml:space="preserve">Quantile forecasting; Neural networks</w:t>
      </w:r>
    </w:p>
    <w:bookmarkStart w:id="11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Electricity for the next day is bought before the demand is known. Energy</w:t>
      </w:r>
      <w:r>
        <w:t xml:space="preserve"> </w:t>
      </w:r>
      <w:r>
        <w:t xml:space="preserve">committed in the day-ahead market is paid at the day-ahead price; any</w:t>
      </w:r>
      <w:r>
        <w:t xml:space="preserve"> </w:t>
      </w:r>
      <w:r>
        <w:t xml:space="preserve">shortfall must be bought in real time at a higher price, and any surplus is</w:t>
      </w:r>
      <w:r>
        <w:t xml:space="preserve"> </w:t>
      </w:r>
      <w:r>
        <w:t xml:space="preserve">sold back at a lower one </w:t>
      </w:r>
      <w:r>
        <w:t xml:space="preserve">(Stoft 2002; Kirschen and Strbac 2018)</w:t>
      </w:r>
      <w:r>
        <w:t xml:space="preserve">.</w:t>
      </w:r>
      <w:r>
        <w:t xml:space="preserve"> </w:t>
      </w:r>
      <w:r>
        <w:t xml:space="preserve">A megawatt-hour short typically costs five to twenty times more than a</w:t>
      </w:r>
      <w:r>
        <w:t xml:space="preserve"> </w:t>
      </w:r>
      <w:r>
        <w:t xml:space="preserve">megawatt-hour too much </w:t>
      </w:r>
      <w:r>
        <w:t xml:space="preserve">(J. Zhang, Wang, and Hug 2022)</w:t>
      </w:r>
      <w:r>
        <w:t xml:space="preserve">, and the ratio is</w:t>
      </w:r>
      <w:r>
        <w:t xml:space="preserve"> </w:t>
      </w:r>
      <w:r>
        <w:t xml:space="preserve">itself driven by the price: shortfalls are most expensive exactly when the</w:t>
      </w:r>
      <w:r>
        <w:t xml:space="preserve"> </w:t>
      </w:r>
      <w:r>
        <w:t xml:space="preserve">system is tight and the day-ahead price is high. The cost-optimal forecast is</w:t>
      </w:r>
      <w:r>
        <w:t xml:space="preserve"> </w:t>
      </w:r>
      <w:r>
        <w:t xml:space="preserve">therefore not the expected demand but a quantile of it, and the right quantile</w:t>
      </w:r>
      <w:r>
        <w:t xml:space="preserve"> </w:t>
      </w:r>
      <w:r>
        <w:rPr>
          <w:i/>
          <w:iCs/>
        </w:rPr>
        <w:t xml:space="preserve">moves with the price</w:t>
      </w:r>
      <w:r>
        <w:t xml:space="preserve"> </w:t>
      </w:r>
      <w:r>
        <w:t xml:space="preserve">from one settlement period to the next</w:t>
      </w:r>
      <w:r>
        <w:t xml:space="preserve"> </w:t>
      </w:r>
      <w:r>
        <w:t xml:space="preserve">(Section 3).</w:t>
      </w:r>
    </w:p>
    <w:p>
      <w:pPr>
        <w:pStyle w:val="BodyText"/>
      </w:pPr>
      <w:r>
        <w:t xml:space="preserve">Forecasting practice does not reflect this. Demand forecasts, including the</w:t>
      </w:r>
      <w:r>
        <w:t xml:space="preserve"> </w:t>
      </w:r>
      <w:r>
        <w:t xml:space="preserve">operational forecast of the Israeli system operator studied here, are built</w:t>
      </w:r>
      <w:r>
        <w:t xml:space="preserve"> </w:t>
      </w:r>
      <w:r>
        <w:t xml:space="preserve">for accuracy and are close to unbiased, so they fall short about half of the</w:t>
      </w:r>
      <w:r>
        <w:t xml:space="preserve"> </w:t>
      </w:r>
      <w:r>
        <w:t xml:space="preserve">time. Price forecasts are also built for accuracy, separately. The</w:t>
      </w:r>
      <w:r>
        <w:t xml:space="preserve"> </w:t>
      </w:r>
      <w:r>
        <w:t xml:space="preserve">cost-oriented load-forecasting literature trains demand models on an</w:t>
      </w:r>
      <w:r>
        <w:t xml:space="preserve"> </w:t>
      </w:r>
      <w:r>
        <w:t xml:space="preserve">asymmetric loss, but with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cost ratio that ignores prices; and</w:t>
      </w:r>
      <w:r>
        <w:t xml:space="preserve"> </w:t>
      </w:r>
      <w:r>
        <w:t xml:space="preserve">the models that forecast load and price jointly are again trained only for</w:t>
      </w:r>
      <w:r>
        <w:t xml:space="preserve"> </w:t>
      </w:r>
      <w:r>
        <w:t xml:space="preserve">accuracy (Section 2). No existing model lets the demand</w:t>
      </w:r>
      <w:r>
        <w:t xml:space="preserve"> </w:t>
      </w:r>
      <w:r>
        <w:t xml:space="preserve">forecast follow the price.</w:t>
      </w:r>
    </w:p>
    <w:p>
      <w:pPr>
        <w:pStyle w:val="BodyText"/>
      </w:pPr>
      <w:r>
        <w:t xml:space="preserve">We close this gap with a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price-and-demand model. One small</w:t>
      </w:r>
      <w:r>
        <w:t xml:space="preserve"> </w:t>
      </w:r>
      <w:r>
        <w:t xml:space="preserve">neural network reads only information available a day ahead—calendar,</w:t>
      </w:r>
      <w:r>
        <w:t xml:space="preserve"> </w:t>
      </w:r>
      <w:r>
        <w:t xml:space="preserve">weather, yesterday’s demand and yesterday’s price—and computes a shared</w:t>
      </w:r>
      <w:r>
        <w:t xml:space="preserve"> </w:t>
      </w:r>
      <w:r>
        <w:t xml:space="preserve">representation from which two heads forecast the demand and the three prices</w:t>
      </w:r>
      <w:r>
        <w:t xml:space="preserve"> </w:t>
      </w:r>
      <w:r>
        <w:t xml:space="preserve">of the slot (day-ahead, shortfall and surplus). The demand forecast is trained</w:t>
      </w:r>
      <w:r>
        <w:t xml:space="preserve"> </w:t>
      </w:r>
      <w:r>
        <w:t xml:space="preserve">on the realised procurement cost, priced at the realised prices, while the</w:t>
      </w:r>
      <w:r>
        <w:t xml:space="preserve"> </w:t>
      </w:r>
      <w:r>
        <w:t xml:space="preserve">price head is trained to predict those prices. Because both heads read the</w:t>
      </w:r>
      <w:r>
        <w:t xml:space="preserve"> </w:t>
      </w:r>
      <w:r>
        <w:t xml:space="preserve">same features, the demand head learns its safety margin from features that</w:t>
      </w:r>
      <w:r>
        <w:t xml:space="preserve"> </w:t>
      </w:r>
      <w:r>
        <w:t xml:space="preserve">encode when prices—and hence shortfalls—will be expensive.</w:t>
      </w:r>
    </w:p>
    <w:bookmarkStart w:id="10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first unified price-and-demand model.</w:t>
      </w:r>
      <w:r>
        <w:t xml:space="preserve"> </w:t>
      </w:r>
      <w:r>
        <w:t xml:space="preserve">To the best of</w:t>
      </w:r>
      <w:r>
        <w:t xml:space="preserve"> </w:t>
      </w:r>
      <w:r>
        <w:t xml:space="preserve">our knowledge, this is the first model that forecasts electricity</w:t>
      </w:r>
      <w:r>
        <w:t xml:space="preserve"> </w:t>
      </w:r>
      <w:r>
        <w:t xml:space="preserve">demand and prices together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trains the demand forecast on</w:t>
      </w:r>
      <w:r>
        <w:t xml:space="preserve"> </w:t>
      </w:r>
      <w:r>
        <w:t xml:space="preserve">the price-weighted procurement cost. On the Israeli test year it</w:t>
      </w:r>
      <w:r>
        <w:t xml:space="preserve"> </w:t>
      </w:r>
      <w:r>
        <w:t xml:space="preserve">has the lowest cost of all models we tested, $49.5 million: 6%</w:t>
      </w:r>
      <w:r>
        <w:t xml:space="preserve"> </w:t>
      </w:r>
      <w:r>
        <w:t xml:space="preserve">below the strongest alternative, a joint load-and-price network with</w:t>
      </w:r>
      <w:r>
        <w:t xml:space="preserve"> </w:t>
      </w:r>
      <w:r>
        <w:t xml:space="preserve">the same architecture trained for accuracy and corrected to the cost</w:t>
      </w:r>
      <w:r>
        <w:t xml:space="preserve"> </w:t>
      </w:r>
      <w:r>
        <w:t xml:space="preserve">afterwards, and 19% below the operator’s forecast after the best</w:t>
      </w:r>
      <w:r>
        <w:t xml:space="preserve"> </w:t>
      </w:r>
      <w:r>
        <w:t xml:space="preserve">correction (</w:t>
      </w:r>
      <m:oMath>
        <m:r>
          <m:t>p</m:t>
        </m:r>
        <m:r>
          <m:rPr>
            <m:sty m:val="p"/>
          </m:rPr>
          <m:t>≤</m:t>
        </m:r>
        <m:r>
          <m:t>0.008</m:t>
        </m:r>
      </m:oMath>
      <w:r>
        <w:t xml:space="preserve"> </w:t>
      </w:r>
      <w:r>
        <w:t xml:space="preserve">in every comparison). Its safety margin</w:t>
      </w:r>
      <w:r>
        <w:t xml:space="preserve"> </w:t>
      </w:r>
      <w:r>
        <w:t xml:space="preserve">rises with the price, as theory demands; the margin of a</w:t>
      </w:r>
      <w:r>
        <w:t xml:space="preserve"> </w:t>
      </w:r>
      <w:r>
        <w:t xml:space="preserve">fixed-asymmetry model falls.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Real money.</w:t>
      </w:r>
      <w:r>
        <w:t xml:space="preserve"> </w:t>
      </w:r>
      <w:r>
        <w:t xml:space="preserve">Replacing the operator’s published forecast</w:t>
      </w:r>
      <w:r>
        <w:t xml:space="preserve"> </w:t>
      </w:r>
      <w:r>
        <w:t xml:space="preserve">would save about $27 million per year in Israel—$2.65 per</w:t>
      </w:r>
      <w:r>
        <w:t xml:space="preserve"> </w:t>
      </w:r>
      <w:r>
        <w:t xml:space="preserve">resident and 0.86% of the day-ahead energy bill—mostly by</w:t>
      </w:r>
      <w:r>
        <w:t xml:space="preserve"> </w:t>
      </w:r>
      <w:r>
        <w:t xml:space="preserve">avoiding shortfalls. Projected to a market the size of the United</w:t>
      </w:r>
      <w:r>
        <w:t xml:space="preserve"> </w:t>
      </w:r>
      <w:r>
        <w:t xml:space="preserve">States, the same improvement is worth roughly $1 billion per year.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Small and cheap.</w:t>
      </w:r>
      <w:r>
        <w:t xml:space="preserve"> </w:t>
      </w:r>
      <w:r>
        <w:t xml:space="preserve">The model has fewer than 2</w:t>
      </w:r>
      <w:r>
        <w:t xml:space="preserve">,</w:t>
      </w:r>
      <w:r>
        <w:t xml:space="preserve">000</w:t>
      </w:r>
      <w:r>
        <w:t xml:space="preserve"> </w:t>
      </w:r>
      <w:r>
        <w:t xml:space="preserve">parameters, trains in about five minutes on a standard laptop</w:t>
      </w:r>
      <w:r>
        <w:t xml:space="preserve"> </w:t>
      </w:r>
      <w:r>
        <w:t xml:space="preserve">without a GPU, and needs only 21 months of training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open dataset and benchmark.</w:t>
      </w:r>
      <w:r>
        <w:t xml:space="preserve"> </w:t>
      </w:r>
      <w:r>
        <w:t xml:space="preserve">We release a new dataset of</w:t>
      </w:r>
      <w:r>
        <w:t xml:space="preserve"> </w:t>
      </w:r>
      <w:r>
        <w:t xml:space="preserve">the Israeli market that aligns 5-minute national demand, the</w:t>
      </w:r>
      <w:r>
        <w:t xml:space="preserve"> </w:t>
      </w:r>
      <w:r>
        <w:t xml:space="preserve">operator’s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day-ahead forecast, real half-hourly</w:t>
      </w:r>
      <w:r>
        <w:t xml:space="preserve"> </w:t>
      </w:r>
      <w:r>
        <w:t xml:space="preserve">day-ahead prices and weather (April 2023–December 2025), a</w:t>
      </w:r>
      <w:r>
        <w:t xml:space="preserve"> </w:t>
      </w:r>
      <w:r>
        <w:t xml:space="preserve">generator of price-dependent imbalance prices, and the complete</w:t>
      </w:r>
      <w:r>
        <w:t xml:space="preserve"> </w:t>
      </w:r>
      <w:r>
        <w:t xml:space="preserve">code.</w:t>
      </w:r>
      <w:r>
        <w:rPr>
          <w:rStyle w:val="FootnoteReference"/>
        </w:rPr>
        <w:footnoteReference w:id="9"/>
      </w:r>
    </w:p>
    <w:p>
      <w:pPr>
        <w:pStyle w:val="FirstParagraph"/>
      </w:pPr>
      <w:r>
        <w:t xml:space="preserve">Section 2 reviews related work, Section 3</w:t>
      </w:r>
      <w:r>
        <w:t xml:space="preserve"> </w:t>
      </w:r>
      <w:r>
        <w:t xml:space="preserve">formulates the problem, Section 4 presents the unified</w:t>
      </w:r>
      <w:r>
        <w:t xml:space="preserve"> </w:t>
      </w:r>
      <w:r>
        <w:t xml:space="preserve">model, Section 5 describes the Israeli market, the data and the baselines,</w:t>
      </w:r>
      <w:r>
        <w:t xml:space="preserve"> </w:t>
      </w:r>
      <w:r>
        <w:t xml:space="preserve">Section 6 reports the results and the savings, and</w:t>
      </w:r>
      <w:r>
        <w:t xml:space="preserve"> </w:t>
      </w:r>
      <w:r>
        <w:t xml:space="preserve">Section 7 concludes.</w:t>
      </w:r>
    </w:p>
    <w:bookmarkEnd w:id="10"/>
    <w:bookmarkEnd w:id="11"/>
    <w:bookmarkStart w:id="16" w:name="sec:related"/>
    <w:p>
      <w:pPr>
        <w:pStyle w:val="Heading1"/>
      </w:pPr>
      <w:r>
        <w:t xml:space="preserve">Related Work</w:t>
      </w:r>
    </w:p>
    <w:bookmarkStart w:id="12" w:name="cost-oriented-load-forecasting."/>
    <w:p>
      <w:pPr>
        <w:pStyle w:val="Heading4"/>
      </w:pPr>
      <w:r>
        <w:t xml:space="preserve">Cost-oriented load forecasting.</w:t>
      </w:r>
    </w:p>
    <w:p>
      <w:pPr>
        <w:pStyle w:val="FirstParagraph"/>
      </w:pPr>
      <w:r>
        <w:t xml:space="preserve">Quantile</w:t>
      </w:r>
      <w:r>
        <w:t xml:space="preserve"> </w:t>
      </w:r>
      <w:r>
        <w:t xml:space="preserve">regression </w:t>
      </w:r>
      <w:r>
        <w:t xml:space="preserve">(Koenker and Bassett 1978)</w:t>
      </w:r>
      <w:r>
        <w:t xml:space="preserve"> </w:t>
      </w:r>
      <w:r>
        <w:t xml:space="preserve">minimises the asymmetric pinball</w:t>
      </w:r>
      <w:r>
        <w:t xml:space="preserve"> </w:t>
      </w:r>
      <w:r>
        <w:t xml:space="preserve">loss and estimates a conditional quantile, and under an asymmetric loss the</w:t>
      </w:r>
      <w:r>
        <w:t xml:space="preserve"> </w:t>
      </w:r>
      <w:r>
        <w:t xml:space="preserve">optimal point forecast is biased </w:t>
      </w:r>
      <w:r>
        <w:t xml:space="preserve">(Christoffersen and Diebold 1997)</w:t>
      </w:r>
      <w:r>
        <w:t xml:space="preserve">. The</w:t>
      </w:r>
      <w:r>
        <w:t xml:space="preserve"> </w:t>
      </w:r>
      <w:r>
        <w:t xml:space="preserve">pinball loss became a standard in energy forecasting with</w:t>
      </w:r>
      <w:r>
        <w:t xml:space="preserve"> </w:t>
      </w:r>
      <w:r>
        <w:t xml:space="preserve">GEFCom2014 </w:t>
      </w:r>
      <w:r>
        <w:t xml:space="preserve">(Hong et al. 2016; Hong and Fan 2016)</w:t>
      </w:r>
      <w:r>
        <w:t xml:space="preserve">. Several</w:t>
      </w:r>
      <w:r>
        <w:t xml:space="preserve"> </w:t>
      </w:r>
      <w:r>
        <w:t xml:space="preserve">works train load forecasters directly on an asymmetric cost: an LSTM trained</w:t>
      </w:r>
      <w:r>
        <w:t xml:space="preserve"> </w:t>
      </w:r>
      <w:r>
        <w:t xml:space="preserve">on the pinball loss </w:t>
      </w:r>
      <w:r>
        <w:t xml:space="preserve">(Wang et al. 2019)</w:t>
      </w:r>
      <w:r>
        <w:t xml:space="preserve">, LSTMs trained on losses</w:t>
      </w:r>
      <w:r>
        <w:t xml:space="preserve"> </w:t>
      </w:r>
      <w:r>
        <w:t xml:space="preserve">derived from an asymmetric tariff, which cut electricity costs by</w:t>
      </w:r>
      <w:r>
        <w:t xml:space="preserve"> </w:t>
      </w:r>
      <w:r>
        <w:t xml:space="preserve">0.9–2.4% </w:t>
      </w:r>
      <w:r>
        <w:t xml:space="preserve">(Lin et al. 2020)</w:t>
      </w:r>
      <w:r>
        <w:t xml:space="preserve">, an asymmetric support vector</w:t>
      </w:r>
      <w:r>
        <w:t xml:space="preserve"> </w:t>
      </w:r>
      <w:r>
        <w:t xml:space="preserve">regression </w:t>
      </w:r>
      <w:r>
        <w:t xml:space="preserve">(Wu et al. 2021)</w:t>
      </w:r>
      <w:r>
        <w:t xml:space="preserve">, and a cost-oriented formulation of load</w:t>
      </w:r>
      <w:r>
        <w:t xml:space="preserve"> </w:t>
      </w:r>
      <w:r>
        <w:t xml:space="preserve">forecasting </w:t>
      </w:r>
      <w:r>
        <w:t xml:space="preserve">(J. Zhang, Wang, and Hug 2022)</w:t>
      </w:r>
      <w:r>
        <w:t xml:space="preserve">. In all of them the asymmetry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fixed</w:t>
      </w:r>
      <w:r>
        <w:t xml:space="preserve">—one quantile, or the slopes of one tariff—and prices play</w:t>
      </w:r>
      <w:r>
        <w:t xml:space="preserve"> </w:t>
      </w:r>
      <w:r>
        <w:t xml:space="preserve">no role in the model.</w:t>
      </w:r>
    </w:p>
    <w:bookmarkEnd w:id="12"/>
    <w:bookmarkStart w:id="13" w:name="joint-forecasting-of-load-and-price."/>
    <w:p>
      <w:pPr>
        <w:pStyle w:val="Heading4"/>
      </w:pPr>
      <w:r>
        <w:t xml:space="preserve">Joint forecasting of load and price.</w:t>
      </w:r>
    </w:p>
    <w:p>
      <w:pPr>
        <w:pStyle w:val="FirstParagraph"/>
      </w:pPr>
      <w:r>
        <w:t xml:space="preserve">Load and price are</w:t>
      </w:r>
      <w:r>
        <w:t xml:space="preserve"> </w:t>
      </w:r>
      <w:r>
        <w:t xml:space="preserve">strongly coupled, and several models forecast them together:</w:t>
      </w:r>
      <w:r>
        <w:t xml:space="preserve"> </w:t>
      </w:r>
      <w:r>
        <w:t xml:space="preserve">Shayeghi et al. (2015)</w:t>
      </w:r>
      <w:r>
        <w:t xml:space="preserve"> </w:t>
      </w:r>
      <w:r>
        <w:t xml:space="preserve">with a multi-output least-squares SVM on</w:t>
      </w:r>
      <w:r>
        <w:t xml:space="preserve"> </w:t>
      </w:r>
      <w:r>
        <w:t xml:space="preserve">the NYISO, NSW and PJM markets, and</w:t>
      </w:r>
      <w:r>
        <w:t xml:space="preserve"> </w:t>
      </w:r>
      <w:r>
        <w:t xml:space="preserve">Li et al. (2024)</w:t>
      </w:r>
      <w:r>
        <w:t xml:space="preserve"> </w:t>
      </w:r>
      <w:r>
        <w:t xml:space="preserve">with a multi-task</w:t>
      </w:r>
      <w:r>
        <w:t xml:space="preserve"> </w:t>
      </w:r>
      <w:r>
        <w:t xml:space="preserve">network that shares layers across source, load and price. These models are</w:t>
      </w:r>
      <w:r>
        <w:t xml:space="preserve"> </w:t>
      </w:r>
      <w:r>
        <w:t xml:space="preserve">trained for statistical accuracy: their demand forecast targets the</w:t>
      </w:r>
      <w:r>
        <w:t xml:space="preserve"> </w:t>
      </w:r>
      <w:r>
        <w:t xml:space="preserve">conditional mean, and the predicted price plays no role in how the forecast</w:t>
      </w:r>
      <w:r>
        <w:t xml:space="preserve"> </w:t>
      </w:r>
      <w:r>
        <w:t xml:space="preserve">trades shortfall against surplus. Price forecasting on its own has a large</w:t>
      </w:r>
      <w:r>
        <w:t xml:space="preserve"> </w:t>
      </w:r>
      <w:r>
        <w:t xml:space="preserve">literature </w:t>
      </w:r>
      <w:r>
        <w:t xml:space="preserve">(Weron 2014)</w:t>
      </w:r>
      <w:r>
        <w:t xml:space="preserve">, likewise accuracy-oriented.</w:t>
      </w:r>
    </w:p>
    <w:bookmarkEnd w:id="13"/>
    <w:bookmarkStart w:id="14" w:name="decision-focused-learning."/>
    <w:p>
      <w:pPr>
        <w:pStyle w:val="Heading4"/>
      </w:pPr>
      <w:r>
        <w:t xml:space="preserve">Decision-focused learning.</w:t>
      </w:r>
    </w:p>
    <w:p>
      <w:pPr>
        <w:pStyle w:val="FirstParagraph"/>
      </w:pPr>
      <w:r>
        <w:t xml:space="preserve">Decision-focused or value-oriented</w:t>
      </w:r>
      <w:r>
        <w:t xml:space="preserve"> </w:t>
      </w:r>
      <w:r>
        <w:t xml:space="preserve">learning trains predictors against the cost of a downstream decision rather</w:t>
      </w:r>
      <w:r>
        <w:t xml:space="preserve"> </w:t>
      </w:r>
      <w:r>
        <w:t xml:space="preserve">than a statistical error </w:t>
      </w:r>
      <w:r>
        <w:t xml:space="preserve">(Donti, Amos, and Kolter 2017; Elmachtoub and Grigas 2022)</w:t>
      </w:r>
      <w:r>
        <w:t xml:space="preserve">;</w:t>
      </w:r>
      <w:r>
        <w:t xml:space="preserve"> </w:t>
      </w:r>
      <w:r>
        <w:t xml:space="preserve">the feature-based newsvendor </w:t>
      </w:r>
      <w:r>
        <w:t xml:space="preserve">(Ban and Rudin 2019)</w:t>
      </w:r>
      <w:r>
        <w:t xml:space="preserve"> </w:t>
      </w:r>
      <w:r>
        <w:t xml:space="preserve">learns an order</w:t>
      </w:r>
      <w:r>
        <w:t xml:space="preserve"> </w:t>
      </w:r>
      <w:r>
        <w:t xml:space="preserve">quantity directly from features under fixed costs. In power systems the idea</w:t>
      </w:r>
      <w:r>
        <w:t xml:space="preserve"> </w:t>
      </w:r>
      <w:r>
        <w:t xml:space="preserve">has been applied to wind and solar forecasts traded in</w:t>
      </w:r>
      <w:r>
        <w:t xml:space="preserve"> </w:t>
      </w:r>
      <w:r>
        <w:t xml:space="preserve">markets </w:t>
      </w:r>
      <w:r>
        <w:t xml:space="preserve">(Stratigakos et al. 2022; Y. Zhang et al. 2024)</w:t>
      </w:r>
      <w:r>
        <w:t xml:space="preserve"> </w:t>
      </w:r>
      <w:r>
        <w:t xml:space="preserve">and to</w:t>
      </w:r>
      <w:r>
        <w:t xml:space="preserve"> </w:t>
      </w:r>
      <w:r>
        <w:t xml:space="preserve">load forecasts for a downstream dispatch </w:t>
      </w:r>
      <w:r>
        <w:t xml:space="preserve">(Donti, Amos, and Kolter 2017; Han, Yan, and Li 2020)</w:t>
      </w:r>
      <w:r>
        <w:t xml:space="preserve">. These works treat the cost parameters as given rather than</w:t>
      </w:r>
      <w:r>
        <w:t xml:space="preserve"> </w:t>
      </w:r>
      <w:r>
        <w:t xml:space="preserve">predicting them, and none addresses national demand with real market prices</w:t>
      </w:r>
      <w:r>
        <w:t xml:space="preserve"> </w:t>
      </w:r>
      <w:r>
        <w:t xml:space="preserve">or benchmarks against the forecast an operator actually uses.</w:t>
      </w:r>
    </w:p>
    <w:bookmarkEnd w:id="14"/>
    <w:bookmarkStart w:id="15" w:name="the-gap."/>
    <w:p>
      <w:pPr>
        <w:pStyle w:val="Heading4"/>
      </w:pPr>
      <w:r>
        <w:t xml:space="preserve">The gap.</w:t>
      </w:r>
    </w:p>
    <w:p>
      <w:pPr>
        <w:pStyle w:val="FirstParagraph"/>
      </w:pPr>
      <w:r>
        <w:t xml:space="preserve">After a search of these three literatures we found no</w:t>
      </w:r>
      <w:r>
        <w:t xml:space="preserve"> </w:t>
      </w:r>
      <w:r>
        <w:t xml:space="preserve">model that</w:t>
      </w:r>
      <w:r>
        <w:t xml:space="preserve"> </w:t>
      </w:r>
      <w:r>
        <w:rPr>
          <w:i/>
          <w:iCs/>
        </w:rPr>
        <w:t xml:space="preserve">unifies</w:t>
      </w:r>
      <w:r>
        <w:t xml:space="preserve"> </w:t>
      </w:r>
      <w:r>
        <w:t xml:space="preserve">them: one that forecasts the prices together with</w:t>
      </w:r>
      <w:r>
        <w:t xml:space="preserve"> </w:t>
      </w:r>
      <w:r>
        <w:t xml:space="preserve">the demand and trains the demand forecast on the price-weighted cost, so that</w:t>
      </w:r>
      <w:r>
        <w:t xml:space="preserve"> </w:t>
      </w:r>
      <w:r>
        <w:t xml:space="preserve">the decision follows the model’s own price expectations. We therefore</w:t>
      </w:r>
      <w:r>
        <w:t xml:space="preserve"> </w:t>
      </w:r>
      <w:r>
        <w:t xml:space="preserve">compare against the strongest representative of each line: a joint</w:t>
      </w:r>
      <w:r>
        <w:t xml:space="preserve"> </w:t>
      </w:r>
      <w:r>
        <w:t xml:space="preserve">load-and-price network trained for accuracy whose own price forecasts then set</w:t>
      </w:r>
      <w:r>
        <w:t xml:space="preserve"> </w:t>
      </w:r>
      <w:r>
        <w:t xml:space="preserve">the margin, a fixed-asymmetry (pinball) model, and accuracy-trained models</w:t>
      </w:r>
      <w:r>
        <w:t xml:space="preserve"> </w:t>
      </w:r>
      <w:r>
        <w:t xml:space="preserve">corrected to the cost after training.</w:t>
      </w:r>
    </w:p>
    <w:bookmarkEnd w:id="15"/>
    <w:bookmarkEnd w:id="16"/>
    <w:bookmarkStart w:id="25" w:name="sec:modeling"/>
    <w:p>
      <w:pPr>
        <w:pStyle w:val="Heading1"/>
      </w:pPr>
      <w:r>
        <w:t xml:space="preserve">Problem Formulation</w:t>
      </w:r>
    </w:p>
    <w:bookmarkStart w:id="18" w:name="procurement-cost"/>
    <w:p>
      <w:pPr>
        <w:pStyle w:val="Heading2"/>
      </w:pPr>
      <w:r>
        <w:t xml:space="preserve">Procurement Cost</w:t>
      </w:r>
    </w:p>
    <w:p>
      <w:pPr>
        <w:pStyle w:val="FirstParagraph"/>
      </w:pPr>
      <w:r>
        <w:t xml:space="preserve">A market participant commits to a quantity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 every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next day before observing the demand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. Let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 </w:t>
      </w:r>
      <w:r>
        <w:t xml:space="preserve">be the</w:t>
      </w:r>
      <w:r>
        <w:t xml:space="preserve"> </w:t>
      </w:r>
      <w:r>
        <w:t xml:space="preserve">day-ahead price,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t>u</m:t>
            </m:r>
          </m:sup>
        </m:sSubSup>
      </m:oMath>
      <w:r>
        <w:t xml:space="preserve"> </w:t>
      </w:r>
      <w:r>
        <w:t xml:space="preserve">the price of each unit of shortfall and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t>o</m:t>
            </m:r>
          </m:sup>
        </m:sSubSup>
      </m:oMath>
      <w:r>
        <w:t xml:space="preserve"> </w:t>
      </w:r>
      <w:r>
        <w:t xml:space="preserve">the value lost on each unit of surplus, with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u</m:t>
              </m:r>
            </m:sup>
          </m:sSubSup>
          <m:r>
            <m:t> </m:t>
          </m:r>
          <m:r>
            <m:rPr>
              <m:sty m:val="p"/>
            </m:rPr>
            <m:t>&gt;</m:t>
          </m:r>
          <m:r>
            <m:t> 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p>
          </m:sSubSup>
          <m:r>
            <m:t> </m:t>
          </m:r>
          <m:r>
            <m:rPr>
              <m:sty m:val="p"/>
            </m:rPr>
            <m:t>&gt;</m:t>
          </m:r>
          <m:r>
            <m:t> 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realised cost is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u</m:t>
            </m:r>
          </m:sup>
        </m:sSubSu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o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 The consumed energy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paid whatever the forecast, so we work with the</w:t>
      </w:r>
      <w:r>
        <w:t xml:space="preserve"> </w:t>
      </w:r>
      <w:r>
        <w:rPr>
          <w:i/>
          <w:iCs/>
        </w:rPr>
        <w:t xml:space="preserve">excess cost</w:t>
      </w:r>
      <w:r>
        <w:t xml:space="preserve"> </w:t>
      </w:r>
      <w:r>
        <w:t xml:space="preserve">above a</w:t>
      </w:r>
      <w:r>
        <w:t xml:space="preserve"> </w:t>
      </w:r>
      <w:r>
        <w:t xml:space="preserve">perfect forecast,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p>
          </m:sSubSup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u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A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</m:lim>
          </m:limLow>
          <m:r>
            <m:t> 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o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o</m:t>
                  </m:r>
                </m:sup>
              </m:sSubSup>
            </m:lim>
          </m:limLow>
          <m:r>
            <m:t> 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pinball loss whose two slopes are</w:t>
      </w:r>
      <w:r>
        <w:t xml:space="preserve"> </w:t>
      </w:r>
      <w:r>
        <w:rPr>
          <w:i/>
          <w:iCs/>
        </w:rPr>
        <w:t xml:space="preserve">prices</w:t>
      </w:r>
      <w:r>
        <w:t xml:space="preserve"> </w:t>
      </w:r>
      <w:r>
        <w:t xml:space="preserve">that change from slot to</w:t>
      </w:r>
      <w:r>
        <w:t xml:space="preserve"> </w:t>
      </w:r>
      <w:r>
        <w:t xml:space="preserve">slot. We consider the uncertainty of demand only; production-side</w:t>
      </w:r>
      <w:r>
        <w:t xml:space="preserve"> </w:t>
      </w:r>
      <w:r>
        <w:t xml:space="preserve">uncertainty, e.g. from renewables </w:t>
      </w:r>
      <w:r>
        <w:t xml:space="preserve">(Morales et al. 2014)</w:t>
      </w:r>
      <w:r>
        <w:t xml:space="preserve">, is</w:t>
      </w:r>
      <w:r>
        <w:t xml:space="preserve"> </w:t>
      </w:r>
      <w:r>
        <w:t xml:space="preserve">outside our scope.</w:t>
      </w:r>
    </w:p>
    <w:bookmarkStart w:id="17" w:name="information."/>
    <w:p>
      <w:pPr>
        <w:pStyle w:val="Heading4"/>
      </w:pPr>
      <w:r>
        <w:t xml:space="preserve">Information.</w:t>
      </w:r>
    </w:p>
    <w:p>
      <w:pPr>
        <w:pStyle w:val="FirstParagraph"/>
      </w:pPr>
      <w:r>
        <w:t xml:space="preserve">The day-ahead price is set by the market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purchase decision, so none of the slot’s prices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u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o</m:t>
            </m:r>
          </m:sup>
        </m:sSubSup>
      </m:oMath>
      <w:r>
        <w:t xml:space="preserve"> </w:t>
      </w:r>
      <w:r>
        <w:t xml:space="preserve">is known when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chosen. The</w:t>
      </w:r>
      <w:r>
        <w:t xml:space="preserve"> </w:t>
      </w:r>
      <w:r>
        <w:t xml:space="preserve">forecaster sees only what is available a day ahead: demand and prices up to</w:t>
      </w:r>
      <w:r>
        <w:t xml:space="preserve"> </w:t>
      </w:r>
      <w:r>
        <w:t xml:space="preserve">24 hours before</w:t>
      </w:r>
      <w:r>
        <w:t xml:space="preserve"> </w:t>
      </w:r>
      <m:oMath>
        <m:r>
          <m:t>t</m:t>
        </m:r>
      </m:oMath>
      <w:r>
        <w:t xml:space="preserve">, the weather forecast and the calendar. Historical prices</w:t>
      </w:r>
      <w:r>
        <w:t xml:space="preserve"> </w:t>
      </w:r>
      <w:r>
        <w:t xml:space="preserve">are known after the fact and can be used for training.</w:t>
      </w:r>
    </w:p>
    <w:bookmarkEnd w:id="17"/>
    <w:bookmarkEnd w:id="18"/>
    <w:bookmarkStart w:id="19" w:name="sec:newsvendor"/>
    <w:p>
      <w:pPr>
        <w:pStyle w:val="Heading2"/>
      </w:pPr>
      <w:r>
        <w:t xml:space="preserve">The Optimal Forecast Is a Price-Dependent Quantile</w:t>
      </w:r>
    </w:p>
    <w:p>
      <w:pPr>
        <w:pStyle w:val="FirstParagraph"/>
      </w:pPr>
      <w:r>
        <w:t xml:space="preserve">For known prices, minimising Equation (2) is the newsvendor</w:t>
      </w:r>
      <w:r>
        <w:t xml:space="preserve"> </w:t>
      </w:r>
      <w:r>
        <w:t xml:space="preserve">problem </w:t>
      </w:r>
      <w:r>
        <w:t xml:space="preserve">(Arrow, Harris, and Marschak 1951)</w:t>
      </w:r>
      <w:r>
        <w:t xml:space="preserve">, whose solution is the critical fractile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o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bSup>
            </m:num>
            <m:den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t>o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conditional distribution of demand. When the prices are</w:t>
      </w:r>
      <w:r>
        <w:t xml:space="preserve"> </w:t>
      </w:r>
      <w:r>
        <w:t xml:space="preserve">unknown, the optimum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c</m:t>
              </m:r>
            </m:e>
            <m:sub>
              <m:r>
                <m:t>t</m:t>
              </m:r>
            </m:sub>
            <m:sup>
              <m:r>
                <m:t>u</m:t>
              </m:r>
            </m:sup>
          </m:sSubSup>
          <m:r>
            <m:t> 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&gt;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}</m:t>
          </m:r>
          <m:r>
            <m:t> </m:t>
          </m:r>
          <m:d>
            <m:dPr>
              <m:begChr m:val="|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c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t> 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}</m:t>
          </m:r>
          <m:r>
            <m:t> </m:t>
          </m:r>
          <m:d>
            <m:dPr>
              <m:begChr m:val="|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information available a day ahead: a</w:t>
      </w:r>
      <w:r>
        <w:t xml:space="preserve"> </w:t>
      </w:r>
      <w:r>
        <w:rPr>
          <w:i/>
          <w:iCs/>
        </w:rPr>
        <w:t xml:space="preserve">cost-weighted</w:t>
      </w:r>
      <w:r>
        <w:t xml:space="preserve"> </w:t>
      </w:r>
      <w:r>
        <w:t xml:space="preserve">quantile of demand, in which each outcome is weighted by</w:t>
      </w:r>
      <w:r>
        <w:t xml:space="preserve"> </w:t>
      </w:r>
      <w:r>
        <w:t xml:space="preserve">the price it would be settled at. Three consequences motivate the unified</w:t>
      </w:r>
      <w:r>
        <w:t xml:space="preserve"> </w:t>
      </w:r>
      <w:r>
        <w:t xml:space="preserve">model. (i) The target quantile moves with the price, so no model that</w:t>
      </w:r>
      <w:r>
        <w:t xml:space="preserve"> </w:t>
      </w:r>
      <w:r>
        <w:t xml:space="preserve">targets the mean or a fixed quantile can be optimal. (ii) High demand drives</w:t>
      </w:r>
      <w:r>
        <w:t xml:space="preserve"> </w:t>
      </w:r>
      <w:r>
        <w:t xml:space="preserve">high prices, so shortfalls tend to happen when they are most expensive;</w:t>
      </w:r>
      <w:r>
        <w:t xml:space="preserve"> </w:t>
      </w:r>
      <w:r>
        <w:t xml:space="preserve">Equation (4) accounts for this joint behaviour, a</w:t>
      </w:r>
      <w:r>
        <w:t xml:space="preserve"> </w:t>
      </w:r>
      <w:r>
        <w:t xml:space="preserve">forecast shifted after training does not. (iii) A megawatt-hour of error</w:t>
      </w:r>
      <w:r>
        <w:t xml:space="preserve"> </w:t>
      </w:r>
      <w:r>
        <w:t xml:space="preserve">during a price spike costs many times more than one at night, so a model</w:t>
      </w:r>
      <w:r>
        <w:t xml:space="preserve"> </w:t>
      </w:r>
      <w:r>
        <w:t xml:space="preserve">should spend its capacity where prices are high. A model that predicts the</w:t>
      </w:r>
      <w:r>
        <w:t xml:space="preserve"> </w:t>
      </w:r>
      <w:r>
        <w:t xml:space="preserve">prices and the demand from shared features and is trained on</w:t>
      </w:r>
      <w:r>
        <w:t xml:space="preserve"> </w:t>
      </w:r>
      <w:r>
        <w:t xml:space="preserve">Equation (2) with the realised prices can learn all three.</w:t>
      </w:r>
    </w:p>
    <w:bookmarkEnd w:id="19"/>
    <w:bookmarkStart w:id="24" w:name="sec:synthetic-prices"/>
    <w:p>
      <w:pPr>
        <w:pStyle w:val="Heading2"/>
      </w:pPr>
      <w:r>
        <w:t xml:space="preserve">Imbalance Prices</w:t>
      </w:r>
    </w:p>
    <w:p>
      <w:pPr>
        <w:pStyle w:val="FirstParagraph"/>
      </w:pPr>
      <w:r>
        <w:t xml:space="preserve">The day-ahead prices in our study are the real Israeli market prices</w:t>
      </w:r>
      <w:r>
        <w:t xml:space="preserve"> </w:t>
      </w:r>
      <w:r>
        <w:t xml:space="preserve">(Section 5); imbalance prices are not published for the study</w:t>
      </w:r>
      <w:r>
        <w:t xml:space="preserve"> </w:t>
      </w:r>
      <w:r>
        <w:t xml:space="preserve">period, so we generate them. Per 30-minute settlement period,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 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u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 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γ</m:t>
                      </m:r>
                    </m:sup>
                  </m:sSubSup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o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position of</w:t>
      </w:r>
      <w:r>
        <w:t xml:space="preserve"> </w:t>
      </w:r>
      <m:oMath>
        <m:r>
          <m:rPr>
            <m:sty m:val="p"/>
          </m:rPr>
          <m:t>log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 </w:t>
      </w:r>
      <w:r>
        <w:t xml:space="preserve">between its 5th and 99th percentiles. The surplus</w:t>
      </w:r>
      <w:r>
        <w:t xml:space="preserve"> </w:t>
      </w:r>
      <w:r>
        <w:t xml:space="preserve">price is thus a fixed fraction of the day-ahead price, and the</w:t>
      </w:r>
      <w:r>
        <w:t xml:space="preserve"> </w:t>
      </w:r>
      <w:r>
        <w:t xml:space="preserve">shortfall-to-surplus ratio lies in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t xml:space="preserve">and rises convexly with</w:t>
      </w:r>
      <w:r>
        <w:t xml:space="preserve"> </w:t>
      </w:r>
      <w:r>
        <w:t xml:space="preserve">it </w:t>
      </w:r>
      <w:r>
        <w:t xml:space="preserve">(J. Zhang, Wang, and Hug 2022)</w:t>
      </w:r>
      <w:r>
        <w:t xml:space="preserve">. We use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0.03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;</w:t>
      </w:r>
      <w:r>
        <w:t xml:space="preserve"> </w:t>
      </w:r>
      <m:oMath>
        <m:r>
          <m:t>α</m:t>
        </m:r>
        <m:sSub>
          <m:e>
            <m:r>
              <m:t>r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guarantees the ordering (1). The</w:t>
      </w:r>
      <w:r>
        <w:t xml:space="preserve"> </w:t>
      </w:r>
      <w:r>
        <w:t xml:space="preserve">resulting cost-optimal quantile (Figure 1) has a median of</w:t>
      </w:r>
      <w:r>
        <w:t xml:space="preserve"> </w:t>
      </w:r>
      <m:oMath>
        <m:r>
          <m:t>0.78</m:t>
        </m:r>
      </m:oMath>
      <w:r>
        <w:t xml:space="preserve"> </w:t>
      </w:r>
      <w:r>
        <w:t xml:space="preserve">on the training set,</w:t>
      </w:r>
      <w:r>
        <w:t xml:space="preserve"> </w:t>
      </w:r>
      <m:oMath>
        <m:r>
          <m:t>0.66</m:t>
        </m:r>
      </m:oMath>
      <w:r>
        <w:t xml:space="preserve"> </w:t>
      </w:r>
      <w:r>
        <w:t xml:space="preserve">in the cheapest fifth of the slots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in the most expensive fifth.</w:t>
      </w:r>
    </w:p>
    <w:bookmarkStart w:id="23" w:name="fig:tau-vs-price"/>
    <w:p>
      <w:pPr>
        <w:pStyle w:val="CaptionedFigure"/>
      </w:pPr>
      <w:r>
        <w:drawing>
          <wp:inline>
            <wp:extent cx="4000500" cy="225028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lot/tau_vs_pri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cost-optimal quantile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(Equation (3)) rises with the real</w:t>
      </w:r>
      <w:r>
        <w:t xml:space="preserve"> </w:t>
      </w:r>
      <w:r>
        <w:t xml:space="preserve">day-ahead price (test year). Points are realised values; the</w:t>
      </w:r>
      <w:r>
        <w:t xml:space="preserve"> </w:t>
      </w:r>
      <w:r>
        <w:t xml:space="preserve">line is the mean in each of 20 price bins.</w:t>
      </w:r>
    </w:p>
    <w:bookmarkEnd w:id="23"/>
    <w:bookmarkEnd w:id="24"/>
    <w:bookmarkEnd w:id="25"/>
    <w:bookmarkStart w:id="36" w:name="sec:architecture"/>
    <w:p>
      <w:pPr>
        <w:pStyle w:val="Heading1"/>
      </w:pPr>
      <w:r>
        <w:t xml:space="preserve">The Unified Model</w:t>
      </w:r>
    </w:p>
    <w:p>
      <w:pPr>
        <w:pStyle w:val="FirstParagraph"/>
      </w:pPr>
      <w:r>
        <w:t xml:space="preserve">Figure 2 shows the model. It forecasts the demand of a</w:t>
      </w:r>
      <w:r>
        <w:t xml:space="preserve"> </w:t>
      </w:r>
      <w:r>
        <w:t xml:space="preserve">5-minute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the next day, together with the slot’s three prices, from</w:t>
      </w:r>
      <w:r>
        <w:t xml:space="preserve"> </w:t>
      </w:r>
      <w:r>
        <w:t xml:space="preserve">information available a day in advance.</w:t>
      </w:r>
    </w:p>
    <w:bookmarkStart w:id="26" w:name="inputs."/>
    <w:p>
      <w:pPr>
        <w:pStyle w:val="Heading4"/>
      </w:pPr>
      <w:r>
        <w:t xml:space="preserve">Inputs.</w:t>
      </w:r>
    </w:p>
    <w:p>
      <w:pPr>
        <w:pStyle w:val="FirstParagraph"/>
      </w:pPr>
      <w:r>
        <w:t xml:space="preserve">(i) The</w:t>
      </w:r>
      <w:r>
        <w:t xml:space="preserve"> </w:t>
      </w:r>
      <w:r>
        <w:rPr>
          <w:i/>
          <w:iCs/>
        </w:rPr>
        <w:t xml:space="preserve">demand history</w:t>
      </w:r>
      <w:r>
        <w:t xml:space="preserve">: the ten 5-minute</w:t>
      </w:r>
      <w:r>
        <w:t xml:space="preserve"> </w:t>
      </w:r>
      <w:r>
        <w:t xml:space="preserve">readings ending exactly 24 hours before</w:t>
      </w:r>
      <w:r>
        <w:t xml:space="preserve"> </w:t>
      </w:r>
      <m:oMath>
        <m:r>
          <m:t>t</m:t>
        </m:r>
      </m:oMath>
      <w:r>
        <w:t xml:space="preserve">. (ii) The</w:t>
      </w:r>
      <w:r>
        <w:t xml:space="preserve"> </w:t>
      </w:r>
      <w:r>
        <w:rPr>
          <w:i/>
          <w:iCs/>
        </w:rPr>
        <w:t xml:space="preserve">calendar</w:t>
      </w:r>
      <w:r>
        <w:t xml:space="preserve">: month,</w:t>
      </w:r>
      <w:r>
        <w:t xml:space="preserve"> </w:t>
      </w:r>
      <w:r>
        <w:t xml:space="preserve">day of week and 5-minute slot of the day, each a learned two-dimensional</w:t>
      </w:r>
      <w:r>
        <w:t xml:space="preserve"> </w:t>
      </w:r>
      <w:r>
        <w:t xml:space="preserve">embedding with norm at most 1. (iii) The</w:t>
      </w:r>
      <w:r>
        <w:t xml:space="preserve"> </w:t>
      </w:r>
      <w:r>
        <w:rPr>
          <w:i/>
          <w:iCs/>
        </w:rPr>
        <w:t xml:space="preserve">weather</w:t>
      </w:r>
      <w:r>
        <w:t xml:space="preserve">: temperature,</w:t>
      </w:r>
      <w:r>
        <w:t xml:space="preserve"> </w:t>
      </w:r>
      <w:r>
        <w:t xml:space="preserve">wet-bulb temperature and relative humidity at Haifa, Jerusalem and Tel Aviv,</w:t>
      </w:r>
      <w:r>
        <w:t xml:space="preserve"> </w:t>
      </w:r>
      <w:r>
        <w:t xml:space="preserve">for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for the same slot of the previous day. (iv) </w:t>
      </w:r>
      <w:r>
        <w:rPr>
          <w:i/>
          <w:iCs/>
        </w:rPr>
        <w:t xml:space="preserve">Yesterday’s</w:t>
      </w:r>
      <w:r>
        <w:rPr>
          <w:i/>
          <w:iCs/>
        </w:rPr>
        <w:t xml:space="preserve"> </w:t>
      </w:r>
      <w:r>
        <w:rPr>
          <w:i/>
          <w:iCs/>
        </w:rPr>
        <w:t xml:space="preserve">day-ahead price</w:t>
      </w:r>
      <w:r>
        <w:t xml:space="preserve"> </w:t>
      </w:r>
      <w:r>
        <w:t xml:space="preserve">of the same slot,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24</m:t>
            </m:r>
            <m:r>
              <m:rPr>
                <m:nor/>
                <m:sty m:val="p"/>
              </m:rPr>
              <m:t>h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, which is</w:t>
      </w:r>
      <w:r>
        <w:t xml:space="preserve"> </w:t>
      </w:r>
      <w:r>
        <w:t xml:space="preserve">public when the forecast is made. Weather and price are standardised with</w:t>
      </w:r>
      <w:r>
        <w:t xml:space="preserve"> </w:t>
      </w:r>
      <w:r>
        <w:t xml:space="preserve">training-set statistics.</w:t>
      </w:r>
    </w:p>
    <w:bookmarkEnd w:id="26"/>
    <w:bookmarkStart w:id="27" w:name="shared-representation."/>
    <w:p>
      <w:pPr>
        <w:pStyle w:val="Heading4"/>
      </w:pPr>
      <w:r>
        <w:t xml:space="preserve">Shared representation.</w:t>
      </w:r>
    </w:p>
    <w:p>
      <w:pPr>
        <w:pStyle w:val="FirstParagraph"/>
      </w:pPr>
      <w:r>
        <w:t xml:space="preserve">One projection,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with a LeakyReLU, maps today’s and yesterday’s weather</w:t>
      </w:r>
      <w:r>
        <w:t xml:space="preserve"> </w:t>
      </w:r>
      <w:r>
        <w:t xml:space="preserve">with the same weights, so the network can compare the same learned weather</w:t>
      </w:r>
      <w:r>
        <w:t xml:space="preserve"> </w:t>
      </w:r>
      <w:r>
        <w:t xml:space="preserve">features on both days—which explains the change in demand since yesterday.</w:t>
      </w:r>
      <w:r>
        <w:t xml:space="preserve"> </w:t>
      </w:r>
      <w:r>
        <w:t xml:space="preserve">The embeddings, both projected weather vectors and yesterday’s price (15</w:t>
      </w:r>
      <w:r>
        <w:t xml:space="preserve"> </w:t>
      </w:r>
      <w:r>
        <w:t xml:space="preserve">values) pass through three layers of width 16, each followed by a LeakyReLU,</w:t>
      </w:r>
      <w:r>
        <w:t xml:space="preserve"> </w:t>
      </w:r>
      <w:r>
        <w:t xml:space="preserve">layer normalisation and dropout (0.1). The result is a vector of shared</w:t>
      </w:r>
      <w:r>
        <w:t xml:space="preserve"> </w:t>
      </w:r>
      <w:r>
        <w:t xml:space="preserve">features</w:t>
      </w:r>
      <w: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</m:t>
            </m:r>
          </m:sup>
        </m:sSup>
      </m:oMath>
      <w:r>
        <w:t xml:space="preserve">, read by two heads.</w:t>
      </w:r>
    </w:p>
    <w:bookmarkEnd w:id="27"/>
    <w:bookmarkStart w:id="28" w:name="demand-head."/>
    <w:p>
      <w:pPr>
        <w:pStyle w:val="Heading4"/>
      </w:pPr>
      <w:r>
        <w:t xml:space="preserve">Demand head.</w:t>
      </w:r>
    </w:p>
    <w:p>
      <w:pPr>
        <w:pStyle w:val="FirstParagraph"/>
      </w:pPr>
      <w:r>
        <w:t xml:space="preserve">A linear layer maps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to ten attention</w:t>
      </w:r>
      <w:r>
        <w:t xml:space="preserve"> </w:t>
      </w:r>
      <w:r>
        <w:t xml:space="preserve">logits</w:t>
      </w:r>
      <w:r>
        <w:t xml:space="preserve"> </w:t>
      </w:r>
      <m:oMath>
        <m:r>
          <m:rPr>
            <m:sty m:val="b"/>
          </m:rPr>
          <m:t>o</m:t>
        </m:r>
      </m:oMath>
      <w:r>
        <w:t xml:space="preserve">, a log-scale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shift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</m:t>
              </m:r>
            </m: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e>
          </m:nary>
          <m:r>
            <m:rPr>
              <m:sty m:val="p"/>
            </m:rPr>
            <m:t>(</m:t>
          </m:r>
          <m:r>
            <m:rPr>
              <m:sty m:val="b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t> 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history readings 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the training-set</w:t>
      </w:r>
      <w:r>
        <w:t xml:space="preserve"> </w:t>
      </w:r>
      <w:r>
        <w:t xml:space="preserve">standard deviation of the day-over-day demand change. The attention picks the</w:t>
      </w:r>
      <w:r>
        <w:t xml:space="preserve"> </w:t>
      </w:r>
      <w:r>
        <w:t xml:space="preserve">starting point from yesterday’s demand;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set the level, including</w:t>
      </w:r>
      <w:r>
        <w:t xml:space="preserve"> </w:t>
      </w:r>
      <w:r>
        <w:t xml:space="preserve">the safety margin.</w:t>
      </w:r>
    </w:p>
    <w:bookmarkEnd w:id="28"/>
    <w:bookmarkStart w:id="29" w:name="price-head."/>
    <w:p>
      <w:pPr>
        <w:pStyle w:val="Heading4"/>
      </w:pPr>
      <w:r>
        <w:t xml:space="preserve">Price head.</w:t>
      </w:r>
    </w:p>
    <w:p>
      <w:pPr>
        <w:pStyle w:val="FirstParagraph"/>
      </w:pPr>
      <w:r>
        <w:t xml:space="preserve">A second linear layer maps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features to the three prices,</w:t>
      </w:r>
      <w:r>
        <w:t xml:space="preserve"> </w:t>
      </w:r>
      <m:oMath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t>o</m:t>
            </m:r>
          </m:sup>
        </m:sSubSup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t>u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rPr>
                <m:sty m:val="b"/>
              </m:rPr>
              <m:t>π</m:t>
            </m:r>
          </m:e>
        </m:acc>
        <m:r>
          <m:rPr>
            <m:sty m:val="p"/>
          </m:rPr>
          <m:t>⊙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b"/>
          </m:rPr>
          <m:t>W</m:t>
        </m:r>
        <m:r>
          <m:rPr>
            <m:sty m:val="b"/>
          </m:rPr>
          <m:t>z</m:t>
        </m:r>
        <m:r>
          <m:rPr>
            <m:sty m:val="p"/>
          </m:rPr>
          <m:t>+</m:t>
        </m:r>
        <m:r>
          <m:rPr>
            <m:sty m:val="b"/>
          </m:rPr>
          <m:t>c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"/>
              </m:rPr>
              <m:t>π</m:t>
            </m:r>
          </m:e>
        </m:acc>
      </m:oMath>
      <w:r>
        <w:t xml:space="preserve"> </w:t>
      </w:r>
      <w:r>
        <w:t xml:space="preserve">the training-set mean prices. It has no other input:</w:t>
      </w:r>
      <w:r>
        <w:t xml:space="preserve"> </w:t>
      </w:r>
      <w:r>
        <w:t xml:space="preserve">to predict the prices,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itself must encode when prices—and hence</w:t>
      </w:r>
      <w:r>
        <w:t xml:space="preserve"> </w:t>
      </w:r>
      <w:r>
        <w:t xml:space="preserve">shortfalls—will be expensive, and the demand head reads exactly these</w:t>
      </w:r>
      <w:r>
        <w:t xml:space="preserve"> </w:t>
      </w:r>
      <w:r>
        <w:t xml:space="preserve">features. This is what makes the model</w:t>
      </w:r>
      <w:r>
        <w:t xml:space="preserve"> </w:t>
      </w:r>
      <w:r>
        <w:rPr>
          <w:i/>
          <w:iCs/>
        </w:rPr>
        <w:t xml:space="preserve">unified</w:t>
      </w:r>
      <w:r>
        <w:t xml:space="preserve">.</w:t>
      </w:r>
    </w:p>
    <w:bookmarkEnd w:id="29"/>
    <w:bookmarkStart w:id="30" w:name="training."/>
    <w:p>
      <w:pPr>
        <w:pStyle w:val="Heading4"/>
      </w:pPr>
      <w:r>
        <w:t xml:space="preserve">Training.</w:t>
      </w:r>
    </w:p>
    <w:p>
      <w:pPr>
        <w:pStyle w:val="FirstParagraph"/>
      </w:pPr>
      <w:r>
        <w:t xml:space="preserve">The loss is the mean excess cost of the demand</w:t>
      </w:r>
      <w:r>
        <w:t xml:space="preserve"> </w:t>
      </w:r>
      <w:r>
        <w:t xml:space="preserve">forecast (Equation (2)) at the realised prices plus the mean</w:t>
      </w:r>
      <w:r>
        <w:t xml:space="preserve"> </w:t>
      </w:r>
      <w:r>
        <w:t xml:space="preserve">relative squared error of the three price forecasts,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t>j</m:t>
            </m:r>
          </m:sup>
        </m:sSubSup>
        <m:r>
          <m:rPr>
            <m:sty m:val="p"/>
          </m:rPr>
          <m:t>−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j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j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with equal weight. We use</w:t>
      </w:r>
      <w:r>
        <w:t xml:space="preserve"> </w:t>
      </w:r>
      <w:r>
        <w:t xml:space="preserve">Adam </w:t>
      </w:r>
      <w:r>
        <w:t xml:space="preserve">(Kingma and Ba 2014)</w:t>
      </w:r>
      <w:r>
        <w:t xml:space="preserve"> </w:t>
      </w:r>
      <w:r>
        <w:t xml:space="preserve">with learning rate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batches of</w:t>
      </w:r>
      <w:r>
        <w:t xml:space="preserve"> </w:t>
      </w:r>
      <w:r>
        <w:t xml:space="preserve">5</w:t>
      </w:r>
      <w:r>
        <w:t xml:space="preserve">,</w:t>
      </w:r>
      <w:r>
        <w:t xml:space="preserve">000 slots and a fixed budget of 500 epochs (the held-out cost is</w:t>
      </w:r>
      <w:r>
        <w:t xml:space="preserve"> </w:t>
      </w:r>
      <w:r>
        <w:t xml:space="preserve">dominated by a few price spikes and is too noisy for early stopping).</w:t>
      </w:r>
    </w:p>
    <w:bookmarkEnd w:id="30"/>
    <w:bookmarkStart w:id="35" w:name="small-and-efficient."/>
    <w:p>
      <w:pPr>
        <w:pStyle w:val="Heading4"/>
      </w:pPr>
      <w:r>
        <w:t xml:space="preserve">Small and efficient.</w:t>
      </w:r>
    </w:p>
    <w:p>
      <w:pPr>
        <w:pStyle w:val="FirstParagraph"/>
      </w:pPr>
      <w:r>
        <w:t xml:space="preserve">The model has 1</w:t>
      </w:r>
      <w:r>
        <w:t xml:space="preserve">,</w:t>
      </w:r>
      <w:r>
        <w:t xml:space="preserve">805 parameters. On a</w:t>
      </w:r>
      <w:r>
        <w:t xml:space="preserve"> </w:t>
      </w:r>
      <w:r>
        <w:t xml:space="preserve">standard laptop (Intel Core i5-1135G7, no GPU) a full training run over the</w:t>
      </w:r>
      <w:r>
        <w:t xml:space="preserve"> </w:t>
      </w:r>
      <w:r>
        <w:t xml:space="preserve">184</w:t>
      </w:r>
      <w:r>
        <w:t xml:space="preserve">,</w:t>
      </w:r>
      <w:r>
        <w:t xml:space="preserve">268 training slots takes about five minutes, and forecasting a year</w:t>
      </w:r>
      <w:r>
        <w:t xml:space="preserve"> </w:t>
      </w:r>
      <w:r>
        <w:t xml:space="preserve">takes a fraction of a second, so the model can be retrained daily without</w:t>
      </w:r>
      <w:r>
        <w:t xml:space="preserve"> </w:t>
      </w:r>
      <w:r>
        <w:t xml:space="preserve">special hardware.</w:t>
      </w:r>
    </w:p>
    <w:bookmarkStart w:id="34" w:name="fig:model"/>
    <w:p>
      <w:pPr>
        <w:pStyle w:val="CaptionedFigure"/>
      </w:pPr>
      <w:r>
        <w:drawing>
          <wp:inline>
            <wp:extent cx="5334000" cy="656781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lot/mode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The unified model. Inputs (blue) are at least 24 hours old,</w:t>
      </w:r>
      <w:r>
        <w:t xml:space="preserve"> </w:t>
      </w:r>
      <w:r>
        <w:t xml:space="preserve">except the weather forecast for</w:t>
      </w:r>
      <w:r>
        <w:t xml:space="preserve"> </w:t>
      </w:r>
      <m:oMath>
        <m:r>
          <m:t>t</m:t>
        </m:r>
      </m:oMath>
      <w:r>
        <w:t xml:space="preserve">; the slot’s own prices are</w:t>
      </w:r>
      <w:r>
        <w:t xml:space="preserve"> </w:t>
      </w:r>
      <w:r>
        <w:t xml:space="preserve">never inputs. A shared trunk produces features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which a demand head (orange) and a price head (red) are</w:t>
      </w:r>
      <w:r>
        <w:t xml:space="preserve"> </w:t>
      </w:r>
      <w:r>
        <w:t xml:space="preserve">computed. The raw demand history enters only through the</w:t>
      </w:r>
      <w:r>
        <w:t xml:space="preserve"> </w:t>
      </w:r>
      <w:r>
        <w:t xml:space="preserve">attention. The right panel lists the losses and the optimiser.</w:t>
      </w:r>
    </w:p>
    <w:bookmarkEnd w:id="34"/>
    <w:bookmarkEnd w:id="35"/>
    <w:bookmarkEnd w:id="36"/>
    <w:bookmarkStart w:id="57" w:name="sec:dataset"/>
    <w:p>
      <w:pPr>
        <w:pStyle w:val="Heading1"/>
      </w:pPr>
      <w:r>
        <w:t xml:space="preserve">Data and Experimental Setup</w:t>
      </w:r>
    </w:p>
    <w:bookmarkStart w:id="41" w:name="sec:israel"/>
    <w:p>
      <w:pPr>
        <w:pStyle w:val="Heading2"/>
      </w:pPr>
      <w:r>
        <w:t xml:space="preserve">The Israeli Electricity Market</w:t>
      </w:r>
    </w:p>
    <w:p>
      <w:pPr>
        <w:pStyle w:val="FirstParagraph"/>
      </w:pPr>
      <w:r>
        <w:t xml:space="preserve">Israel is a small country (about 22</w:t>
      </w:r>
      <w:r>
        <w:t xml:space="preserve">,</w:t>
      </w:r>
      <w:r>
        <w:t xml:space="preserve">000 km</w:t>
      </w:r>
      <w:r>
        <w:rPr>
          <w:vertAlign w:val="superscript"/>
        </w:rPr>
        <w:t xml:space="preserve">2</w:t>
      </w:r>
      <w:r>
        <w:t xml:space="preserve">, 10.2 million</w:t>
      </w:r>
      <w:r>
        <w:t xml:space="preserve"> </w:t>
      </w:r>
      <w:r>
        <w:t xml:space="preserve">people;</w:t>
      </w:r>
      <w:r>
        <w:t xml:space="preserve"> </w:t>
      </w:r>
      <w:r>
        <w:t xml:space="preserve">(Israel Central Bureau of Statistics 2025)</w:t>
      </w:r>
      <w:r>
        <w:t xml:space="preserve">) whose population is highly concentrated: most of it lives on the</w:t>
      </w:r>
      <w:r>
        <w:t xml:space="preserve"> </w:t>
      </w:r>
      <w:r>
        <w:t xml:space="preserve">narrow Mediterranean coastal plain, a strip of about 150 km from Haifa through</w:t>
      </w:r>
      <w:r>
        <w:t xml:space="preserve"> </w:t>
      </w:r>
      <w:r>
        <w:t xml:space="preserve">the Tel Aviv metropolitan area to Ashdod, with Jerusalem the main inland</w:t>
      </w:r>
      <w:r>
        <w:t xml:space="preserve"> </w:t>
      </w:r>
      <w:r>
        <w:t xml:space="preserve">centre (Figure 3). The weather at Haifa, Tel Aviv and</w:t>
      </w:r>
      <w:r>
        <w:t xml:space="preserve"> </w:t>
      </w:r>
      <w:r>
        <w:t xml:space="preserve">Jerusalem therefore describes the conditions under which most of the</w:t>
      </w:r>
      <w:r>
        <w:t xml:space="preserve"> </w:t>
      </w:r>
      <w:r>
        <w:t xml:space="preserve">electricity is consumed. The climate is hot in summer and mild in winter,</w:t>
      </w:r>
      <w:r>
        <w:t xml:space="preserve"> </w:t>
      </w:r>
      <w:r>
        <w:t xml:space="preserve">and 96.5% of households have air conditioning, so demand is driven by</w:t>
      </w:r>
      <w:r>
        <w:t xml:space="preserve"> </w:t>
      </w:r>
      <w:r>
        <w:t xml:space="preserve">cooling and, to a lesser extent, heating: it peaks in July–August, with a</w:t>
      </w:r>
      <w:r>
        <w:t xml:space="preserve"> </w:t>
      </w:r>
      <w:r>
        <w:t xml:space="preserve">secondary peak in January–February. The working week runs from Sunday to</w:t>
      </w:r>
      <w:r>
        <w:t xml:space="preserve"> </w:t>
      </w:r>
      <w:r>
        <w:t xml:space="preserve">Thursday; Friday and Saturday are the weekend.</w:t>
      </w:r>
    </w:p>
    <w:p>
      <w:pPr>
        <w:pStyle w:val="BodyText"/>
      </w:pPr>
      <w:r>
        <w:t xml:space="preserve">The grid is an</w:t>
      </w:r>
      <w:r>
        <w:t xml:space="preserve"> </w:t>
      </w:r>
      <w:r>
        <w:rPr>
          <w:i/>
          <w:iCs/>
        </w:rPr>
        <w:t xml:space="preserve">electricity island</w:t>
      </w:r>
      <w:r>
        <w:t xml:space="preserve">, with no significant interconnection</w:t>
      </w:r>
      <w:r>
        <w:t xml:space="preserve"> </w:t>
      </w:r>
      <w:r>
        <w:t xml:space="preserve">to neighbouring countries, so every shortfall must be covered by domestic</w:t>
      </w:r>
      <w:r>
        <w:t xml:space="preserve"> </w:t>
      </w:r>
      <w:r>
        <w:t xml:space="preserve">reserves. The market is centralised. The independent system operator, Noga,</w:t>
      </w:r>
      <w:r>
        <w:t xml:space="preserve"> </w:t>
      </w:r>
      <w:r>
        <w:t xml:space="preserve">forecasts the national demand for every period of the next day; this</w:t>
      </w:r>
      <w:r>
        <w:t xml:space="preserve"> </w:t>
      </w:r>
      <w:r>
        <w:t xml:space="preserve">day-ahead forecast, together with the resulting system marginal price (SMP),</w:t>
      </w:r>
      <w:r>
        <w:t xml:space="preserve"> </w:t>
      </w:r>
      <w:r>
        <w:t xml:space="preserve">determines how much each producer is scheduled to generate. The day-ahead</w:t>
      </w:r>
      <w:r>
        <w:t xml:space="preserve"> </w:t>
      </w:r>
      <w:r>
        <w:t xml:space="preserve">demand forecast is thus the pivotal quantity: it is fixed before the demand is</w:t>
      </w:r>
      <w:r>
        <w:t xml:space="preserve"> </w:t>
      </w:r>
      <w:r>
        <w:t xml:space="preserve">known, and its errors are corrected in real time at a premium. With about</w:t>
      </w:r>
      <w:r>
        <w:t xml:space="preserve"> </w:t>
      </w:r>
      <w:r>
        <w:t xml:space="preserve">80 TWh per year and an average load of 9.2 GW, the market is small: a few</w:t>
      </w:r>
      <w:r>
        <w:t xml:space="preserve"> </w:t>
      </w:r>
      <w:r>
        <w:t xml:space="preserve">percent of the US market.</w:t>
      </w:r>
    </w:p>
    <w:bookmarkStart w:id="40" w:name="fig:pop-density"/>
    <w:p>
      <w:pPr>
        <w:pStyle w:val="CaptionedFigure"/>
      </w:pPr>
      <w:r>
        <w:drawing>
          <wp:inline>
            <wp:extent cx="2133600" cy="485434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lot/Israel_population_density_201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85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Population density of Israel (2018, people per km</w:t>
      </w:r>
      <w:r>
        <w:rPr>
          <w:vertAlign w:val="superscript"/>
        </w:rPr>
        <w:t xml:space="preserve">2</w:t>
      </w:r>
      <w:r>
        <w:t xml:space="preserve">).</w:t>
      </w:r>
      <w:r>
        <w:t xml:space="preserve"> </w:t>
      </w:r>
      <w:r>
        <w:t xml:space="preserve">The coastal plain from Haifa to Ashdod holds most of the</w:t>
      </w:r>
      <w:r>
        <w:t xml:space="preserve"> </w:t>
      </w:r>
      <w:r>
        <w:t xml:space="preserve">population; we use the weather at Haifa, Tel Aviv and</w:t>
      </w:r>
      <w:r>
        <w:t xml:space="preserve"> </w:t>
      </w:r>
      <w:r>
        <w:t xml:space="preserve">Jerusalem. Map:</w:t>
      </w:r>
      <w:r>
        <w:t xml:space="preserve"> </w:t>
      </w:r>
      <w:r>
        <w:t xml:space="preserve">Ynhockey (2021)</w:t>
      </w:r>
      <w:r>
        <w:t xml:space="preserve">, CC BY-SA 4.0,</w:t>
      </w:r>
      <w:r>
        <w:t xml:space="preserve"> </w:t>
      </w:r>
      <w:r>
        <w:t xml:space="preserve">based on data from the Israel Central Bureau of Statistics.</w:t>
      </w:r>
    </w:p>
    <w:bookmarkEnd w:id="40"/>
    <w:bookmarkEnd w:id="41"/>
    <w:bookmarkStart w:id="53" w:name="the-dataset"/>
    <w:p>
      <w:pPr>
        <w:pStyle w:val="Heading2"/>
      </w:pPr>
      <w:r>
        <w:t xml:space="preserve">The Dataset</w:t>
      </w:r>
    </w:p>
    <w:p>
      <w:pPr>
        <w:pStyle w:val="FirstParagraph"/>
      </w:pPr>
      <w:r>
        <w:t xml:space="preserve">We combine three sources at a common 5-minute resolution, from 1 April 2023</w:t>
      </w:r>
      <w:r>
        <w:t xml:space="preserve"> </w:t>
      </w:r>
      <w:r>
        <w:t xml:space="preserve">to 31 December 2025; to our knowledge this is the first public dataset of the</w:t>
      </w:r>
      <w:r>
        <w:t xml:space="preserve"> </w:t>
      </w:r>
      <w:r>
        <w:t xml:space="preserve">Israeli market that aligns them.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Demand and the operator’s forecast</w:t>
      </w:r>
      <w:r>
        <w:t xml:space="preserve"> </w:t>
      </w:r>
      <w:r>
        <w:t xml:space="preserve">(Noga, the Israeli</w:t>
      </w:r>
      <w:r>
        <w:t xml:space="preserve"> </w:t>
      </w:r>
      <w:r>
        <w:t xml:space="preserve">system operator </w:t>
      </w:r>
      <w:r>
        <w:t xml:space="preserve">(</w:t>
      </w:r>
      <w:r>
        <w:t xml:space="preserve">“Noga – Israel Independent System Operator: Annual Hourly Consumption Data”</w:t>
      </w:r>
      <w:r>
        <w:t xml:space="preserve"> </w:t>
      </w:r>
      <w:r>
        <w:t xml:space="preserve">2025)</w:t>
      </w:r>
      <w:r>
        <w:t xml:space="preserve">): national demand every 5 minutes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day-ahead forecast Noga publishes and uses in</w:t>
      </w:r>
      <w:r>
        <w:t xml:space="preserve"> </w:t>
      </w:r>
      <w:r>
        <w:t xml:space="preserve">the market—a strong, operational baseline.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Day-ahead prices</w:t>
      </w:r>
      <w:r>
        <w:t xml:space="preserve"> </w:t>
      </w:r>
      <w:r>
        <w:t xml:space="preserve">(Noga </w:t>
      </w:r>
      <w:r>
        <w:t xml:space="preserve">(</w:t>
      </w:r>
      <w:r>
        <w:t xml:space="preserve">“Noga – Israel Independent System Operator: System Marginal Price (SMP)”</w:t>
      </w:r>
      <w:r>
        <w:t xml:space="preserve"> </w:t>
      </w:r>
      <w:r>
        <w:t xml:space="preserve">2026)</w:t>
      </w:r>
      <w:r>
        <w:t xml:space="preserve">): the</w:t>
      </w:r>
      <w:r>
        <w:t xml:space="preserve"> </w:t>
      </w:r>
      <w:r>
        <w:t xml:space="preserve">half-hourly unconstrained system marginal price (SMP), the</w:t>
      </w:r>
      <w:r>
        <w:t xml:space="preserve"> </w:t>
      </w:r>
      <w:r>
        <w:t xml:space="preserve">market-clearing price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; each 5-minute slot gets</w:t>
      </w:r>
      <w:r>
        <w:t xml:space="preserve"> </w:t>
      </w:r>
      <w:r>
        <w:t xml:space="preserve">the price of its settlement period. (The constrained SMP adds</w:t>
      </w:r>
      <w:r>
        <w:t xml:space="preserve"> </w:t>
      </w:r>
      <w:r>
        <w:t xml:space="preserve">redispatch spikes caused by local transmission limits, which a</w:t>
      </w:r>
      <w:r>
        <w:t xml:space="preserve"> </w:t>
      </w:r>
      <w:r>
        <w:t xml:space="preserve">national forecast does not affect.) It averages</w:t>
      </w:r>
      <w:r>
        <w:t xml:space="preserve"> </w:t>
      </w:r>
      <w:r>
        <w:t xml:space="preserve">137.5 </w:t>
      </w:r>
      <w:r>
        <w:rPr>
          <w:smallCaps/>
        </w:rPr>
        <w:t xml:space="preserve">nis</w:t>
      </w:r>
      <w:r>
        <w:t xml:space="preserve">/MWh ($39.9/MWh) and ranges from 41 to 505.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Weather</w:t>
      </w:r>
      <w:r>
        <w:t xml:space="preserve"> </w:t>
      </w:r>
      <w:r>
        <w:t xml:space="preserve">(Israel Meteorological Service </w:t>
      </w:r>
      <w:r>
        <w:t xml:space="preserve">(</w:t>
      </w:r>
      <w:r>
        <w:t xml:space="preserve">“Israel Meteorological Service – Open Data Portal”</w:t>
      </w:r>
      <w:r>
        <w:t xml:space="preserve"> </w:t>
      </w:r>
      <w:r>
        <w:t xml:space="preserve">2025)</w:t>
      </w:r>
      <w:r>
        <w:t xml:space="preserve">):</w:t>
      </w:r>
      <w:r>
        <w:t xml:space="preserve"> </w:t>
      </w:r>
      <w:r>
        <w:t xml:space="preserve">temperature, wet-bulb temperature and relative humidity at Haifa,</w:t>
      </w:r>
      <w:r>
        <w:t xml:space="preserve"> </w:t>
      </w:r>
      <w:r>
        <w:t xml:space="preserve">Jerusalem and Tel Aviv (Figure 3).</w:t>
      </w:r>
    </w:p>
    <w:p>
      <w:pPr>
        <w:pStyle w:val="FirstParagraph"/>
      </w:pPr>
      <w:r>
        <w:t xml:space="preserve">Table 1 summarises the data. The average load is</w:t>
      </w:r>
      <w:r>
        <w:t xml:space="preserve"> </w:t>
      </w:r>
      <w:r>
        <w:t xml:space="preserve">9</w:t>
      </w:r>
      <w:r>
        <w:t xml:space="preserve">,</w:t>
      </w:r>
      <w:r>
        <w:t xml:space="preserve">167 MW (about 80 TWh per year).</w:t>
      </w:r>
    </w:p>
    <w:bookmarkStart w:id="42" w:name="Xabfbd16338c41400abe8b12423b485d6281677c"/>
    <w:p>
      <w:pPr>
        <w:pStyle w:val="Heading4"/>
      </w:pPr>
      <w:r>
        <w:t xml:space="preserve">The operator’s forecast is built for accuracy.</w:t>
      </w:r>
    </w:p>
    <w:p>
      <w:pPr>
        <w:pStyle w:val="FirstParagraph"/>
      </w:pPr>
      <w:r>
        <w:t xml:space="preserve">Noga’s forecast</w:t>
      </w:r>
      <w:r>
        <w:t xml:space="preserve"> </w:t>
      </w:r>
      <w:r>
        <w:t xml:space="preserve">is accurate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0.98</m:t>
        </m:r>
      </m:oMath>
      <w:r>
        <w:t xml:space="preserve">) and, like a model trained on the squared error,</w:t>
      </w:r>
      <w:r>
        <w:t xml:space="preserve"> </w:t>
      </w:r>
      <w:r>
        <w:t xml:space="preserve">unbiased and nearly symmetric (Figure 4): the mean error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25</m:t>
        </m:r>
      </m:oMath>
      <w:r>
        <w:t xml:space="preserve"> MW against a standard deviation of 436 MW, and demand exceeds the</w:t>
      </w:r>
      <w:r>
        <w:t xml:space="preserve"> </w:t>
      </w:r>
      <w:r>
        <w:t xml:space="preserve">forecast in 53% of the slots. For accuracy this is ideal; for cost it is</w:t>
      </w:r>
      <w:r>
        <w:t xml:space="preserve"> </w:t>
      </w:r>
      <w:r>
        <w:t xml:space="preserve">not. With shortfalls several times more expensive than surpluses, the</w:t>
      </w:r>
      <w:r>
        <w:t xml:space="preserve"> </w:t>
      </w:r>
      <w:r>
        <w:t xml:space="preserve">cost-optimal forecast is a high quantile (Section 3.2), and a</w:t>
      </w:r>
      <w:r>
        <w:t xml:space="preserve"> </w:t>
      </w:r>
      <w:r>
        <w:t xml:space="preserve">forecast centred on the mean falls short about half of the time.</w:t>
      </w:r>
    </w:p>
    <w:bookmarkEnd w:id="42"/>
    <w:bookmarkStart w:id="52" w:name="the-uncertainty-is-not-uniform."/>
    <w:p>
      <w:pPr>
        <w:pStyle w:val="Heading4"/>
      </w:pPr>
      <w:r>
        <w:t xml:space="preserve">The uncertainty is not uniform.</w:t>
      </w:r>
    </w:p>
    <w:p>
      <w:pPr>
        <w:pStyle w:val="FirstParagraph"/>
      </w:pPr>
      <w:r>
        <w:t xml:space="preserve">The cost-optimal margin</w:t>
      </w:r>
      <w:r>
        <w:t xml:space="preserve"> </w:t>
      </w:r>
      <m:oMath>
        <m:sSubSup>
          <m:e>
            <m:r>
              <m:t>F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grows with the spread of the demand as</w:t>
      </w:r>
      <w:r>
        <w:t xml:space="preserve"> </w:t>
      </w:r>
      <w:r>
        <w:t xml:space="preserve">well as with the price. This spread varies widely: the operator’s error</w:t>
      </w:r>
      <w:r>
        <w:t xml:space="preserve"> </w:t>
      </w:r>
      <w:r>
        <w:t xml:space="preserve">ranges from 1.8% to 4.8% MAPE across the hours of the week (standard</w:t>
      </w:r>
      <w:r>
        <w:t xml:space="preserve"> </w:t>
      </w:r>
      <w:r>
        <w:t xml:space="preserve">deviation 181 to 658 MW, Figure 5). It is highest on</w:t>
      </w:r>
      <w:r>
        <w:t xml:space="preserve"> </w:t>
      </w:r>
      <w:r>
        <w:t xml:space="preserve">the weekend mornings, Friday and Saturday 8:00–15:00, and lowest at night.</w:t>
      </w:r>
      <w:r>
        <w:t xml:space="preserve"> </w:t>
      </w:r>
      <w:r>
        <w:t xml:space="preserve">A single margin cannot fit both, and a correction per hour of the day (C2,</w:t>
      </w:r>
      <w:r>
        <w:t xml:space="preserve"> </w:t>
      </w:r>
      <w:r>
        <w:t xml:space="preserve">Section 5.3) cannot tell a Friday from a Tuesday. A model</w:t>
      </w:r>
      <w:r>
        <w:t xml:space="preserve"> </w:t>
      </w:r>
      <w:r>
        <w:t xml:space="preserve">that sees the calendar, the weather and yesterday’s price can set its margin</w:t>
      </w:r>
      <w:r>
        <w:t xml:space="preserve"> </w:t>
      </w:r>
      <w:r>
        <w:t xml:space="preserve">from both the uncertainty and the price.</w:t>
      </w:r>
    </w:p>
    <w:bookmarkStart w:id="46" w:name="fig:noga-errors"/>
    <w:p>
      <w:pPr>
        <w:pStyle w:val="CaptionedFigure"/>
      </w:pPr>
      <w:r>
        <w:drawing>
          <wp:inline>
            <wp:extent cx="4533900" cy="233171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lot/demand_vs_forecast_kde_histogra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31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Error of the operator’s day-ahead forecast (actual minus</w:t>
      </w:r>
      <w:r>
        <w:t xml:space="preserve"> </w:t>
      </w:r>
      <w:r>
        <w:t xml:space="preserve">forecast, 5-minute slots, April 2023–December 2025, shown</w:t>
      </w:r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</w:t>
      </w:r>
      <w:r>
        <w:t xml:space="preserve">,</w:t>
      </w:r>
      <w:r>
        <w:t xml:space="preserve">500 MW). Like a forecast trained on the squared</w:t>
      </w:r>
      <w:r>
        <w:t xml:space="preserve"> </w:t>
      </w:r>
      <w:r>
        <w:t xml:space="preserve">error, it is centred near zero and falls short in about half of</w:t>
      </w:r>
      <w:r>
        <w:t xml:space="preserve"> </w:t>
      </w:r>
      <w:r>
        <w:t xml:space="preserve">the slots, far from the high quantile that the asymmetric cost</w:t>
      </w:r>
      <w:r>
        <w:t xml:space="preserve"> </w:t>
      </w:r>
      <w:r>
        <w:t xml:space="preserve">calls for.</w:t>
      </w:r>
    </w:p>
    <w:bookmarkEnd w:id="46"/>
    <w:bookmarkStart w:id="50" w:name="fig:error-heatmap"/>
    <w:p>
      <w:pPr>
        <w:pStyle w:val="CaptionedFigure"/>
      </w:pPr>
      <w:r>
        <w:drawing>
          <wp:inline>
            <wp:extent cx="4800600" cy="192023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lot/error_heatmap_percen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2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Mean absolute percentage error of the operator’s day-ahead</w:t>
      </w:r>
      <w:r>
        <w:t xml:space="preserve"> </w:t>
      </w:r>
      <w:r>
        <w:t xml:space="preserve">forecast by day of week and hour of day. The uncertainty, and</w:t>
      </w:r>
      <w:r>
        <w:t xml:space="preserve"> </w:t>
      </w:r>
      <w:r>
        <w:t xml:space="preserve">with it the cost-optimal margin, varies with the calendar: it is</w:t>
      </w:r>
      <w:r>
        <w:t xml:space="preserve"> </w:t>
      </w:r>
      <w:r>
        <w:t xml:space="preserve">highest on the weekend (Friday–Saturday) mornings.</w:t>
      </w:r>
    </w:p>
    <w:bookmarkEnd w:id="50"/>
    <w:bookmarkStart w:id="51" w:name="tab:dataset-stats"/>
    <w:p>
      <w:pPr>
        <w:pStyle w:val="TableCaption"/>
      </w:pPr>
      <w:r>
        <w:t xml:space="preserve">Table 1: Daily summary statistics (1</w:t>
      </w:r>
      <w:r>
        <w:t xml:space="preserve">,</w:t>
      </w:r>
      <w:r>
        <w:t xml:space="preserve">006 days). *Three days with</w:t>
      </w:r>
      <w:r>
        <w:t xml:space="preserve"> </w:t>
      </w:r>
      <w:r>
        <w:t xml:space="preserve">an anomalous published forecast (17–19 June 2024) are excluded.</w:t>
      </w:r>
    </w:p>
    <w:tbl>
      <w:tblPr>
        <w:tblStyle w:val="Table"/>
        <w:tblW w:type="dxa" w:w="9000"/>
        <w:tblLook w:firstRow="1" w:lastRow="0" w:firstColumn="0" w:lastColumn="0" w:noHBand="0" w:noVBand="0" w:val="0020"/>
        <w:tblCaption w:val="Table 1: Daily summary statistics (1,006 days). *Three days with an anomalous published forecast (17–19 June 2024) are excluded."/>
      </w:tblPr>
      <w:tblGrid>
        <w:gridCol w:w="4120"/>
        <w:gridCol w:w="975"/>
        <w:gridCol w:w="867"/>
        <w:gridCol w:w="975"/>
        <w:gridCol w:w="1084"/>
        <w:gridCol w:w="9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(GWh/day)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forecast error (GWh/day)*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40.1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31.4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Day-ahead price (</w:t>
            </w:r>
            <w:r>
              <w:rPr>
                <w:smallCaps/>
              </w:rPr>
              <w:t xml:space="preserve">nis</w:t>
            </w:r>
            <w:r>
              <w:t xml:space="preserve">/MWh)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Temperature, Tel Aviv (°C)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</w:tr>
    </w:tbl>
    <w:bookmarkEnd w:id="51"/>
    <w:bookmarkEnd w:id="52"/>
    <w:bookmarkEnd w:id="53"/>
    <w:bookmarkStart w:id="56" w:name="sec:compared"/>
    <w:p>
      <w:pPr>
        <w:pStyle w:val="Heading2"/>
      </w:pPr>
      <w:r>
        <w:t xml:space="preserve">Compared Models</w:t>
      </w:r>
    </w:p>
    <w:p>
      <w:pPr>
        <w:pStyle w:val="FirstParagraph"/>
      </w:pPr>
      <w:r>
        <w:t xml:space="preserve">The data are split chronologically: training on April 2023–December 2024</w:t>
      </w:r>
      <w:r>
        <w:t xml:space="preserve"> </w:t>
      </w:r>
      <w:r>
        <w:t xml:space="preserve">(184</w:t>
      </w:r>
      <w:r>
        <w:t xml:space="preserve">,</w:t>
      </w:r>
      <w:r>
        <w:t xml:space="preserve">268 slots) and testing on 2025 (104</w:t>
      </w:r>
      <w:r>
        <w:t xml:space="preserve">,</w:t>
      </w:r>
      <w:r>
        <w:t xml:space="preserve">854 slots). All learned models</w:t>
      </w:r>
      <w:r>
        <w:t xml:space="preserve"> </w:t>
      </w:r>
      <w:r>
        <w:t xml:space="preserve">share the network of Figure 2, so differences come from how</w:t>
      </w:r>
      <w:r>
        <w:t xml:space="preserve"> </w:t>
      </w:r>
      <w:r>
        <w:t xml:space="preserve">demand and prices enter training, not from the architecture: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MSE</w:t>
      </w:r>
      <w:r>
        <w:t xml:space="preserve">: demand only, trained on the squared error—the</w:t>
      </w:r>
      <w:r>
        <w:t xml:space="preserve"> </w:t>
      </w:r>
      <w:r>
        <w:t xml:space="preserve">conventional accuracy-oriented forecaster.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Pinball opt</w:t>
      </w:r>
      <w:r>
        <w:t xml:space="preserve">: demand only, trained on the pinball loss at</w:t>
      </w:r>
      <w:r>
        <w:t xml:space="preserve"> </w:t>
      </w:r>
      <w:r>
        <w:t xml:space="preserve">the single best constant quantile,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c</m:t>
            </m:r>
          </m:e>
          <m:sup>
            <m:r>
              <m:t>u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c</m:t>
            </m:r>
          </m:e>
          <m:sup>
            <m:r>
              <m:t>u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c</m:t>
            </m:r>
          </m:e>
          <m:sup>
            <m:r>
              <m:t>o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0.864</m:t>
        </m:r>
      </m:oMath>
      <w:r>
        <w:t xml:space="preserve"> </w:t>
      </w:r>
      <w:r>
        <w:t xml:space="preserve">from the training prices—the fixed-asymmetry approach of the</w:t>
      </w:r>
      <w:r>
        <w:t xml:space="preserve"> </w:t>
      </w:r>
      <w:r>
        <w:t xml:space="preserve">cost-oriented literature.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Joint MSE</w:t>
      </w:r>
      <w:r>
        <w:t xml:space="preserve">: the full network, with the price head, but with</w:t>
      </w:r>
      <w:r>
        <w:t xml:space="preserve"> </w:t>
      </w:r>
      <w:r>
        <w:t xml:space="preserve">the demand trained on the squared error—a joint load-and-price</w:t>
      </w:r>
      <w:r>
        <w:t xml:space="preserve"> </w:t>
      </w:r>
      <w:r>
        <w:t xml:space="preserve">forecaster trained for accuracy </w:t>
      </w:r>
      <w:r>
        <w:t xml:space="preserve">(Shayeghi et al. 2015; Li et al. 2024)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Unified cost model</w:t>
      </w:r>
      <w:r>
        <w:t xml:space="preserve"> </w:t>
      </w:r>
      <w:r>
        <w:t xml:space="preserve">(proposed): the full network trained on</w:t>
      </w:r>
      <w:r>
        <w:t xml:space="preserve"> </w:t>
      </w:r>
      <w:r>
        <w:t xml:space="preserve">the excess cost and the price loss.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Noga</w:t>
      </w:r>
      <w:r>
        <w:t xml:space="preserve">: the operator’s published forecast.</w:t>
      </w:r>
    </w:p>
    <w:bookmarkStart w:id="54" w:name="post-hoc-corrections."/>
    <w:p>
      <w:pPr>
        <w:pStyle w:val="Heading4"/>
      </w:pPr>
      <w:r>
        <w:t xml:space="preserve">Post-hoc corrections.</w:t>
      </w:r>
    </w:p>
    <w:p>
      <w:pPr>
        <w:pStyle w:val="FirstParagraph"/>
      </w:pPr>
      <w:r>
        <w:t xml:space="preserve">To test whether the benefit can be had</w:t>
      </w:r>
      <w:r>
        <w:t xml:space="preserve"> </w:t>
      </w:r>
      <w:r>
        <w:t xml:space="preserve">more cheaply, we correct the accuracy-trained forecasts to the cost after</w:t>
      </w:r>
      <w:r>
        <w:t xml:space="preserve"> </w:t>
      </w:r>
      <w:r>
        <w:t xml:space="preserve">training, fitting each correction on the model’s own training-set forecasts</w:t>
      </w:r>
      <w:r>
        <w:t xml:space="preserve"> </w:t>
      </w:r>
      <w:r>
        <w:t xml:space="preserve">at the realised prices:</w:t>
      </w:r>
      <w:r>
        <w:t xml:space="preserve"> </w:t>
      </w:r>
      <w:r>
        <w:rPr>
          <w:b/>
          <w:bCs/>
        </w:rPr>
        <w:t xml:space="preserve">C1</w:t>
      </w:r>
      <w:r>
        <w:t xml:space="preserve">, a global affine map</w:t>
      </w:r>
      <w:r>
        <w:t xml:space="preserve"> </w:t>
      </w:r>
      <m:oMath>
        <m:r>
          <m:t>a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C2</w:t>
      </w:r>
      <w:r>
        <w:t xml:space="preserve">, an affine map per hour of the day, started from the exact</w:t>
      </w:r>
      <w:r>
        <w:t xml:space="preserve"> </w:t>
      </w:r>
      <w:r>
        <w:t xml:space="preserve">cost-optimal shift of each hour (a cost-weighted quantile of its errors,</w:t>
      </w:r>
      <w:r>
        <w:t xml:space="preserve"> </w:t>
      </w:r>
      <w:r>
        <w:t xml:space="preserve">Equation (4)); and, for Joint MSE, a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shift</w:t>
      </w:r>
      <w:r>
        <w:t xml:space="preserve">, which uses the model’s own price forecasts: the</w:t>
      </w:r>
      <w:r>
        <w:t xml:space="preserve"> </w:t>
      </w:r>
      <w:r>
        <w:t xml:space="preserve">training slots are split into deciles of the predicted quantile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(Equation (3)), and each decile gets its</w:t>
      </w:r>
      <w:r>
        <w:t xml:space="preserve"> </w:t>
      </w:r>
      <w:r>
        <w:t xml:space="preserve">own cost-optimal shift. This last baseline is the textbook</w:t>
      </w:r>
      <w:r>
        <w:t xml:space="preserve"> </w:t>
      </w:r>
      <w:r>
        <w:rPr>
          <w:i/>
          <w:iCs/>
        </w:rPr>
        <w:t xml:space="preserve">forecast-then-optimise</w:t>
      </w:r>
      <w:r>
        <w:t xml:space="preserve"> </w:t>
      </w:r>
      <w:r>
        <w:t xml:space="preserve">use of a joint load-and-price forecast. The</w:t>
      </w:r>
      <w:r>
        <w:t xml:space="preserve"> </w:t>
      </w:r>
      <w:r>
        <w:t xml:space="preserve">proposed model is never corrected.</w:t>
      </w:r>
    </w:p>
    <w:bookmarkEnd w:id="54"/>
    <w:bookmarkStart w:id="55" w:name="evaluation."/>
    <w:p>
      <w:pPr>
        <w:pStyle w:val="Heading4"/>
      </w:pPr>
      <w:r>
        <w:t xml:space="preserve">Evaluation.</w:t>
      </w:r>
    </w:p>
    <w:p>
      <w:pPr>
        <w:pStyle w:val="FirstParagraph"/>
      </w:pPr>
      <w:r>
        <w:t xml:space="preserve">The metric is the excess cost</w:t>
      </w:r>
      <w:r>
        <w:t xml:space="preserve"> </w:t>
      </w:r>
      <w:r>
        <w:t xml:space="preserve">(Equation (2)) on the test year, split into its under- and</w:t>
      </w:r>
      <w:r>
        <w:t xml:space="preserve"> </w:t>
      </w:r>
      <w:r>
        <w:t xml:space="preserve">over-prediction parts, in million US dollars per year at</w:t>
      </w:r>
      <w:r>
        <w:t xml:space="preserve"> </w:t>
      </w:r>
      <w:r>
        <w:t xml:space="preserve">3.45 </w:t>
      </w:r>
      <w:r>
        <w:rPr>
          <w:smallCaps/>
        </w:rPr>
        <w:t xml:space="preserve">nis</w:t>
      </w:r>
      <w:r>
        <w:t xml:space="preserve">/$ (the 2025 average). We also report MAE, RMSE and</w:t>
      </w:r>
      <w:r>
        <w:t xml:space="preserve"> </w:t>
      </w:r>
      <w:r>
        <w:t xml:space="preserve">coverage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Each learned model is trained with three seeds</w:t>
      </w:r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deviation), with one draw of the imbalance prices.</w:t>
      </w:r>
      <w:r>
        <w:t xml:space="preserve"> </w:t>
      </w:r>
      <w:r>
        <w:t xml:space="preserve">Differences in daily cost (averaged over seeds) are tested with the</w:t>
      </w:r>
      <w:r>
        <w:t xml:space="preserve"> </w:t>
      </w:r>
      <w:r>
        <w:t xml:space="preserve">Diebold–Mariano test </w:t>
      </w:r>
      <w:r>
        <w:t xml:space="preserve">(Diebold and Mariano 1995)</w:t>
      </w:r>
      <w:r>
        <w:t xml:space="preserve"> </w:t>
      </w:r>
      <w:r>
        <w:t xml:space="preserve">with a Newey–West</w:t>
      </w:r>
      <w:r>
        <w:t xml:space="preserve"> </w:t>
      </w:r>
      <w:r>
        <w:t xml:space="preserve">variance (lag 7 days).</w:t>
      </w:r>
    </w:p>
    <w:bookmarkEnd w:id="55"/>
    <w:bookmarkEnd w:id="56"/>
    <w:bookmarkEnd w:id="57"/>
    <w:bookmarkStart w:id="71" w:name="sec:evaluation"/>
    <w:p>
      <w:pPr>
        <w:pStyle w:val="Heading1"/>
      </w:pPr>
      <w:r>
        <w:t xml:space="preserve">Results</w:t>
      </w:r>
    </w:p>
    <w:bookmarkStart w:id="63" w:name="sec:main-results"/>
    <w:p>
      <w:pPr>
        <w:pStyle w:val="Heading2"/>
      </w:pPr>
      <w:r>
        <w:t xml:space="preserve">Main Results</w:t>
      </w:r>
    </w:p>
    <w:p>
      <w:pPr>
        <w:pStyle w:val="FirstParagraph"/>
      </w:pPr>
      <w:r>
        <w:t xml:space="preserve">Table 2 reports the test-year cost of every model. The unified</w:t>
      </w:r>
      <w:r>
        <w:t xml:space="preserve"> </w:t>
      </w:r>
      <w:r>
        <w:t xml:space="preserve">model is the cheapest, at $49.5</w:t>
      </w:r>
      <m:oMath>
        <m:r>
          <m:rPr>
            <m:sty m:val="p"/>
          </m:rPr>
          <m:t>±</m:t>
        </m:r>
      </m:oMath>
      <w:r>
        <w:t xml:space="preserve">1.4 million per year, and its advantage</w:t>
      </w:r>
      <w:r>
        <w:t xml:space="preserve"> </w:t>
      </w:r>
      <w:r>
        <w:t xml:space="preserve">over every alternative is statistically significant. Each of its three seeds</w:t>
      </w:r>
      <w:r>
        <w:t xml:space="preserve"> </w:t>
      </w:r>
      <w:r>
        <w:t xml:space="preserve">($48.0, 50.7 and 49.9 million) is cheaper than every run of every baseline;</w:t>
      </w:r>
      <w:r>
        <w:t xml:space="preserve"> </w:t>
      </w:r>
      <w:r>
        <w:t xml:space="preserve">the closest is a Joint MSE + C2 run at $52.2 million.</w:t>
      </w:r>
    </w:p>
    <w:bookmarkStart w:id="58" w:name="tab:main"/>
    <w:p>
      <w:pPr>
        <w:pStyle w:val="TableCaption"/>
      </w:pPr>
      <w:r>
        <w:t xml:space="preserve">Table 2: Excess cost on the test year 2025 (million US$ per year;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 over three seeds), split into</w:t>
      </w:r>
      <w:r>
        <w:t xml:space="preserve"> </w:t>
      </w:r>
      <w:r>
        <w:t xml:space="preserve">under- and over-prediction. MAE and RMSE in MW; coverage</w:t>
      </w:r>
      <w:r>
        <w:t xml:space="preserve">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: cost of the unified model minus that</w:t>
      </w:r>
      <w:r>
        <w:t xml:space="preserve"> </w:t>
      </w:r>
      <w:r>
        <w:t xml:space="preserve">of the row, with the Diebold–Mariano</w:t>
      </w:r>
      <w:r>
        <w:t xml:space="preserve"> </w:t>
      </w:r>
      <m:oMath>
        <m:r>
          <m:t>p</m:t>
        </m:r>
      </m:oMath>
      <w:r>
        <w:t xml:space="preserve">-value.</w:t>
      </w:r>
    </w:p>
    <w:tbl>
      <w:tblPr>
        <w:tblStyle w:val="Table"/>
        <w:tblW w:type="dxa" w:w="9000"/>
        <w:tblLook w:firstRow="1" w:lastRow="0" w:firstColumn="0" w:lastColumn="0" w:noHBand="0" w:noVBand="0" w:val="0020"/>
        <w:tblCaption w:val="Table 2: Excess cost on the test year 2025 (million US$ per year; mean \pm standard deviation over three seeds), split into under- and over-prediction. MAE and RMSE in MW; coverage =P(y_t\le p_t). \Delta: cost of the unified model minus that of the row, with the Diebold–Mariano p-value."/>
      </w:tblPr>
      <w:tblGrid>
        <w:gridCol w:w="2112"/>
        <w:gridCol w:w="1193"/>
        <w:gridCol w:w="826"/>
        <w:gridCol w:w="734"/>
        <w:gridCol w:w="642"/>
        <w:gridCol w:w="734"/>
        <w:gridCol w:w="734"/>
        <w:gridCol w:w="826"/>
        <w:gridCol w:w="11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Cov.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p</m:t>
              </m:r>
            </m:oMath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Operator’s 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27.0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12.9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Demand only, trained for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100.9±9.3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59.0±2.1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Demand only, fixed cost asymmetry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Pinball opt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54.8±2.1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5.2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Joint demand and price, trained for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96.0±15.3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τ</m:t>
                  </m:r>
                </m:e>
              </m:acc>
            </m:oMath>
            <w:r>
              <w:t xml:space="preserve"> </w:t>
            </w:r>
            <w:r>
              <w:t xml:space="preserve">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Joint demand and price, trained on the cost (proposed)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cost 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49.5±1.4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accuracy-is-not-value."/>
    <w:p>
      <w:pPr>
        <w:pStyle w:val="Heading4"/>
      </w:pPr>
      <w:r>
        <w:t xml:space="preserve">Accuracy is not value.</w:t>
      </w:r>
    </w:p>
    <w:p>
      <w:pPr>
        <w:pStyle w:val="FirstParagraph"/>
      </w:pPr>
      <w:r>
        <w:t xml:space="preserve">The accuracy-trained models are the most</w:t>
      </w:r>
      <w:r>
        <w:t xml:space="preserve"> </w:t>
      </w:r>
      <w:r>
        <w:t xml:space="preserve">accurate—Joint MSE has the lowest MAE (259 MW), and even plain MSE beats the</w:t>
      </w:r>
      <w:r>
        <w:t xml:space="preserve"> </w:t>
      </w:r>
      <w:r>
        <w:t xml:space="preserve">operator (265 vs. 294 MW)—but, used as they are, the most expensive</w:t>
      </w:r>
      <w:r>
        <w:t xml:space="preserve"> </w:t>
      </w:r>
      <w:r>
        <w:t xml:space="preserve">($96–101 million), because they fall short 56–58% of the time while a</w:t>
      </w:r>
      <w:r>
        <w:t xml:space="preserve"> </w:t>
      </w:r>
      <w:r>
        <w:t xml:space="preserve">shortfall costs about six times more than a surplus. The same holds for the</w:t>
      </w:r>
      <w:r>
        <w:t xml:space="preserve"> </w:t>
      </w:r>
      <w:r>
        <w:t xml:space="preserve">operator, whose forecast is centred like an accuracy-trained one</w:t>
      </w:r>
      <w:r>
        <w:t xml:space="preserve"> </w:t>
      </w:r>
      <w:r>
        <w:t xml:space="preserve">(Figure 4): 80% of its cost comes from shortfalls.</w:t>
      </w:r>
    </w:p>
    <w:bookmarkEnd w:id="59"/>
    <w:bookmarkStart w:id="60" w:name="post-hoc-correction-is-not-enough."/>
    <w:p>
      <w:pPr>
        <w:pStyle w:val="Heading4"/>
      </w:pPr>
      <w:r>
        <w:t xml:space="preserve">Post-hoc correction is not enough.</w:t>
      </w:r>
    </w:p>
    <w:p>
      <w:pPr>
        <w:pStyle w:val="FirstParagraph"/>
      </w:pPr>
      <w:r>
        <w:t xml:space="preserve">Correcting the forecasts</w:t>
      </w:r>
      <w:r>
        <w:t xml:space="preserve"> </w:t>
      </w:r>
      <w:r>
        <w:t xml:space="preserve">after training removes most of the shortfall cost, but the unified model is</w:t>
      </w:r>
      <w:r>
        <w:t xml:space="preserve"> </w:t>
      </w:r>
      <w:r>
        <w:t xml:space="preserve">still 12% cheaper than MSE + C2 and 19% cheaper than Noga + C2. A</w:t>
      </w:r>
      <w:r>
        <w:t xml:space="preserve"> </w:t>
      </w:r>
      <w:r>
        <w:t xml:space="preserve">correction that depends only on the hour cannot tell an expensive afternoon</w:t>
      </w:r>
      <w:r>
        <w:t xml:space="preserve"> </w:t>
      </w:r>
      <w:r>
        <w:t xml:space="preserve">from a cheap one.</w:t>
      </w:r>
    </w:p>
    <w:bookmarkEnd w:id="60"/>
    <w:bookmarkStart w:id="61" w:name="a-fixed-asymmetry-is-not-enough."/>
    <w:p>
      <w:pPr>
        <w:pStyle w:val="Heading4"/>
      </w:pPr>
      <w:r>
        <w:t xml:space="preserve">A fixed asymmetry is not enough.</w:t>
      </w:r>
    </w:p>
    <w:p>
      <w:pPr>
        <w:pStyle w:val="FirstParagraph"/>
      </w:pPr>
      <w:r>
        <w:t xml:space="preserve">Pinball opt knows that</w:t>
      </w:r>
      <w:r>
        <w:t xml:space="preserve"> </w:t>
      </w:r>
      <w:r>
        <w:t xml:space="preserve">shortfalls are expensive and has the lowest shortfall cost of the learned baselines,</w:t>
      </w:r>
      <w:r>
        <w:t xml:space="preserve"> </w:t>
      </w:r>
      <w:r>
        <w:t xml:space="preserve">but it buys the same 86% cover in every slot, pays for it with the highest</w:t>
      </w:r>
      <w:r>
        <w:t xml:space="preserve"> </w:t>
      </w:r>
      <w:r>
        <w:t xml:space="preserve">surplus cost, and stays 10% more expensive than the unified model.</w:t>
      </w:r>
    </w:p>
    <w:bookmarkEnd w:id="61"/>
    <w:bookmarkStart w:id="62" w:name="X0c2c8c3cde5ae95a388c9c5256a9b5eebbc9548"/>
    <w:p>
      <w:pPr>
        <w:pStyle w:val="Heading4"/>
      </w:pPr>
      <w:r>
        <w:t xml:space="preserve">Joint forecasting for accuracy is not enough.</w:t>
      </w:r>
    </w:p>
    <w:p>
      <w:pPr>
        <w:pStyle w:val="FirstParagraph"/>
      </w:pPr>
      <w:r>
        <w:t xml:space="preserve">The strongest</w:t>
      </w:r>
      <w:r>
        <w:t xml:space="preserve"> </w:t>
      </w:r>
      <w:r>
        <w:t xml:space="preserve">alternative is the joint load-and-price network trained for accuracy and then</w:t>
      </w:r>
      <w:r>
        <w:t xml:space="preserve"> </w:t>
      </w:r>
      <w:r>
        <w:t xml:space="preserve">corrected, either by its own price forecasts (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t xml:space="preserve"> </w:t>
      </w:r>
      <w:r>
        <w:t xml:space="preserve">shift) or per hour</w:t>
      </w:r>
      <w:r>
        <w:t xml:space="preserve"> </w:t>
      </w:r>
      <w:r>
        <w:t xml:space="preserve">(C2).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network, inputs and price head, the unified model</w:t>
      </w:r>
      <w:r>
        <w:t xml:space="preserve"> </w:t>
      </w:r>
      <w:r>
        <w:t xml:space="preserve">is 6% cheaper (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). The only difference is that its demand head is</w:t>
      </w:r>
      <w:r>
        <w:t xml:space="preserve"> </w:t>
      </w:r>
      <w:r>
        <w:t xml:space="preserve">trained on the price-weighted cost: knowing the price is not enough; the</w:t>
      </w:r>
      <w:r>
        <w:t xml:space="preserve"> </w:t>
      </w:r>
      <w:r>
        <w:t xml:space="preserve">model must also learn how much cover each price buys, given how uncertain the</w:t>
      </w:r>
      <w:r>
        <w:t xml:space="preserve"> </w:t>
      </w:r>
      <w:r>
        <w:t xml:space="preserve">demand is in that slot.</w:t>
      </w:r>
    </w:p>
    <w:bookmarkEnd w:id="62"/>
    <w:bookmarkEnd w:id="63"/>
    <w:bookmarkStart w:id="67" w:name="sec:mechanism"/>
    <w:p>
      <w:pPr>
        <w:pStyle w:val="Heading2"/>
      </w:pPr>
      <w:r>
        <w:t xml:space="preserve">Why It Works: the Margin Follows the Price</w:t>
      </w:r>
    </w:p>
    <w:p>
      <w:pPr>
        <w:pStyle w:val="FirstParagraph"/>
      </w:pPr>
      <w:r>
        <w:t xml:space="preserve">The cost-optimal margin should grow with the price</w:t>
      </w:r>
      <w:r>
        <w:t xml:space="preserve"> </w:t>
      </w:r>
      <w:r>
        <w:t xml:space="preserve">(Section 3.2). Table 3 shows that the</w:t>
      </w:r>
      <w:r>
        <w:t xml:space="preserve"> </w:t>
      </w:r>
      <w:r>
        <w:t xml:space="preserve">unified model’s margin does, from 212 MW in the cheapest third of the slots to</w:t>
      </w:r>
      <w:r>
        <w:t xml:space="preserve"> </w:t>
      </w:r>
      <w:r>
        <w:t xml:space="preserve">281 MW in the most expensive third. The fixed-asymmetry model does the</w:t>
      </w:r>
      <w:r>
        <w:t xml:space="preserve"> </w:t>
      </w:r>
      <w:r>
        <w:t xml:space="preserve">opposite, and the corrected accuracy models barely move. The unified model is</w:t>
      </w:r>
      <w:r>
        <w:t xml:space="preserve"> </w:t>
      </w:r>
      <w:r>
        <w:t xml:space="preserve">the cheapest in every third, and it saves the most where it matters most: in</w:t>
      </w:r>
      <w:r>
        <w:t xml:space="preserve"> </w:t>
      </w:r>
      <w:r>
        <w:t xml:space="preserve">the most expensive third, $7–15 million per year over the learned baselines</w:t>
      </w:r>
      <w:r>
        <w:t xml:space="preserve"> </w:t>
      </w:r>
      <w:r>
        <w:t xml:space="preserve">and $24 million over Noga + C2.</w:t>
      </w:r>
    </w:p>
    <w:bookmarkStart w:id="64" w:name="tab:price-thirds"/>
    <w:p>
      <w:pPr>
        <w:pStyle w:val="TableCaption"/>
      </w:pPr>
      <w:r>
        <w:t xml:space="preserve">Table 3: Mean safety margin (forecast minus demand, MW) and cost</w:t>
      </w:r>
      <w:r>
        <w:t xml:space="preserve"> </w:t>
      </w:r>
      <w:r>
        <w:t xml:space="preserve">(million US$ per year) by thirds of the test slots sorted by</w:t>
      </w:r>
      <w:r>
        <w:t xml:space="preserve"> </w:t>
      </w:r>
      <w:r>
        <w:t xml:space="preserve">day-ahead price (mean over seeds).</w:t>
      </w:r>
    </w:p>
    <w:tbl>
      <w:tblPr>
        <w:tblStyle w:val="Table"/>
        <w:tblW w:type="dxa" w:w="9000"/>
        <w:tblLook w:firstRow="0" w:lastRow="0" w:firstColumn="0" w:lastColumn="0" w:noHBand="0" w:noVBand="0" w:val="0000"/>
        <w:tblCaption w:val="Table 3: Mean safety margin (forecast minus demand, MW) and cost (million US$ per year) by thirds of the test slots sorted by day-ahead price (mean over seeds)."/>
      </w:tblPr>
      <w:tblGrid>
        <w:gridCol w:w="2828"/>
        <w:gridCol w:w="1028"/>
        <w:gridCol w:w="900"/>
        <w:gridCol w:w="1028"/>
        <w:gridCol w:w="1028"/>
        <w:gridCol w:w="1028"/>
        <w:gridCol w:w="1157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Margin (MW)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 (M$/year)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141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Pinball opt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cost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82.4</w:t>
            </w:r>
          </w:p>
        </w:tc>
      </w:tr>
    </w:tbl>
    <w:bookmarkEnd w:id="64"/>
    <w:bookmarkStart w:id="66" w:name="price-forecasts."/>
    <w:p>
      <w:pPr>
        <w:pStyle w:val="Heading4"/>
      </w:pPr>
      <w:r>
        <w:t xml:space="preserve">Price forecasts.</w:t>
      </w:r>
    </w:p>
    <w:p>
      <w:pPr>
        <w:pStyle w:val="FirstParagraph"/>
      </w:pPr>
      <w:r>
        <w:t xml:space="preserve">Table 4 compares the unified</w:t>
      </w:r>
      <w:r>
        <w:t xml:space="preserve"> </w:t>
      </w:r>
      <w:r>
        <w:t xml:space="preserve">model’s price forecasts with those of Joint MSE and with a naive forecast,</w:t>
      </w:r>
      <w:r>
        <w:t xml:space="preserve"> </w:t>
      </w:r>
      <w:r>
        <w:t xml:space="preserve">yesterday’s day-ahead price (scaled by the typical training-set ratios for the</w:t>
      </w:r>
      <w:r>
        <w:t xml:space="preserve"> </w:t>
      </w:r>
      <w:r>
        <w:t xml:space="preserve">surplus and shortfall prices). On the relative squared error it is trained</w:t>
      </w:r>
      <w:r>
        <w:t xml:space="preserve"> </w:t>
      </w:r>
      <w:r>
        <w:t xml:space="preserve">on, the unified model beats both on all three prices, and its forecast of the</w:t>
      </w:r>
      <w:r>
        <w:t xml:space="preserve"> </w:t>
      </w:r>
      <w:r>
        <w:t xml:space="preserve">cost-optimal quantile correlates with the realised one at 0.71, where the</w:t>
      </w:r>
      <w:r>
        <w:t xml:space="preserve"> </w:t>
      </w:r>
      <w:r>
        <w:t xml:space="preserve">naive forecast carries no information (0.00). On MAPE, yesterday’s price</w:t>
      </w:r>
      <w:r>
        <w:t xml:space="preserve"> </w:t>
      </w:r>
      <w:r>
        <w:t xml:space="preserve">remains slightly better for the day-ahead price itself (13.5% vs. 14.5%);</w:t>
      </w:r>
      <w:r>
        <w:t xml:space="preserve"> </w:t>
      </w:r>
      <w:r>
        <w:t xml:space="preserve">the price head is a single linear layer meant to inform the demand decision,</w:t>
      </w:r>
      <w:r>
        <w:t xml:space="preserve"> </w:t>
      </w:r>
      <w:r>
        <w:t xml:space="preserve">not to compete with dedicated price models. A price head that starts from the</w:t>
      </w:r>
      <w:r>
        <w:t xml:space="preserve"> </w:t>
      </w:r>
      <w:r>
        <w:t xml:space="preserve">naive forecast and learns only a correction lowered the MAPE by about one</w:t>
      </w:r>
      <w:r>
        <w:t xml:space="preserve"> </w:t>
      </w:r>
      <w:r>
        <w:t xml:space="preserve">point but weakened the quantile forecast (correlation 0.62) and left the cost</w:t>
      </w:r>
      <w:r>
        <w:t xml:space="preserve"> </w:t>
      </w:r>
      <w:r>
        <w:t xml:space="preserve">unchanged ($50.0 vs. $49.5 million,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0.60</m:t>
        </m:r>
      </m:oMath>
      <w:r>
        <w:t xml:space="preserve">), so we keep the simpler head.</w:t>
      </w:r>
    </w:p>
    <w:bookmarkStart w:id="65" w:name="tab:price"/>
    <w:p>
      <w:pPr>
        <w:pStyle w:val="TableCaption"/>
      </w:pPr>
      <w:r>
        <w:t xml:space="preserve">Table 4: Price forecasts on the test year: MAPE, mean relative squared</w:t>
      </w:r>
      <w:r>
        <w:t xml:space="preserve"> </w:t>
      </w:r>
      <w:r>
        <w:t xml:space="preserve">error (RSE, the price head’s training loss) and the correlation</w:t>
      </w:r>
      <w:r>
        <w:t xml:space="preserve"> </w:t>
      </w:r>
      <w:r>
        <w:t xml:space="preserve">between the predicted and realised cost-optimal quantile</w:t>
      </w:r>
      <w:r>
        <w:t xml:space="preserve"> </w:t>
      </w:r>
      <w:r>
        <w:t xml:space="preserve">(mean over three seeds).</w:t>
      </w:r>
    </w:p>
    <w:tbl>
      <w:tblPr>
        <w:tblStyle w:val="Table"/>
        <w:tblW w:type="dxa" w:w="9000"/>
        <w:tblLook w:firstRow="0" w:lastRow="0" w:firstColumn="0" w:lastColumn="0" w:noHBand="0" w:noVBand="0" w:val="0000"/>
        <w:tblCaption w:val="Table 4: Price forecasts on the test year: MAPE, mean relative squared error (RSE, the price head’s training loss) and the correlation between the predicted and realised cost-optimal quantile (mean over three seeds)."/>
      </w:tblPr>
      <w:tblGrid>
        <w:gridCol w:w="2806"/>
        <w:gridCol w:w="774"/>
        <w:gridCol w:w="774"/>
        <w:gridCol w:w="774"/>
        <w:gridCol w:w="870"/>
        <w:gridCol w:w="870"/>
        <w:gridCol w:w="870"/>
        <w:gridCol w:w="1258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MAPE</w:t>
            </w:r>
            <w:r>
              <w:t xml:space="preserve"> </w:t>
            </w:r>
            <w:r>
              <w:t xml:space="preserve">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o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u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o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u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corr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τ</m:t>
                  </m:r>
                </m:e>
              </m:acc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(yesterday’s price)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cost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</w:t>
            </w:r>
          </w:p>
        </w:tc>
      </w:tr>
    </w:tbl>
    <w:bookmarkEnd w:id="65"/>
    <w:bookmarkEnd w:id="66"/>
    <w:bookmarkEnd w:id="67"/>
    <w:bookmarkStart w:id="70" w:name="sec:savings"/>
    <w:p>
      <w:pPr>
        <w:pStyle w:val="Heading2"/>
      </w:pPr>
      <w:r>
        <w:t xml:space="preserve">Savings: Israel and a US-Scale Projection</w:t>
      </w:r>
    </w:p>
    <w:p>
      <w:pPr>
        <w:pStyle w:val="FirstParagraph"/>
      </w:pPr>
      <w:r>
        <w:t xml:space="preserve">Table 5 translates the cost differences into annual savings.</w:t>
      </w:r>
      <w:r>
        <w:t xml:space="preserve"> </w:t>
      </w:r>
      <w:r>
        <w:t xml:space="preserve">Replacing the operator’s published forecast with the unified model would save</w:t>
      </w:r>
      <w:r>
        <w:t xml:space="preserve"> </w:t>
      </w:r>
      <w:r>
        <w:t xml:space="preserve">about $27 million per year in Israel: $41 million of avoided shortfall cost,</w:t>
      </w:r>
      <w:r>
        <w:t xml:space="preserve"> </w:t>
      </w:r>
      <w:r>
        <w:t xml:space="preserve">in exchange for $14 million of extra surplus. This is 35% of the excess</w:t>
      </w:r>
      <w:r>
        <w:t xml:space="preserve"> </w:t>
      </w:r>
      <w:r>
        <w:t xml:space="preserve">cost, 0.86% of the $3.1 billion day-ahead energy bill, $0.33 per MWh</w:t>
      </w:r>
      <w:r>
        <w:t xml:space="preserve"> </w:t>
      </w:r>
      <w:r>
        <w:t xml:space="preserve">consumed and $2.65 per resident. Even against the operator’s forecast after</w:t>
      </w:r>
      <w:r>
        <w:t xml:space="preserve"> </w:t>
      </w:r>
      <w:r>
        <w:t xml:space="preserve">the best correction (Noga + C2) the saving is $11.6 million per year, now</w:t>
      </w:r>
      <w:r>
        <w:t xml:space="preserve"> </w:t>
      </w:r>
      <w:r>
        <w:t xml:space="preserve">mainly from buying less unnecessary surplus.</w:t>
      </w:r>
    </w:p>
    <w:bookmarkStart w:id="68" w:name="tab:savings"/>
    <w:p>
      <w:pPr>
        <w:pStyle w:val="TableCaption"/>
      </w:pPr>
      <w:r>
        <w:t xml:space="preserve">Table 5: Annual savings of the unified model on the test year (positive:</w:t>
      </w:r>
      <w:r>
        <w:t xml:space="preserve"> </w:t>
      </w:r>
      <w:r>
        <w:t xml:space="preserve">the unified model is cheaper), split into under- and</w:t>
      </w:r>
      <w:r>
        <w:t xml:space="preserve"> </w:t>
      </w:r>
      <w:r>
        <w:t xml:space="preserve">over-prediction, and normalised per MWh consumed (81 TWh) and per</w:t>
      </w:r>
      <w:r>
        <w:t xml:space="preserve"> </w:t>
      </w:r>
      <w:r>
        <w:t xml:space="preserve">resident (10.2 million). The last column projects the saving per</w:t>
      </w:r>
      <w:r>
        <w:t xml:space="preserve"> </w:t>
      </w:r>
      <w:r>
        <w:t xml:space="preserve">MWh to US consumption (about 4</w:t>
      </w:r>
      <w:r>
        <w:t xml:space="preserve">,</w:t>
      </w:r>
      <w:r>
        <w:t xml:space="preserve">100 TWh per year).</w:t>
      </w:r>
    </w:p>
    <w:tbl>
      <w:tblPr>
        <w:tblStyle w:val="Table"/>
        <w:tblW w:type="dxa" w:w="9000"/>
        <w:tblLook w:firstRow="1" w:lastRow="0" w:firstColumn="0" w:lastColumn="0" w:noHBand="0" w:noVBand="0" w:val="0020"/>
        <w:tblCaption w:val="Table 5: Annual savings of the unified model on the test year (positive: the unified model is cheaper), split into under- and over-prediction, and normalised per MWh consumed (81 TWh) and per resident (10.2 million). The last column projects the saving per MWh to US consumption (about 4,100 TWh per year)."/>
      </w:tblPr>
      <w:tblGrid>
        <w:gridCol w:w="1952"/>
        <w:gridCol w:w="933"/>
        <w:gridCol w:w="764"/>
        <w:gridCol w:w="764"/>
        <w:gridCol w:w="1358"/>
        <w:gridCol w:w="764"/>
        <w:gridCol w:w="1188"/>
        <w:gridCol w:w="12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Compared with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M$/year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 of DA bill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$/MWh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$/resident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US, B$/year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(as published)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13.9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Pinball opt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</w:tbl>
    <w:bookmarkEnd w:id="68"/>
    <w:bookmarkStart w:id="69" w:name="a-us-scale-projection."/>
    <w:p>
      <w:pPr>
        <w:pStyle w:val="Heading4"/>
      </w:pPr>
      <w:r>
        <w:t xml:space="preserve">A US-scale projection.</w:t>
      </w:r>
    </w:p>
    <w:p>
      <w:pPr>
        <w:pStyle w:val="FirstParagraph"/>
      </w:pPr>
      <w:r>
        <w:t xml:space="preserve">Israel is a small market. The excess</w:t>
      </w:r>
      <w:r>
        <w:t xml:space="preserve"> </w:t>
      </w:r>
      <w:r>
        <w:t xml:space="preserve">cost scales with the energy traded and with the price level, and the average</w:t>
      </w:r>
      <w:r>
        <w:t xml:space="preserve"> </w:t>
      </w:r>
      <w:r>
        <w:t xml:space="preserve">US wholesale price, about $40/MWh in 2025 </w:t>
      </w:r>
      <w:r>
        <w:t xml:space="preserve">(U.S. Energy Information Administration 2025b)</w:t>
      </w:r>
      <w:r>
        <w:t xml:space="preserve">, is</w:t>
      </w:r>
      <w:r>
        <w:t xml:space="preserve"> </w:t>
      </w:r>
      <w:r>
        <w:t xml:space="preserve">close to the Israeli $39.9/MWh. Scaling the saving per MWh to US consumption</w:t>
      </w:r>
      <w:r>
        <w:t xml:space="preserve"> </w:t>
      </w:r>
      <w:r>
        <w:t xml:space="preserve">of about 4</w:t>
      </w:r>
      <w:r>
        <w:t xml:space="preserve">,</w:t>
      </w:r>
      <w:r>
        <w:t xml:space="preserve">100 TWh per year </w:t>
      </w:r>
      <w:r>
        <w:t xml:space="preserve">(U.S. Energy Information Administration 2025a)</w:t>
      </w:r>
      <w:r>
        <w:t xml:space="preserve"> </w:t>
      </w:r>
      <w:r>
        <w:t xml:space="preserve">gives roughly $1.4 billion</w:t>
      </w:r>
      <w:r>
        <w:t xml:space="preserve"> </w:t>
      </w:r>
      <w:r>
        <w:t xml:space="preserve">per year against an uncorrected operator-style forecast and $0.6 billion</w:t>
      </w:r>
      <w:r>
        <w:t xml:space="preserve"> </w:t>
      </w:r>
      <w:r>
        <w:t xml:space="preserve">against a corrected one; scaling per resident instead (about 342 million;</w:t>
      </w:r>
      <w:r>
        <w:t xml:space="preserve"> </w:t>
      </w:r>
      <w:r>
        <w:t xml:space="preserve">(U.S. Census Bureau 2026)</w:t>
      </w:r>
      <w:r>
        <w:t xml:space="preserve">)</w:t>
      </w:r>
      <w:r>
        <w:t xml:space="preserve"> </w:t>
      </w:r>
      <w:r>
        <w:t xml:space="preserve">gives $0.9 and $0.4 billion. The US market is fragmented into regional</w:t>
      </w:r>
      <w:r>
        <w:t xml:space="preserve"> </w:t>
      </w:r>
      <w:r>
        <w:t xml:space="preserve">markets with their own designs, so these numbers only illustrate the order</w:t>
      </w:r>
      <w:r>
        <w:t xml:space="preserve"> </w:t>
      </w:r>
      <w:r>
        <w:t xml:space="preserve">of magnitude:</w:t>
      </w:r>
      <w:r>
        <w:t xml:space="preserve"> </w:t>
      </w:r>
      <w:r>
        <w:rPr>
          <w:i/>
          <w:iCs/>
        </w:rPr>
        <w:t xml:space="preserve">hundreds of millions to over a billion dollars per year</w:t>
      </w:r>
      <w:r>
        <w:t xml:space="preserve">.</w:t>
      </w:r>
    </w:p>
    <w:p>
      <w:pPr>
        <w:pStyle w:val="BodyText"/>
      </w:pPr>
      <w:r>
        <w:t xml:space="preserve">All savings depend on the level of the synthetic imbalance prices</w:t>
      </w:r>
      <w:r>
        <w:t xml:space="preserve"> </w:t>
      </w:r>
      <w:r>
        <w:t xml:space="preserve">(Section 3.3) and should be read as estimates under</w:t>
      </w:r>
      <w:r>
        <w:t xml:space="preserve"> </w:t>
      </w:r>
      <w:r>
        <w:t xml:space="preserve">the stated cost model rather than measurements.</w:t>
      </w:r>
    </w:p>
    <w:bookmarkEnd w:id="69"/>
    <w:bookmarkEnd w:id="70"/>
    <w:bookmarkEnd w:id="71"/>
    <w:bookmarkStart w:id="74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When forecast errors are settled at market prices, the cost-optimal demand</w:t>
      </w:r>
      <w:r>
        <w:t xml:space="preserve"> </w:t>
      </w:r>
      <w:r>
        <w:t xml:space="preserve">forecast is a quantile that moves with the price. We proposed the first</w:t>
      </w:r>
      <w:r>
        <w:t xml:space="preserve"> </w:t>
      </w:r>
      <w:r>
        <w:t xml:space="preserve">unified model that forecasts demand and prices from one shared representation</w:t>
      </w:r>
      <w:r>
        <w:t xml:space="preserve"> </w:t>
      </w:r>
      <w:r>
        <w:t xml:space="preserve">and trains the demand forecast on the price-weighted procurement cost. On a</w:t>
      </w:r>
      <w:r>
        <w:t xml:space="preserve"> </w:t>
      </w:r>
      <w:r>
        <w:t xml:space="preserve">new open dataset of the Israeli market it beats demand-only models trained for</w:t>
      </w:r>
      <w:r>
        <w:t xml:space="preserve"> </w:t>
      </w:r>
      <w:r>
        <w:t xml:space="preserve">accuracy or with a fixed asymmetry, a joint demand-and-price network trained</w:t>
      </w:r>
      <w:r>
        <w:t xml:space="preserve"> </w:t>
      </w:r>
      <w:r>
        <w:t xml:space="preserve">for accuracy, post-hoc corrections of all of them, and the operator’s own</w:t>
      </w:r>
      <w:r>
        <w:t xml:space="preserve"> </w:t>
      </w:r>
      <w:r>
        <w:t xml:space="preserve">forecast—because its safety margin rises with the price. It would save</w:t>
      </w:r>
      <w:r>
        <w:t xml:space="preserve"> </w:t>
      </w:r>
      <w:r>
        <w:t xml:space="preserve">about $27 million per year in Israel against the published operator</w:t>
      </w:r>
      <w:r>
        <w:t xml:space="preserve"> </w:t>
      </w:r>
      <w:r>
        <w:t xml:space="preserve">forecast, roughly a billion dollars per year at US scale, and it does so with</w:t>
      </w:r>
      <w:r>
        <w:t xml:space="preserve"> </w:t>
      </w:r>
      <w:r>
        <w:t xml:space="preserve">fewer than 2</w:t>
      </w:r>
      <w:r>
        <w:t xml:space="preserve">,</w:t>
      </w:r>
      <w:r>
        <w:t xml:space="preserve">000 parameters trained in five minutes on a laptop.</w:t>
      </w:r>
    </w:p>
    <w:bookmarkStart w:id="72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(i) The imbalance prices are synthetic, anchored on</w:t>
      </w:r>
      <w:r>
        <w:t xml:space="preserve"> </w:t>
      </w:r>
      <w:r>
        <w:t xml:space="preserve">the real day-ahead price; the savings depend on their level. (ii) All</w:t>
      </w:r>
      <w:r>
        <w:t xml:space="preserve"> </w:t>
      </w:r>
      <w:r>
        <w:t xml:space="preserve">results use one draw of these prices. (iii) The post-hoc corrections are</w:t>
      </w:r>
      <w:r>
        <w:t xml:space="preserve"> </w:t>
      </w:r>
      <w:r>
        <w:t xml:space="preserve">fitted on training-set forecasts, whose errors are smaller than on the test</w:t>
      </w:r>
      <w:r>
        <w:t xml:space="preserve"> </w:t>
      </w:r>
      <w:r>
        <w:t xml:space="preserve">set, so their margins may be slightly too small. (iv) We assume a price</w:t>
      </w:r>
      <w:r>
        <w:t xml:space="preserve"> </w:t>
      </w:r>
      <w:r>
        <w:t xml:space="preserve">taker and ignore the effect of the forecast on the prices. (v) The model</w:t>
      </w:r>
      <w:r>
        <w:t xml:space="preserve"> </w:t>
      </w:r>
      <w:r>
        <w:t xml:space="preserve">produces a point forecast, not a full predictive distribution.</w:t>
      </w:r>
    </w:p>
    <w:bookmarkEnd w:id="72"/>
    <w:bookmarkStart w:id="73" w:name="future-work."/>
    <w:p>
      <w:pPr>
        <w:pStyle w:val="Heading4"/>
      </w:pPr>
      <w:r>
        <w:t xml:space="preserve">Future work.</w:t>
      </w:r>
    </w:p>
    <w:p>
      <w:pPr>
        <w:pStyle w:val="FirstParagraph"/>
      </w:pPr>
      <w:r>
        <w:t xml:space="preserve">Real imbalance prices, from the operator or market</w:t>
      </w:r>
      <w:r>
        <w:t xml:space="preserve"> </w:t>
      </w:r>
      <w:r>
        <w:t xml:space="preserve">participants, would turn the savings estimate into a measurement. Further</w:t>
      </w:r>
      <w:r>
        <w:t xml:space="preserve"> </w:t>
      </w:r>
      <w:r>
        <w:t xml:space="preserve">directions are a scarcity variant of the price generator in which shortfalls are most expensive when</w:t>
      </w:r>
      <w:r>
        <w:t xml:space="preserve"> </w:t>
      </w:r>
      <w:r>
        <w:t xml:space="preserve">the whole system is short, richer price inputs (fuel prices, renewable</w:t>
      </w:r>
      <w:r>
        <w:t xml:space="preserve"> </w:t>
      </w:r>
      <w:r>
        <w:t xml:space="preserve">forecasts), distributional forecasts trained on price-weighted objectives,</w:t>
      </w:r>
      <w:r>
        <w:t xml:space="preserve"> </w:t>
      </w:r>
      <w:r>
        <w:t xml:space="preserve">and applying the unified model to larger markets.</w:t>
      </w:r>
    </w:p>
    <w:bookmarkEnd w:id="73"/>
    <w:bookmarkEnd w:id="74"/>
    <w:bookmarkStart w:id="132" w:name="X1f74eb43af444059c7518034463b6c89b1cacf4"/>
    <w:p>
      <w:pPr>
        <w:pStyle w:val="Heading1"/>
      </w:pPr>
      <w:r>
        <w:t xml:space="preserve">Declaration of generative AI and AI-assisted technologies in the</w:t>
      </w:r>
      <w:r>
        <w:t xml:space="preserve"> </w:t>
      </w:r>
      <w:r>
        <w:t xml:space="preserve">manuscript preparation process</w:t>
      </w:r>
    </w:p>
    <w:p>
      <w:pPr>
        <w:pStyle w:val="FirstParagraph"/>
      </w:pPr>
      <w:r>
        <w:t xml:space="preserve">During the preparation of this work the authors used Claude (Anthropic) in</w:t>
      </w:r>
      <w:r>
        <w:t xml:space="preserve"> </w:t>
      </w:r>
      <w:r>
        <w:t xml:space="preserve">order to improve the language and readability of the manuscript. The</w:t>
      </w:r>
      <w:r>
        <w:t xml:space="preserve"> </w:t>
      </w:r>
      <w:r>
        <w:t xml:space="preserve">research itself—the problem formulation, the model, the experiments and</w:t>
      </w:r>
      <w:r>
        <w:t xml:space="preserve"> </w:t>
      </w:r>
      <w:r>
        <w:t xml:space="preserve">the analysis—was conceived and carried out by the authors. After using</w:t>
      </w:r>
      <w:r>
        <w:t xml:space="preserve"> </w:t>
      </w:r>
      <w:r>
        <w:t xml:space="preserve">this tool, the authors reviewed and edited the content as needed and take</w:t>
      </w:r>
      <w:r>
        <w:t xml:space="preserve"> </w:t>
      </w:r>
      <w:r>
        <w:t xml:space="preserve">full responsibility for the content of the published article.</w:t>
      </w:r>
    </w:p>
    <w:bookmarkStart w:id="131" w:name="refs"/>
    <w:bookmarkStart w:id="76" w:name="ref-arrow1951optimal"/>
    <w:p>
      <w:pPr>
        <w:pStyle w:val="Bibliography"/>
      </w:pPr>
      <w:r>
        <w:t xml:space="preserve">Arrow, Kenneth J., Theodore Harris, and Jacob Marschak. 1951.</w:t>
      </w:r>
      <w:r>
        <w:t xml:space="preserve"> </w:t>
      </w:r>
      <w:r>
        <w:t xml:space="preserve">“Optimal Inventory Policy.”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19 (3): 250–72.</w:t>
      </w:r>
      <w:r>
        <w:t xml:space="preserve"> </w:t>
      </w:r>
      <w:hyperlink r:id="rId75">
        <w:r>
          <w:rPr>
            <w:rStyle w:val="Hyperlink"/>
          </w:rPr>
          <w:t xml:space="preserve">https://doi.org/10.2307/1906813</w:t>
        </w:r>
      </w:hyperlink>
      <w:r>
        <w:t xml:space="preserve">.</w:t>
      </w:r>
    </w:p>
    <w:bookmarkEnd w:id="76"/>
    <w:bookmarkStart w:id="77" w:name="ref-ban2019bignewsvendor"/>
    <w:p>
      <w:pPr>
        <w:pStyle w:val="Bibliography"/>
      </w:pPr>
      <w:r>
        <w:t xml:space="preserve">Ban, Gah-Yi, and Cynthia Rudin. 2019.</w:t>
      </w:r>
      <w:r>
        <w:t xml:space="preserve"> </w:t>
      </w:r>
      <w:r>
        <w:t xml:space="preserve">“The Big Data Newsvendor: Practical Insights from Machine Learning.”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 </w:t>
      </w:r>
      <w:r>
        <w:t xml:space="preserve">67 (1): 90–108.</w:t>
      </w:r>
    </w:p>
    <w:bookmarkEnd w:id="77"/>
    <w:bookmarkStart w:id="79" w:name="ref-christoffersen1997optimal"/>
    <w:p>
      <w:pPr>
        <w:pStyle w:val="Bibliography"/>
      </w:pPr>
      <w:r>
        <w:t xml:space="preserve">Christoffersen, Peter F., and Francis X. Diebold. 1997.</w:t>
      </w:r>
      <w:r>
        <w:t xml:space="preserve"> </w:t>
      </w:r>
      <w:r>
        <w:t xml:space="preserve">“Optimal Prediction Under Asymmetric Loss.”</w:t>
      </w:r>
      <w:r>
        <w:t xml:space="preserve"> </w:t>
      </w:r>
      <w:r>
        <w:rPr>
          <w:i/>
          <w:iCs/>
        </w:rPr>
        <w:t xml:space="preserve">Econometric Theory</w:t>
      </w:r>
      <w:r>
        <w:t xml:space="preserve"> </w:t>
      </w:r>
      <w:r>
        <w:t xml:space="preserve">13 (6): 808–17.</w:t>
      </w:r>
      <w:r>
        <w:t xml:space="preserve"> </w:t>
      </w:r>
      <w:hyperlink r:id="rId78">
        <w:r>
          <w:rPr>
            <w:rStyle w:val="Hyperlink"/>
          </w:rPr>
          <w:t xml:space="preserve">https://doi.org/10.1017/S0266466600006277</w:t>
        </w:r>
      </w:hyperlink>
      <w:r>
        <w:t xml:space="preserve">.</w:t>
      </w:r>
    </w:p>
    <w:bookmarkEnd w:id="79"/>
    <w:bookmarkStart w:id="81" w:name="ref-diebold1995comparing"/>
    <w:p>
      <w:pPr>
        <w:pStyle w:val="Bibliography"/>
      </w:pPr>
      <w:r>
        <w:t xml:space="preserve">Diebold, Francis X., and Roberto S. Mariano. 1995.</w:t>
      </w:r>
      <w:r>
        <w:t xml:space="preserve"> </w:t>
      </w:r>
      <w:r>
        <w:t xml:space="preserve">“Comparing Predictive Accuracy.”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 </w:t>
      </w:r>
      <w:r>
        <w:t xml:space="preserve">13 (3): 253–63.</w:t>
      </w:r>
      <w:r>
        <w:t xml:space="preserve"> </w:t>
      </w:r>
      <w:hyperlink r:id="rId80">
        <w:r>
          <w:rPr>
            <w:rStyle w:val="Hyperlink"/>
          </w:rPr>
          <w:t xml:space="preserve">https://doi.org/10.1080/07350015.1995.10524599</w:t>
        </w:r>
      </w:hyperlink>
      <w:r>
        <w:t xml:space="preserve">.</w:t>
      </w:r>
    </w:p>
    <w:bookmarkEnd w:id="81"/>
    <w:bookmarkStart w:id="82" w:name="ref-donti2017taskbased"/>
    <w:p>
      <w:pPr>
        <w:pStyle w:val="Bibliography"/>
      </w:pPr>
      <w:r>
        <w:t xml:space="preserve">Donti, Priya L., Brandon Amos, and J. Zico Kolter. 2017.</w:t>
      </w:r>
      <w:r>
        <w:t xml:space="preserve"> </w:t>
      </w:r>
      <w:r>
        <w:t xml:space="preserve">“Task-Based End-to-End Model Learning in Stochastic Optimization.”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30:5484–94.</w:t>
      </w:r>
    </w:p>
    <w:bookmarkEnd w:id="82"/>
    <w:bookmarkStart w:id="84" w:name="ref-elmachtoub2022spo"/>
    <w:p>
      <w:pPr>
        <w:pStyle w:val="Bibliography"/>
      </w:pPr>
      <w:r>
        <w:t xml:space="preserve">Elmachtoub, Adam N., and Paul Grigas. 2022.</w:t>
      </w:r>
      <w:r>
        <w:t xml:space="preserve"> </w:t>
      </w:r>
      <w:r>
        <w:t xml:space="preserve">“Smart</w:t>
      </w:r>
      <w:r>
        <w:t xml:space="preserve"> </w:t>
      </w:r>
      <w:r>
        <w:t xml:space="preserve">‘Predict, Then Optimize’</w:t>
      </w:r>
      <w:r>
        <w:t xml:space="preserve">.”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 </w:t>
      </w:r>
      <w:r>
        <w:t xml:space="preserve">68 (1): 9–26.</w:t>
      </w:r>
      <w:r>
        <w:t xml:space="preserve"> </w:t>
      </w:r>
      <w:hyperlink r:id="rId83">
        <w:r>
          <w:rPr>
            <w:rStyle w:val="Hyperlink"/>
          </w:rPr>
          <w:t xml:space="preserve">https://doi.org/10.1287/mnsc.2020.3922</w:t>
        </w:r>
      </w:hyperlink>
      <w:r>
        <w:t xml:space="preserve">.</w:t>
      </w:r>
    </w:p>
    <w:bookmarkEnd w:id="84"/>
    <w:bookmarkStart w:id="86" w:name="ref-han2020lfednet"/>
    <w:p>
      <w:pPr>
        <w:pStyle w:val="Bibliography"/>
      </w:pPr>
      <w:r>
        <w:t xml:space="preserve">Han, Jiayu, Lei Yan, and Zuyi Li. 2020.</w:t>
      </w:r>
      <w:r>
        <w:t xml:space="preserve"> </w:t>
      </w:r>
      <w:r>
        <w:t xml:space="preserve">“</w:t>
      </w:r>
      <w:r>
        <w:t xml:space="preserve">LfEdNet</w:t>
      </w:r>
      <w:r>
        <w:t xml:space="preserve">: A Task-Based Day-Ahead Load Forecasting Model for Stochastic Economic Dispatch.”</w:t>
      </w:r>
      <w:r>
        <w:t xml:space="preserve"> </w:t>
      </w:r>
      <w:hyperlink r:id="rId85">
        <w:r>
          <w:rPr>
            <w:rStyle w:val="Hyperlink"/>
          </w:rPr>
          <w:t xml:space="preserve">https://arxiv.org/abs/2008.07025</w:t>
        </w:r>
      </w:hyperlink>
      <w:r>
        <w:t xml:space="preserve">.</w:t>
      </w:r>
    </w:p>
    <w:bookmarkEnd w:id="86"/>
    <w:bookmarkStart w:id="88" w:name="ref-hong2016probabilistic"/>
    <w:p>
      <w:pPr>
        <w:pStyle w:val="Bibliography"/>
      </w:pPr>
      <w:r>
        <w:t xml:space="preserve">Hong, Tao, and Shu Fan. 2016.</w:t>
      </w:r>
      <w:r>
        <w:t xml:space="preserve"> </w:t>
      </w:r>
      <w:r>
        <w:t xml:space="preserve">“Probabilistic Electric Load Forecasting:</w:t>
      </w:r>
      <w:r>
        <w:t xml:space="preserve"> </w:t>
      </w:r>
      <w:r>
        <w:t xml:space="preserve">A</w:t>
      </w:r>
      <w:r>
        <w:t xml:space="preserve"> </w:t>
      </w:r>
      <w:r>
        <w:t xml:space="preserve">Tutorial Review.”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32 (3): 914–38.</w:t>
      </w:r>
      <w:r>
        <w:t xml:space="preserve"> </w:t>
      </w:r>
      <w:hyperlink r:id="rId87">
        <w:r>
          <w:rPr>
            <w:rStyle w:val="Hyperlink"/>
          </w:rPr>
          <w:t xml:space="preserve">https://doi.org/10.1016/j.ijforecast.2015.11.011</w:t>
        </w:r>
      </w:hyperlink>
      <w:r>
        <w:t xml:space="preserve">.</w:t>
      </w:r>
    </w:p>
    <w:bookmarkEnd w:id="88"/>
    <w:bookmarkStart w:id="90" w:name="ref-hong2016gefcom2014"/>
    <w:p>
      <w:pPr>
        <w:pStyle w:val="Bibliography"/>
      </w:pPr>
      <w:r>
        <w:t xml:space="preserve">Hong, Tao, Pierre Pinson, Shu Fan, Hamidreza Zareipour, Alberto Troccoli, and Rob J. Hyndman. 2016.</w:t>
      </w:r>
      <w:r>
        <w:t xml:space="preserve"> </w:t>
      </w:r>
      <w:r>
        <w:t xml:space="preserve">“Probabilistic Energy Forecasting:</w:t>
      </w:r>
      <w:r>
        <w:t xml:space="preserve"> </w:t>
      </w:r>
      <w:r>
        <w:t xml:space="preserve">G</w:t>
      </w:r>
      <w:r>
        <w:t xml:space="preserve">lobal</w:t>
      </w:r>
      <w:r>
        <w:t xml:space="preserve"> </w:t>
      </w:r>
      <w:r>
        <w:t xml:space="preserve">E</w:t>
      </w:r>
      <w:r>
        <w:t xml:space="preserve">nergy</w:t>
      </w:r>
      <w:r>
        <w:t xml:space="preserve"> </w:t>
      </w:r>
      <w:r>
        <w:t xml:space="preserve">F</w:t>
      </w:r>
      <w:r>
        <w:t xml:space="preserve">orecasting</w:t>
      </w:r>
      <w:r>
        <w:t xml:space="preserve"> </w:t>
      </w:r>
      <w:r>
        <w:t xml:space="preserve">C</w:t>
      </w:r>
      <w:r>
        <w:t xml:space="preserve">ompetition 2014 and Beyond.”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32 (3): 896–913.</w:t>
      </w:r>
      <w:r>
        <w:t xml:space="preserve"> </w:t>
      </w:r>
      <w:hyperlink r:id="rId89">
        <w:r>
          <w:rPr>
            <w:rStyle w:val="Hyperlink"/>
          </w:rPr>
          <w:t xml:space="preserve">https://doi.org/10.1016/j.ijforecast.2016.02.001</w:t>
        </w:r>
      </w:hyperlink>
      <w:r>
        <w:t xml:space="preserve">.</w:t>
      </w:r>
    </w:p>
    <w:bookmarkEnd w:id="90"/>
    <w:bookmarkStart w:id="92" w:name="ref-cbs_population2025"/>
    <w:p>
      <w:pPr>
        <w:pStyle w:val="Bibliography"/>
      </w:pPr>
      <w:r>
        <w:t xml:space="preserve">Israel Central Bureau of Statistics. 2025.</w:t>
      </w:r>
      <w:r>
        <w:t xml:space="preserve"> </w:t>
      </w:r>
      <w:r>
        <w:t xml:space="preserve">“Population of</w:t>
      </w:r>
      <w:r>
        <w:t xml:space="preserve"> </w:t>
      </w:r>
      <w:r>
        <w:t xml:space="preserve">Israel</w:t>
      </w:r>
      <w:r>
        <w:t xml:space="preserve"> </w:t>
      </w:r>
      <w:r>
        <w:t xml:space="preserve">at the End of 2025.”</w:t>
      </w:r>
      <w:r>
        <w:t xml:space="preserve"> </w:t>
      </w:r>
      <w:r>
        <w:t xml:space="preserve">2025.</w:t>
      </w:r>
      <w:r>
        <w:t xml:space="preserve"> </w:t>
      </w:r>
      <w:hyperlink r:id="rId91">
        <w:r>
          <w:rPr>
            <w:rStyle w:val="Hyperlink"/>
          </w:rPr>
          <w:t xml:space="preserve">https://www.cbs.gov.il/en</w:t>
        </w:r>
      </w:hyperlink>
      <w:r>
        <w:t xml:space="preserve">.</w:t>
      </w:r>
    </w:p>
    <w:bookmarkEnd w:id="92"/>
    <w:bookmarkStart w:id="94" w:name="ref-ims"/>
    <w:p>
      <w:pPr>
        <w:pStyle w:val="Bibliography"/>
      </w:pPr>
      <w:r>
        <w:t xml:space="preserve">“Israel Meteorological Service – Open Data Portal.”</w:t>
      </w:r>
      <w:r>
        <w:t xml:space="preserve"> </w:t>
      </w:r>
      <w:r>
        <w:t xml:space="preserve">2025. 2025.</w:t>
      </w:r>
      <w:r>
        <w:t xml:space="preserve"> </w:t>
      </w:r>
      <w:hyperlink r:id="rId93">
        <w:r>
          <w:rPr>
            <w:rStyle w:val="Hyperlink"/>
          </w:rPr>
          <w:t xml:space="preserve">https://ims.gov.il/he/data_gov</w:t>
        </w:r>
      </w:hyperlink>
      <w:r>
        <w:t xml:space="preserve">.</w:t>
      </w:r>
    </w:p>
    <w:bookmarkEnd w:id="94"/>
    <w:bookmarkStart w:id="95" w:name="ref-kingma2014adam"/>
    <w:p>
      <w:pPr>
        <w:pStyle w:val="Bibliography"/>
      </w:pPr>
      <w:r>
        <w:t xml:space="preserve">Kingma, Diederik P., and Jimmy Ba. 2014.</w:t>
      </w:r>
      <w:r>
        <w:t xml:space="preserve"> </w:t>
      </w:r>
      <w:r>
        <w:t xml:space="preserve">“Adam:</w:t>
      </w:r>
      <w:r>
        <w:t xml:space="preserve"> </w:t>
      </w:r>
      <w:r>
        <w:t xml:space="preserve">A</w:t>
      </w:r>
      <w:r>
        <w:t xml:space="preserve"> </w:t>
      </w:r>
      <w:r>
        <w:t xml:space="preserve">Method for Stochastic Optimization.”</w:t>
      </w:r>
      <w:r>
        <w:t xml:space="preserve"> </w:t>
      </w:r>
      <w:r>
        <w:rPr>
          <w:i/>
          <w:iCs/>
        </w:rPr>
        <w:t xml:space="preserve">arXiv Preprint arXiv:1412.6980</w:t>
      </w:r>
      <w:r>
        <w:t xml:space="preserve">.</w:t>
      </w:r>
    </w:p>
    <w:bookmarkEnd w:id="95"/>
    <w:bookmarkStart w:id="97" w:name="ref-kirschen2018fundamentals"/>
    <w:p>
      <w:pPr>
        <w:pStyle w:val="Bibliography"/>
      </w:pPr>
      <w:r>
        <w:t xml:space="preserve">Kirschen, Daniel S., and Goran Strbac. 2018.</w:t>
      </w:r>
      <w:r>
        <w:t xml:space="preserve"> </w:t>
      </w:r>
      <w:r>
        <w:rPr>
          <w:i/>
          <w:iCs/>
        </w:rPr>
        <w:t xml:space="preserve">Fundamentals of Power System Economics</w:t>
      </w:r>
      <w:r>
        <w:t xml:space="preserve">. 2nd ed. Chichester, UK: Wiley.</w:t>
      </w:r>
      <w:r>
        <w:t xml:space="preserve"> </w:t>
      </w:r>
      <w:hyperlink r:id="rId96">
        <w:r>
          <w:rPr>
            <w:rStyle w:val="Hyperlink"/>
          </w:rPr>
          <w:t xml:space="preserve">https://doi.org/10.1002/9781119213238</w:t>
        </w:r>
      </w:hyperlink>
      <w:r>
        <w:t xml:space="preserve">.</w:t>
      </w:r>
    </w:p>
    <w:bookmarkEnd w:id="97"/>
    <w:bookmarkStart w:id="99" w:name="ref-koenker1978regression"/>
    <w:p>
      <w:pPr>
        <w:pStyle w:val="Bibliography"/>
      </w:pPr>
      <w:r>
        <w:t xml:space="preserve">Koenker, Roger, and Gilbert Bassett. 1978.</w:t>
      </w:r>
      <w:r>
        <w:t xml:space="preserve"> </w:t>
      </w:r>
      <w:r>
        <w:t xml:space="preserve">“Regression Quantiles.”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46 (1): 33–50.</w:t>
      </w:r>
      <w:r>
        <w:t xml:space="preserve"> </w:t>
      </w:r>
      <w:hyperlink r:id="rId98">
        <w:r>
          <w:rPr>
            <w:rStyle w:val="Hyperlink"/>
          </w:rPr>
          <w:t xml:space="preserve">https://doi.org/10.2307/1913643</w:t>
        </w:r>
      </w:hyperlink>
      <w:r>
        <w:t xml:space="preserve">.</w:t>
      </w:r>
    </w:p>
    <w:bookmarkEnd w:id="99"/>
    <w:bookmarkStart w:id="100" w:name="ref-li2024joint"/>
    <w:p>
      <w:pPr>
        <w:pStyle w:val="Bibliography"/>
      </w:pPr>
      <w:r>
        <w:t xml:space="preserve">Li, Ke, Yuchen Mu, Fan Yang, Haiyang Wang, Yi Yan, and Chenghui Zhang. 2024.</w:t>
      </w:r>
      <w:r>
        <w:t xml:space="preserve"> </w:t>
      </w:r>
      <w:r>
        <w:t xml:space="preserve">“Joint Forecasting of Source-Load-Price for Integrated Energy System Based on Multi-Task Learning and Hybrid Attention Mechanism.”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360.</w:t>
      </w:r>
    </w:p>
    <w:bookmarkEnd w:id="100"/>
    <w:bookmarkStart w:id="102" w:name="ref-lin2020asymmetric"/>
    <w:p>
      <w:pPr>
        <w:pStyle w:val="Bibliography"/>
      </w:pPr>
      <w:r>
        <w:t xml:space="preserve">Lin, Jun-Lin, Yiqing Zhang, Kunhuang Zhu, Binbin Chen, and Feng Zhang. 2020.</w:t>
      </w:r>
      <w:r>
        <w:t xml:space="preserve"> </w:t>
      </w:r>
      <w:r>
        <w:t xml:space="preserve">“Asymmetric Loss Functions for Contract Capacity Optimization.”</w:t>
      </w:r>
      <w:r>
        <w:t xml:space="preserve"> </w:t>
      </w:r>
      <w:r>
        <w:rPr>
          <w:i/>
          <w:iCs/>
        </w:rPr>
        <w:t xml:space="preserve">Energies</w:t>
      </w:r>
      <w:r>
        <w:t xml:space="preserve"> </w:t>
      </w:r>
      <w:r>
        <w:t xml:space="preserve">13 (12): 3123.</w:t>
      </w:r>
      <w:r>
        <w:t xml:space="preserve"> </w:t>
      </w:r>
      <w:hyperlink r:id="rId101">
        <w:r>
          <w:rPr>
            <w:rStyle w:val="Hyperlink"/>
          </w:rPr>
          <w:t xml:space="preserve">https://doi.org/10.3390/en13123123</w:t>
        </w:r>
      </w:hyperlink>
      <w:r>
        <w:t xml:space="preserve">.</w:t>
      </w:r>
    </w:p>
    <w:bookmarkEnd w:id="102"/>
    <w:bookmarkStart w:id="104" w:name="ref-morales2014integrating"/>
    <w:p>
      <w:pPr>
        <w:pStyle w:val="Bibliography"/>
      </w:pPr>
      <w:r>
        <w:t xml:space="preserve">Morales, Juan M., Antonio J. Conejo, Henrik Madsen, Pierre Pinson, and Marco Zugno. 2014.</w:t>
      </w:r>
      <w:r>
        <w:t xml:space="preserve"> </w:t>
      </w:r>
      <w:r>
        <w:rPr>
          <w:i/>
          <w:iCs/>
        </w:rPr>
        <w:t xml:space="preserve">Integrating Renewables in Electricity Markets: Operational Problems</w:t>
      </w:r>
      <w:r>
        <w:t xml:space="preserve">. Vol. 205. International Series in Operations Research &amp; Management Science. New York, NY: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https://doi.org/10.1007/978-1-4614-9411-9</w:t>
        </w:r>
      </w:hyperlink>
      <w:r>
        <w:t xml:space="preserve">.</w:t>
      </w:r>
    </w:p>
    <w:bookmarkEnd w:id="104"/>
    <w:bookmarkStart w:id="106" w:name="ref-noga"/>
    <w:p>
      <w:pPr>
        <w:pStyle w:val="Bibliography"/>
      </w:pPr>
      <w:r>
        <w:t xml:space="preserve">“Noga – Israel Independent System Operator: Annual Hourly Consumption Data.”</w:t>
      </w:r>
      <w:r>
        <w:t xml:space="preserve"> </w:t>
      </w:r>
      <w:r>
        <w:t xml:space="preserve">2025. 2025.</w:t>
      </w:r>
      <w:r>
        <w:t xml:space="preserve"> </w:t>
      </w:r>
      <w:hyperlink r:id="rId105">
        <w:r>
          <w:rPr>
            <w:rStyle w:val="Hyperlink"/>
          </w:rPr>
          <w:t xml:space="preserve">https://www.noga-iso.co.il/statistics/annual-hourly-consumption-data/</w:t>
        </w:r>
      </w:hyperlink>
      <w:r>
        <w:t xml:space="preserve">.</w:t>
      </w:r>
    </w:p>
    <w:bookmarkEnd w:id="106"/>
    <w:bookmarkStart w:id="108" w:name="ref-noga_smp"/>
    <w:p>
      <w:pPr>
        <w:pStyle w:val="Bibliography"/>
      </w:pPr>
      <w:r>
        <w:t xml:space="preserve">“Noga – Israel Independent System Operator: System Marginal Price (SMP).”</w:t>
      </w:r>
      <w:r>
        <w:t xml:space="preserve"> </w:t>
      </w:r>
      <w:r>
        <w:t xml:space="preserve">2026. 2026.</w:t>
      </w:r>
      <w:r>
        <w:t xml:space="preserve"> </w:t>
      </w:r>
      <w:hyperlink r:id="rId107">
        <w:r>
          <w:rPr>
            <w:rStyle w:val="Hyperlink"/>
          </w:rPr>
          <w:t xml:space="preserve">https://www.noga-iso.co.il/</w:t>
        </w:r>
      </w:hyperlink>
      <w:r>
        <w:t xml:space="preserve">.</w:t>
      </w:r>
    </w:p>
    <w:bookmarkEnd w:id="108"/>
    <w:bookmarkStart w:id="109" w:name="ref-shayeghi2015simultaneous"/>
    <w:p>
      <w:pPr>
        <w:pStyle w:val="Bibliography"/>
      </w:pPr>
      <w:r>
        <w:t xml:space="preserve">Shayeghi, H., A. Ghasemi, M. Moradzadeh, and M. Nooshyar. 2015.</w:t>
      </w:r>
      <w:r>
        <w:t xml:space="preserve"> </w:t>
      </w:r>
      <w:r>
        <w:t xml:space="preserve">“Simultaneous Day-Ahead Forecasting of Electricity Price and Load in Smart Grids.”</w:t>
      </w:r>
      <w:r>
        <w:t xml:space="preserve"> </w:t>
      </w:r>
      <w:r>
        <w:rPr>
          <w:i/>
          <w:iCs/>
        </w:rPr>
        <w:t xml:space="preserve">Energy Conversion and Management</w:t>
      </w:r>
      <w:r>
        <w:t xml:space="preserve"> </w:t>
      </w:r>
      <w:r>
        <w:t xml:space="preserve">95: 371–84.</w:t>
      </w:r>
    </w:p>
    <w:bookmarkEnd w:id="109"/>
    <w:bookmarkStart w:id="110" w:name="ref-stoft2002power"/>
    <w:p>
      <w:pPr>
        <w:pStyle w:val="Bibliography"/>
      </w:pPr>
      <w:r>
        <w:t xml:space="preserve">Stoft, Steven. 2002.</w:t>
      </w:r>
      <w:r>
        <w:t xml:space="preserve"> </w:t>
      </w:r>
      <w:r>
        <w:rPr>
          <w:i/>
          <w:iCs/>
        </w:rPr>
        <w:t xml:space="preserve">Power System Economics: Designing Markets for Electricity</w:t>
      </w:r>
      <w:r>
        <w:t xml:space="preserve">. Hoboken, NJ: Wiley-IEEE Press.</w:t>
      </w:r>
    </w:p>
    <w:bookmarkEnd w:id="110"/>
    <w:bookmarkStart w:id="112" w:name="ref-stratigakos2022prescriptive"/>
    <w:p>
      <w:pPr>
        <w:pStyle w:val="Bibliography"/>
      </w:pPr>
      <w:r>
        <w:t xml:space="preserve">Stratigakos, Akylas, Simon Camal, Andrea Michiorri, and Georges Kariniotakis. 2022.</w:t>
      </w:r>
      <w:r>
        <w:t xml:space="preserve"> </w:t>
      </w:r>
      <w:r>
        <w:t xml:space="preserve">“Prescriptive Trees for Integrated Forecasting and Optimization Applied in Trading of Renewable Energy.”</w:t>
      </w:r>
      <w:r>
        <w:t xml:space="preserve"> </w:t>
      </w:r>
      <w:r>
        <w:rPr>
          <w:i/>
          <w:iCs/>
        </w:rPr>
        <w:t xml:space="preserve">IEEE Transactions on Power Systems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https://doi.org/10.1109/TPWRS.2022.3152667</w:t>
        </w:r>
      </w:hyperlink>
      <w:r>
        <w:t xml:space="preserve">.</w:t>
      </w:r>
    </w:p>
    <w:bookmarkEnd w:id="112"/>
    <w:bookmarkStart w:id="114" w:name="ref-census_vintage2025"/>
    <w:p>
      <w:pPr>
        <w:pStyle w:val="Bibliography"/>
      </w:pPr>
      <w:r>
        <w:t xml:space="preserve">U.S. Census Bureau. 2026.</w:t>
      </w:r>
      <w:r>
        <w:t xml:space="preserve"> </w:t>
      </w:r>
      <w:r>
        <w:t xml:space="preserve">“National Population Estimates, Vintage 2025.”</w:t>
      </w:r>
      <w:r>
        <w:t xml:space="preserve"> </w:t>
      </w:r>
      <w:r>
        <w:t xml:space="preserve">2026.</w:t>
      </w:r>
      <w:r>
        <w:t xml:space="preserve"> </w:t>
      </w:r>
      <w:hyperlink r:id="rId113">
        <w:r>
          <w:rPr>
            <w:rStyle w:val="Hyperlink"/>
          </w:rPr>
          <w:t xml:space="preserve">https://www.census.gov/programs-surveys/popest.html</w:t>
        </w:r>
      </w:hyperlink>
      <w:r>
        <w:t xml:space="preserve">.</w:t>
      </w:r>
    </w:p>
    <w:bookmarkEnd w:id="114"/>
    <w:bookmarkStart w:id="116" w:name="ref-eia_steo"/>
    <w:p>
      <w:pPr>
        <w:pStyle w:val="Bibliography"/>
      </w:pPr>
      <w:r>
        <w:t xml:space="preserve">U.S. Energy Information Administration. 2025a.</w:t>
      </w:r>
      <w:r>
        <w:t xml:space="preserve"> </w:t>
      </w:r>
      <w:r>
        <w:t xml:space="preserve">“Short-Term Energy Outlook: U.s. Electricity Consumption.”</w:t>
      </w:r>
      <w:r>
        <w:t xml:space="preserve"> </w:t>
      </w:r>
      <w:r>
        <w:t xml:space="preserve">2025.</w:t>
      </w:r>
      <w:r>
        <w:t xml:space="preserve"> </w:t>
      </w:r>
      <w:hyperlink r:id="rId115">
        <w:r>
          <w:rPr>
            <w:rStyle w:val="Hyperlink"/>
          </w:rPr>
          <w:t xml:space="preserve">https://www.eia.gov/outlooks/steo/</w:t>
        </w:r>
      </w:hyperlink>
      <w:r>
        <w:t xml:space="preserve">.</w:t>
      </w:r>
    </w:p>
    <w:bookmarkEnd w:id="116"/>
    <w:bookmarkStart w:id="118" w:name="ref-eia_wholesale2025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“Wholesale Electricity Prices Expected to Rise in 2025.”</w:t>
      </w:r>
      <w:r>
        <w:t xml:space="preserve"> </w:t>
      </w:r>
      <w:r>
        <w:t xml:space="preserve">2025.</w:t>
      </w:r>
      <w:r>
        <w:t xml:space="preserve"> </w:t>
      </w:r>
      <w:hyperlink r:id="rId117">
        <w:r>
          <w:rPr>
            <w:rStyle w:val="Hyperlink"/>
          </w:rPr>
          <w:t xml:space="preserve">https://www.eia.gov/todayinenergy/detail.php?id=64384</w:t>
        </w:r>
      </w:hyperlink>
      <w:r>
        <w:t xml:space="preserve">.</w:t>
      </w:r>
    </w:p>
    <w:bookmarkEnd w:id="118"/>
    <w:bookmarkStart w:id="120" w:name="ref-wang2019pinball"/>
    <w:p>
      <w:pPr>
        <w:pStyle w:val="Bibliography"/>
      </w:pPr>
      <w:r>
        <w:t xml:space="preserve">Wang, Yi, Dahua Gan, Mingyang Sun, Ning Zhang, Zongxiang Lu, and Chongqing Kang. 2019.</w:t>
      </w:r>
      <w:r>
        <w:t xml:space="preserve"> </w:t>
      </w:r>
      <w:r>
        <w:t xml:space="preserve">“Probabilistic Individual Load Forecasting Using Pinball Loss Guided</w:t>
      </w:r>
      <w:r>
        <w:t xml:space="preserve"> </w:t>
      </w:r>
      <w:r>
        <w:t xml:space="preserve">LSTM</w:t>
      </w:r>
      <w:r>
        <w:t xml:space="preserve">.”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235: 10–20.</w:t>
      </w:r>
      <w:r>
        <w:t xml:space="preserve"> </w:t>
      </w:r>
      <w:hyperlink r:id="rId119">
        <w:r>
          <w:rPr>
            <w:rStyle w:val="Hyperlink"/>
          </w:rPr>
          <w:t xml:space="preserve">https://doi.org/10.1016/j.apenergy.2018.10.078</w:t>
        </w:r>
      </w:hyperlink>
      <w:r>
        <w:t xml:space="preserve">.</w:t>
      </w:r>
    </w:p>
    <w:bookmarkEnd w:id="120"/>
    <w:bookmarkStart w:id="122" w:name="ref-weron2014electricity"/>
    <w:p>
      <w:pPr>
        <w:pStyle w:val="Bibliography"/>
      </w:pPr>
      <w:r>
        <w:t xml:space="preserve">Weron, Rafał. 2014.</w:t>
      </w:r>
      <w:r>
        <w:t xml:space="preserve"> </w:t>
      </w:r>
      <w:r>
        <w:t xml:space="preserve">“Electricity Price Forecasting:</w:t>
      </w:r>
      <w:r>
        <w:t xml:space="preserve"> </w:t>
      </w:r>
      <w:r>
        <w:t xml:space="preserve">A</w:t>
      </w:r>
      <w:r>
        <w:t xml:space="preserve"> </w:t>
      </w:r>
      <w:r>
        <w:t xml:space="preserve">Review of the State-of-the-Art with a Look into the Future.”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30 (4): 1030–81.</w:t>
      </w:r>
      <w:r>
        <w:t xml:space="preserve"> </w:t>
      </w:r>
      <w:hyperlink r:id="rId121">
        <w:r>
          <w:rPr>
            <w:rStyle w:val="Hyperlink"/>
          </w:rPr>
          <w:t xml:space="preserve">https://doi.org/10.1016/j.ijforecast.2014.08.008</w:t>
        </w:r>
      </w:hyperlink>
      <w:r>
        <w:t xml:space="preserve">.</w:t>
      </w:r>
    </w:p>
    <w:bookmarkEnd w:id="122"/>
    <w:bookmarkStart w:id="124" w:name="ref-wu2021svr"/>
    <w:p>
      <w:pPr>
        <w:pStyle w:val="Bibliography"/>
      </w:pPr>
      <w:r>
        <w:t xml:space="preserve">Wu, Jinran, You-Gan Wang, Yu-Chu Tian, Kevin Burrage, and Taoyun Cao. 2021.</w:t>
      </w:r>
      <w:r>
        <w:t xml:space="preserve"> </w:t>
      </w:r>
      <w:r>
        <w:t xml:space="preserve">“Support Vector Regression with Asymmetric Loss for Optimal Electric Load Forecasting.”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223: 119969.</w:t>
      </w:r>
      <w:r>
        <w:t xml:space="preserve"> </w:t>
      </w:r>
      <w:hyperlink r:id="rId123">
        <w:r>
          <w:rPr>
            <w:rStyle w:val="Hyperlink"/>
          </w:rPr>
          <w:t xml:space="preserve">https://doi.org/10.1016/j.energy.2021.119969</w:t>
        </w:r>
      </w:hyperlink>
      <w:r>
        <w:t xml:space="preserve">.</w:t>
      </w:r>
    </w:p>
    <w:bookmarkEnd w:id="124"/>
    <w:bookmarkStart w:id="126" w:name="ref-wikimedia_density"/>
    <w:p>
      <w:pPr>
        <w:pStyle w:val="Bibliography"/>
      </w:pPr>
      <w:r>
        <w:t xml:space="preserve">Ynhockey. 2021.</w:t>
      </w:r>
      <w:r>
        <w:t xml:space="preserve"> </w:t>
      </w:r>
      <w:r>
        <w:t xml:space="preserve">“Israel Population Density 2018.”</w:t>
      </w:r>
      <w:r>
        <w:t xml:space="preserve"> </w:t>
      </w:r>
      <w:r>
        <w:t xml:space="preserve">2021.</w:t>
      </w:r>
      <w:r>
        <w:t xml:space="preserve"> </w:t>
      </w:r>
      <w:hyperlink r:id="rId125">
        <w:r>
          <w:rPr>
            <w:rStyle w:val="Hyperlink"/>
          </w:rPr>
          <w:t xml:space="preserve">https://commons.wikimedia.org/wiki/File:Israel_population_density_2018.png</w:t>
        </w:r>
      </w:hyperlink>
      <w:r>
        <w:t xml:space="preserve">.</w:t>
      </w:r>
    </w:p>
    <w:bookmarkEnd w:id="126"/>
    <w:bookmarkStart w:id="128" w:name="ref-zhang2022costoriented"/>
    <w:p>
      <w:pPr>
        <w:pStyle w:val="Bibliography"/>
      </w:pPr>
      <w:r>
        <w:t xml:space="preserve">Zhang, Jialun, Yi Wang, and Gabriela Hug. 2022.</w:t>
      </w:r>
      <w:r>
        <w:t xml:space="preserve"> </w:t>
      </w:r>
      <w:r>
        <w:t xml:space="preserve">“Cost-Oriented Load Forecasting.”</w:t>
      </w:r>
      <w:r>
        <w:t xml:space="preserve"> </w:t>
      </w:r>
      <w:r>
        <w:rPr>
          <w:i/>
          <w:iCs/>
        </w:rPr>
        <w:t xml:space="preserve">Electric Power Systems Research</w:t>
      </w:r>
      <w:r>
        <w:t xml:space="preserve"> </w:t>
      </w:r>
      <w:r>
        <w:t xml:space="preserve">205: 107723.</w:t>
      </w:r>
      <w:r>
        <w:t xml:space="preserve"> </w:t>
      </w:r>
      <w:hyperlink r:id="rId127">
        <w:r>
          <w:rPr>
            <w:rStyle w:val="Hyperlink"/>
          </w:rPr>
          <w:t xml:space="preserve">https://doi.org/10.1016/j.epsr.2021.107723</w:t>
        </w:r>
      </w:hyperlink>
      <w:r>
        <w:t xml:space="preserve">.</w:t>
      </w:r>
    </w:p>
    <w:bookmarkEnd w:id="128"/>
    <w:bookmarkStart w:id="130" w:name="ref-zhang2024valueoriented"/>
    <w:p>
      <w:pPr>
        <w:pStyle w:val="Bibliography"/>
      </w:pPr>
      <w:r>
        <w:t xml:space="preserve">Zhang, Yufan, Honglin Wen, Yuexin Bian, and Yuanyuan Shi. 2024.</w:t>
      </w:r>
      <w:r>
        <w:t xml:space="preserve"> </w:t>
      </w:r>
      <w:r>
        <w:t xml:space="preserve">“Improving Sequential Market Coordination via Value-Oriented Renewable Energy Forecasting.”</w:t>
      </w:r>
      <w:r>
        <w:t xml:space="preserve"> </w:t>
      </w:r>
      <w:hyperlink r:id="rId129">
        <w:r>
          <w:rPr>
            <w:rStyle w:val="Hyperlink"/>
          </w:rPr>
          <w:t xml:space="preserve">https://arxiv.org/abs/2405.09004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Repository link withheld for anonymous review; the code</w:t>
      </w:r>
      <w:r>
        <w:t xml:space="preserve"> </w:t>
      </w:r>
      <w:r>
        <w:t xml:space="preserve">and data are provided as supplementary material.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1" Target="media/rId31.png" /><Relationship Type="http://schemas.openxmlformats.org/officeDocument/2006/relationships/image" Id="rId20" Target="media/rId20.png" /><Relationship Type="http://schemas.openxmlformats.org/officeDocument/2006/relationships/hyperlink" Id="rId85" Target="https://arxiv.org/abs/2008.07025" TargetMode="External" /><Relationship Type="http://schemas.openxmlformats.org/officeDocument/2006/relationships/hyperlink" Id="rId129" Target="https://arxiv.org/abs/2405.09004" TargetMode="External" /><Relationship Type="http://schemas.openxmlformats.org/officeDocument/2006/relationships/hyperlink" Id="rId125" Target="https://commons.wikimedia.org/wiki/File:Israel_population_density_2018.png" TargetMode="External" /><Relationship Type="http://schemas.openxmlformats.org/officeDocument/2006/relationships/hyperlink" Id="rId96" Target="https://doi.org/10.1002/9781119213238" TargetMode="External" /><Relationship Type="http://schemas.openxmlformats.org/officeDocument/2006/relationships/hyperlink" Id="rId103" Target="https://doi.org/10.1007/978-1-4614-9411-9" TargetMode="External" /><Relationship Type="http://schemas.openxmlformats.org/officeDocument/2006/relationships/hyperlink" Id="rId119" Target="https://doi.org/10.1016/j.apenergy.2018.10.078" TargetMode="External" /><Relationship Type="http://schemas.openxmlformats.org/officeDocument/2006/relationships/hyperlink" Id="rId123" Target="https://doi.org/10.1016/j.energy.2021.119969" TargetMode="External" /><Relationship Type="http://schemas.openxmlformats.org/officeDocument/2006/relationships/hyperlink" Id="rId127" Target="https://doi.org/10.1016/j.epsr.2021.107723" TargetMode="External" /><Relationship Type="http://schemas.openxmlformats.org/officeDocument/2006/relationships/hyperlink" Id="rId121" Target="https://doi.org/10.1016/j.ijforecast.2014.08.008" TargetMode="External" /><Relationship Type="http://schemas.openxmlformats.org/officeDocument/2006/relationships/hyperlink" Id="rId87" Target="https://doi.org/10.1016/j.ijforecast.2015.11.011" TargetMode="External" /><Relationship Type="http://schemas.openxmlformats.org/officeDocument/2006/relationships/hyperlink" Id="rId89" Target="https://doi.org/10.1016/j.ijforecast.2016.02.001" TargetMode="External" /><Relationship Type="http://schemas.openxmlformats.org/officeDocument/2006/relationships/hyperlink" Id="rId78" Target="https://doi.org/10.1017/S0266466600006277" TargetMode="External" /><Relationship Type="http://schemas.openxmlformats.org/officeDocument/2006/relationships/hyperlink" Id="rId80" Target="https://doi.org/10.1080/07350015.1995.10524599" TargetMode="External" /><Relationship Type="http://schemas.openxmlformats.org/officeDocument/2006/relationships/hyperlink" Id="rId111" Target="https://doi.org/10.1109/TPWRS.2022.3152667" TargetMode="External" /><Relationship Type="http://schemas.openxmlformats.org/officeDocument/2006/relationships/hyperlink" Id="rId83" Target="https://doi.org/10.1287/mnsc.2020.3922" TargetMode="External" /><Relationship Type="http://schemas.openxmlformats.org/officeDocument/2006/relationships/hyperlink" Id="rId75" Target="https://doi.org/10.2307/1906813" TargetMode="External" /><Relationship Type="http://schemas.openxmlformats.org/officeDocument/2006/relationships/hyperlink" Id="rId98" Target="https://doi.org/10.2307/1913643" TargetMode="External" /><Relationship Type="http://schemas.openxmlformats.org/officeDocument/2006/relationships/hyperlink" Id="rId101" Target="https://doi.org/10.3390/en13123123" TargetMode="External" /><Relationship Type="http://schemas.openxmlformats.org/officeDocument/2006/relationships/hyperlink" Id="rId93" Target="https://ims.gov.il/he/data_gov" TargetMode="External" /><Relationship Type="http://schemas.openxmlformats.org/officeDocument/2006/relationships/hyperlink" Id="rId91" Target="https://www.cbs.gov.il/en" TargetMode="External" /><Relationship Type="http://schemas.openxmlformats.org/officeDocument/2006/relationships/hyperlink" Id="rId113" Target="https://www.census.gov/programs-surveys/popest.html" TargetMode="External" /><Relationship Type="http://schemas.openxmlformats.org/officeDocument/2006/relationships/hyperlink" Id="rId115" Target="https://www.eia.gov/outlooks/steo/" TargetMode="External" /><Relationship Type="http://schemas.openxmlformats.org/officeDocument/2006/relationships/hyperlink" Id="rId117" Target="https://www.eia.gov/todayinenergy/detail.php?id=64384" TargetMode="External" /><Relationship Type="http://schemas.openxmlformats.org/officeDocument/2006/relationships/hyperlink" Id="rId107" Target="https://www.noga-iso.co.il/" TargetMode="External" /><Relationship Type="http://schemas.openxmlformats.org/officeDocument/2006/relationships/hyperlink" Id="rId105" Target="https://www.noga-iso.co.il/statistics/annual-hourly-consumption-dat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arxiv.org/abs/2008.07025" TargetMode="External" /><Relationship Type="http://schemas.openxmlformats.org/officeDocument/2006/relationships/hyperlink" Id="rId129" Target="https://arxiv.org/abs/2405.09004" TargetMode="External" /><Relationship Type="http://schemas.openxmlformats.org/officeDocument/2006/relationships/hyperlink" Id="rId125" Target="https://commons.wikimedia.org/wiki/File:Israel_population_density_2018.png" TargetMode="External" /><Relationship Type="http://schemas.openxmlformats.org/officeDocument/2006/relationships/hyperlink" Id="rId96" Target="https://doi.org/10.1002/9781119213238" TargetMode="External" /><Relationship Type="http://schemas.openxmlformats.org/officeDocument/2006/relationships/hyperlink" Id="rId103" Target="https://doi.org/10.1007/978-1-4614-9411-9" TargetMode="External" /><Relationship Type="http://schemas.openxmlformats.org/officeDocument/2006/relationships/hyperlink" Id="rId119" Target="https://doi.org/10.1016/j.apenergy.2018.10.078" TargetMode="External" /><Relationship Type="http://schemas.openxmlformats.org/officeDocument/2006/relationships/hyperlink" Id="rId123" Target="https://doi.org/10.1016/j.energy.2021.119969" TargetMode="External" /><Relationship Type="http://schemas.openxmlformats.org/officeDocument/2006/relationships/hyperlink" Id="rId127" Target="https://doi.org/10.1016/j.epsr.2021.107723" TargetMode="External" /><Relationship Type="http://schemas.openxmlformats.org/officeDocument/2006/relationships/hyperlink" Id="rId121" Target="https://doi.org/10.1016/j.ijforecast.2014.08.008" TargetMode="External" /><Relationship Type="http://schemas.openxmlformats.org/officeDocument/2006/relationships/hyperlink" Id="rId87" Target="https://doi.org/10.1016/j.ijforecast.2015.11.011" TargetMode="External" /><Relationship Type="http://schemas.openxmlformats.org/officeDocument/2006/relationships/hyperlink" Id="rId89" Target="https://doi.org/10.1016/j.ijforecast.2016.02.001" TargetMode="External" /><Relationship Type="http://schemas.openxmlformats.org/officeDocument/2006/relationships/hyperlink" Id="rId78" Target="https://doi.org/10.1017/S0266466600006277" TargetMode="External" /><Relationship Type="http://schemas.openxmlformats.org/officeDocument/2006/relationships/hyperlink" Id="rId80" Target="https://doi.org/10.1080/07350015.1995.10524599" TargetMode="External" /><Relationship Type="http://schemas.openxmlformats.org/officeDocument/2006/relationships/hyperlink" Id="rId111" Target="https://doi.org/10.1109/TPWRS.2022.3152667" TargetMode="External" /><Relationship Type="http://schemas.openxmlformats.org/officeDocument/2006/relationships/hyperlink" Id="rId83" Target="https://doi.org/10.1287/mnsc.2020.3922" TargetMode="External" /><Relationship Type="http://schemas.openxmlformats.org/officeDocument/2006/relationships/hyperlink" Id="rId75" Target="https://doi.org/10.2307/1906813" TargetMode="External" /><Relationship Type="http://schemas.openxmlformats.org/officeDocument/2006/relationships/hyperlink" Id="rId98" Target="https://doi.org/10.2307/1913643" TargetMode="External" /><Relationship Type="http://schemas.openxmlformats.org/officeDocument/2006/relationships/hyperlink" Id="rId101" Target="https://doi.org/10.3390/en13123123" TargetMode="External" /><Relationship Type="http://schemas.openxmlformats.org/officeDocument/2006/relationships/hyperlink" Id="rId93" Target="https://ims.gov.il/he/data_gov" TargetMode="External" /><Relationship Type="http://schemas.openxmlformats.org/officeDocument/2006/relationships/hyperlink" Id="rId91" Target="https://www.cbs.gov.il/en" TargetMode="External" /><Relationship Type="http://schemas.openxmlformats.org/officeDocument/2006/relationships/hyperlink" Id="rId113" Target="https://www.census.gov/programs-surveys/popest.html" TargetMode="External" /><Relationship Type="http://schemas.openxmlformats.org/officeDocument/2006/relationships/hyperlink" Id="rId115" Target="https://www.eia.gov/outlooks/steo/" TargetMode="External" /><Relationship Type="http://schemas.openxmlformats.org/officeDocument/2006/relationships/hyperlink" Id="rId117" Target="https://www.eia.gov/todayinenergy/detail.php?id=64384" TargetMode="External" /><Relationship Type="http://schemas.openxmlformats.org/officeDocument/2006/relationships/hyperlink" Id="rId107" Target="https://www.noga-iso.co.il/" TargetMode="External" /><Relationship Type="http://schemas.openxmlformats.org/officeDocument/2006/relationships/hyperlink" Id="rId105" Target="https://www.noga-iso.co.il/statistics/annual-hourly-consumption-dat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Unified Price-and-Demand Model for Cost-Optimal Day-Ahead Electricity Demand Forecasting: Evidence from the Israeli Market</dc:title>
  <dc:creator/>
  <cp:keywords/>
  <dcterms:created xsi:type="dcterms:W3CDTF">2026-10-28T06:08:41Z</dcterms:created>
  <dcterms:modified xsi:type="dcterms:W3CDTF">2026-10-28T06:08:41Z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Day-ahead electricity is bought before demand is known, and a shortfall is settled at a price several times higher than a surplus, by a factor that rises with the price. The cost-optimal forecast is therefore a quantile of demand that moves with the price, yet demand and prices are forecast separately and for accuracy. We propose a unified model: a small neural network that forecasts demand and prices from a shared representation and trains the demand forecast on the price-weighted procurement cost. On a new open dataset of the Israeli market, with real day-ahead and synthetic imbalance prices, the model lowers the excess cost of the test year to $49.5 million: 6% below a joint demand-and-price network trained for accuracy and corrected afterwards, and 19% below the operator’s corrected forecast. Replacing the operator’s published forecast would save about $27 million per year in Israel, roughly $1 billion at US scale.</vt:lpwstr>
  </property>
  <property fmtid="{D5CDD505-2E9C-101B-9397-08002B2CF9AE}" pid="3" name="bibliography">
    <vt:lpwstr>ref.bib</vt:lpwstr>
  </property>
</Properties>
</file>