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網站部署連結：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https://storage.googleapis.com/ntcu-tset/dashboard.html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流程圖：</w:t>
      </w:r>
    </w:p>
    <w:p w:rsidR="00000000" w:rsidDel="00000000" w:rsidP="00000000" w:rsidRDefault="00000000" w:rsidRPr="00000000" w14:paraId="0000000B">
      <w:pPr>
        <w:rPr/>
      </w:pPr>
      <w:hyperlink r:id="rId7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5731200" cy="1435100"/>
              <wp:effectExtent b="0" l="0" r="0" t="0"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1200" cy="143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sectPr>
      <w:head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storage.googleapis.com/ntcu-tset/dashboard.html" TargetMode="External"/><Relationship Id="rId7" Type="http://schemas.openxmlformats.org/officeDocument/2006/relationships/hyperlink" Target="https://storage.googleapis.com/ntcu-tset/dashboard.html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