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DDB08">
      <w:pPr>
        <w:pStyle w:val="36"/>
      </w:pPr>
      <w:r>
        <w:t>Dữ liệu và policy công khai của Prudential Việt Nam có thể dùng cho IX.VOICE</w:t>
      </w:r>
    </w:p>
    <w:p w14:paraId="5C91104F">
      <w:pPr>
        <w:pStyle w:val="2"/>
      </w:pPr>
      <w:r>
        <w:t>1. Phạm vi</w:t>
      </w:r>
    </w:p>
    <w:p w14:paraId="3875006D">
      <w:r>
        <w:rPr>
          <w:b w:val="0"/>
        </w:rPr>
        <w:t>Chỉ xét Prudential. Bài không đánh giá giá trị hay lợi nhuận của sản phẩm, mà xét tài liệu nào công khai, đọc được, có phiên bản truy vết được và nội dung nào dùng được để đánh giá cuộc tư vấn.</w:t>
      </w:r>
      <w:bookmarkStart w:id="0" w:name="_GoBack"/>
      <w:bookmarkEnd w:id="0"/>
    </w:p>
    <w:p w14:paraId="238154AB">
      <w:pPr>
        <w:pStyle w:val="2"/>
      </w:pPr>
      <w:r>
        <w:t>2. Inventory tài liệu công khai</w:t>
      </w:r>
    </w:p>
    <w:p w14:paraId="3F1B6EC7">
      <w:r>
        <w:rPr>
          <w:b w:val="0"/>
        </w:rPr>
        <w:t>"Đã mở" là mình đọc được nội dung. "Chưa mở" là mới thấy trong kết quả tìm kiếm.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4769"/>
        <w:gridCol w:w="2513"/>
        <w:gridCol w:w="1747"/>
        <w:gridCol w:w="3329"/>
      </w:tblGrid>
      <w:tr w14:paraId="2334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9E2F3"/>
          </w:tcPr>
          <w:p w14:paraId="0DA590EA">
            <w:pPr>
              <w:spacing w:after="0" w:line="240" w:lineRule="auto"/>
            </w:pPr>
            <w:r>
              <w:rPr>
                <w:b/>
                <w:sz w:val="19"/>
              </w:rPr>
              <w:t>Nhóm</w:t>
            </w:r>
          </w:p>
        </w:tc>
        <w:tc>
          <w:tcPr>
            <w:tcW w:w="4649" w:type="dxa"/>
            <w:shd w:val="clear" w:color="auto" w:fill="D9E2F3"/>
          </w:tcPr>
          <w:p w14:paraId="21F45A75">
            <w:pPr>
              <w:spacing w:after="0" w:line="240" w:lineRule="auto"/>
            </w:pPr>
            <w:r>
              <w:rPr>
                <w:b/>
                <w:sz w:val="19"/>
              </w:rPr>
              <w:t>Tài liệu</w:t>
            </w:r>
          </w:p>
        </w:tc>
        <w:tc>
          <w:tcPr>
            <w:tcW w:w="2721" w:type="dxa"/>
            <w:shd w:val="clear" w:color="auto" w:fill="D9E2F3"/>
          </w:tcPr>
          <w:p w14:paraId="3B933184">
            <w:pPr>
              <w:spacing w:after="0" w:line="240" w:lineRule="auto"/>
            </w:pPr>
            <w:r>
              <w:rPr>
                <w:b/>
                <w:sz w:val="19"/>
              </w:rPr>
              <w:t>Phiên bản, hiệu lực</w:t>
            </w:r>
          </w:p>
        </w:tc>
        <w:tc>
          <w:tcPr>
            <w:tcW w:w="1928" w:type="dxa"/>
            <w:shd w:val="clear" w:color="auto" w:fill="D9E2F3"/>
          </w:tcPr>
          <w:p w14:paraId="30E291B7">
            <w:pPr>
              <w:spacing w:after="0" w:line="240" w:lineRule="auto"/>
            </w:pPr>
            <w:r>
              <w:rPr>
                <w:b/>
                <w:sz w:val="19"/>
              </w:rPr>
              <w:t>Trạng thái</w:t>
            </w:r>
          </w:p>
        </w:tc>
        <w:tc>
          <w:tcPr>
            <w:tcW w:w="3742" w:type="dxa"/>
            <w:shd w:val="clear" w:color="auto" w:fill="D9E2F3"/>
          </w:tcPr>
          <w:p w14:paraId="57D1CCB9">
            <w:pPr>
              <w:spacing w:after="0" w:line="240" w:lineRule="auto"/>
            </w:pPr>
            <w:r>
              <w:rPr>
                <w:b/>
                <w:sz w:val="19"/>
              </w:rPr>
              <w:t>Dùng làm gì cho IX.VOICE</w:t>
            </w:r>
          </w:p>
        </w:tc>
      </w:tr>
      <w:tr w14:paraId="5BC6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541FEF82">
            <w:pPr>
              <w:spacing w:after="0" w:line="240" w:lineRule="auto"/>
            </w:pPr>
            <w:r>
              <w:rPr>
                <w:sz w:val="19"/>
              </w:rPr>
              <w:t>A. Quy tắc, điều khoản sản phẩm</w:t>
            </w:r>
          </w:p>
        </w:tc>
        <w:tc>
          <w:tcPr>
            <w:tcW w:w="4649" w:type="dxa"/>
          </w:tcPr>
          <w:p w14:paraId="2EF548DD">
            <w:pPr>
              <w:spacing w:after="0" w:line="240" w:lineRule="auto"/>
            </w:pPr>
            <w:r>
              <w:rPr>
                <w:sz w:val="19"/>
              </w:rPr>
              <w:t>PRU-Edu Saver, quy tắc điều khoản (https://www.prudential.com.vn/export/sites/prudential-vn/vi/.thu-vien/pdf/tai-lieu-bieu-mau/pru-edu-saver-quy-tac-dieu-khoan.pdf)</w:t>
            </w:r>
          </w:p>
        </w:tc>
        <w:tc>
          <w:tcPr>
            <w:tcW w:w="2721" w:type="dxa"/>
          </w:tcPr>
          <w:p w14:paraId="3EE3A130">
            <w:pPr>
              <w:spacing w:after="0" w:line="240" w:lineRule="auto"/>
            </w:pPr>
            <w:r>
              <w:rPr>
                <w:sz w:val="19"/>
              </w:rPr>
              <w:t>V2_072020; CV 12323/BTC-QLBH (15/09/2017), sửa đổi CV 1223/BTC-QLBH (10/02/2020)</w:t>
            </w:r>
          </w:p>
        </w:tc>
        <w:tc>
          <w:tcPr>
            <w:tcW w:w="1928" w:type="dxa"/>
          </w:tcPr>
          <w:p w14:paraId="395AFFB1">
            <w:pPr>
              <w:spacing w:after="0" w:line="240" w:lineRule="auto"/>
            </w:pPr>
            <w:r>
              <w:rPr>
                <w:sz w:val="19"/>
              </w:rPr>
              <w:t>Đã mở, đầy đủ. Chưa xác nhận còn bán hay không</w:t>
            </w:r>
          </w:p>
        </w:tc>
        <w:tc>
          <w:tcPr>
            <w:tcW w:w="3742" w:type="dxa"/>
          </w:tcPr>
          <w:p w14:paraId="0F38B660">
            <w:pPr>
              <w:spacing w:after="0" w:line="240" w:lineRule="auto"/>
            </w:pPr>
            <w:r>
              <w:rPr>
                <w:sz w:val="19"/>
              </w:rPr>
              <w:t>Quyền lợi (Điều 8), loại trừ (Điều 10), cân nhắc 21 ngày (Điều 4), miễn truy xét 24 tháng (Điều 6), kê khai (Điều 11.2)</w:t>
            </w:r>
          </w:p>
        </w:tc>
      </w:tr>
      <w:tr w14:paraId="6AE42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9C23042">
            <w:pPr>
              <w:spacing w:after="0" w:line="240" w:lineRule="auto"/>
            </w:pPr>
            <w:r>
              <w:rPr>
                <w:sz w:val="19"/>
              </w:rPr>
              <w:t>A. Quy tắc, điều khoản sản phẩm</w:t>
            </w:r>
          </w:p>
        </w:tc>
        <w:tc>
          <w:tcPr>
            <w:tcW w:w="4649" w:type="dxa"/>
          </w:tcPr>
          <w:p w14:paraId="48D49245">
            <w:pPr>
              <w:spacing w:after="0" w:line="240" w:lineRule="auto"/>
            </w:pPr>
            <w:r>
              <w:rPr>
                <w:sz w:val="19"/>
              </w:rPr>
              <w:t>PRU-An Tâm Bảo Tín, kế hoạch A, quy tắc điều khoản (https://www.prudential.com.vn/export/sites/prudential-vn/vi/.thu-vien/pdf/tai-lieu-bieu-mau/2021/pru-an-tam-bao-tin-ke-hoach-a-tnc.pdf). Nội dung là bảo hiểm tử kỳ giảm dần cho người đi vay</w:t>
            </w:r>
          </w:p>
        </w:tc>
        <w:tc>
          <w:tcPr>
            <w:tcW w:w="2721" w:type="dxa"/>
          </w:tcPr>
          <w:p w14:paraId="783BD341">
            <w:pPr>
              <w:spacing w:after="0" w:line="240" w:lineRule="auto"/>
            </w:pPr>
            <w:r>
              <w:rPr>
                <w:sz w:val="19"/>
              </w:rPr>
              <w:t>CV 11307/BTC-QLBH (17/09/2020); không thấy mã phiên bản. Nằm trong danh sách "đang bán"</w:t>
            </w:r>
          </w:p>
        </w:tc>
        <w:tc>
          <w:tcPr>
            <w:tcW w:w="1928" w:type="dxa"/>
          </w:tcPr>
          <w:p w14:paraId="50B5C66D">
            <w:pPr>
              <w:spacing w:after="0" w:line="240" w:lineRule="auto"/>
            </w:pPr>
            <w:r>
              <w:rPr>
                <w:sz w:val="19"/>
              </w:rPr>
              <w:t>Đã mở, đầy đủ</w:t>
            </w:r>
          </w:p>
        </w:tc>
        <w:tc>
          <w:tcPr>
            <w:tcW w:w="3742" w:type="dxa"/>
          </w:tcPr>
          <w:p w14:paraId="6389D2AF">
            <w:pPr>
              <w:spacing w:after="0" w:line="240" w:lineRule="auto"/>
            </w:pPr>
            <w:r>
              <w:rPr>
                <w:sz w:val="19"/>
              </w:rPr>
              <w:t>Quyền lợi (Điều 7), thủ tục giải quyết (Điều 8: hồ sơ, hạn yêu cầu 12 tháng, xử lý 30 ngày), loại trừ (Điều 9), kê khai (Điều 10), cân nhắc 21 ngày (Điều 4)</w:t>
            </w:r>
          </w:p>
        </w:tc>
      </w:tr>
      <w:tr w14:paraId="4AD2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78538782">
            <w:pPr>
              <w:spacing w:after="0" w:line="240" w:lineRule="auto"/>
            </w:pPr>
            <w:r>
              <w:rPr>
                <w:sz w:val="19"/>
              </w:rPr>
              <w:t>A. Quy tắc, điều khoản sản phẩm</w:t>
            </w:r>
          </w:p>
        </w:tc>
        <w:tc>
          <w:tcPr>
            <w:tcW w:w="4649" w:type="dxa"/>
          </w:tcPr>
          <w:p w14:paraId="3CEF23D0">
            <w:pPr>
              <w:spacing w:after="0" w:line="240" w:lineRule="auto"/>
            </w:pPr>
            <w:r>
              <w:rPr>
                <w:sz w:val="19"/>
              </w:rPr>
              <w:t>Các sản phẩm đang bán khác: PRU-BẢO VỆ TỐI ĐA 2.0, PRU-YÊN TÂM VUI KHỎE, PRU-ĐẦU TƯ VỮNG TIẾN, PRU-NĂNG ĐỘNG, PRU-BẢO VỆ 24/7, PRU-EASY365 (trang Tài liệu và biểu mẫu)</w:t>
            </w:r>
          </w:p>
        </w:tc>
        <w:tc>
          <w:tcPr>
            <w:tcW w:w="2721" w:type="dxa"/>
          </w:tcPr>
          <w:p w14:paraId="58F0B4BE">
            <w:pPr>
              <w:spacing w:after="0" w:line="240" w:lineRule="auto"/>
            </w:pPr>
            <w:r>
              <w:rPr>
                <w:sz w:val="19"/>
              </w:rPr>
              <w:t>Theo từng sản phẩm</w:t>
            </w:r>
          </w:p>
        </w:tc>
        <w:tc>
          <w:tcPr>
            <w:tcW w:w="1928" w:type="dxa"/>
          </w:tcPr>
          <w:p w14:paraId="39CC53B1">
            <w:pPr>
              <w:spacing w:after="0" w:line="240" w:lineRule="auto"/>
            </w:pPr>
            <w:r>
              <w:rPr>
                <w:sz w:val="19"/>
              </w:rPr>
              <w:t>Chưa mở</w:t>
            </w:r>
          </w:p>
        </w:tc>
        <w:tc>
          <w:tcPr>
            <w:tcW w:w="3742" w:type="dxa"/>
          </w:tcPr>
          <w:p w14:paraId="0FDEA897">
            <w:pPr>
              <w:spacing w:after="0" w:line="240" w:lineRule="auto"/>
            </w:pPr>
            <w:r>
              <w:rPr>
                <w:sz w:val="19"/>
              </w:rPr>
              <w:t>Ứng viên cho sản phẩm baseline nếu nhóm muốn chọn sản phẩm còn bán. Phần lớn có bảng minh họa, một số không có</w:t>
            </w:r>
          </w:p>
        </w:tc>
      </w:tr>
      <w:tr w14:paraId="1101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68152DD">
            <w:pPr>
              <w:spacing w:after="0" w:line="240" w:lineRule="auto"/>
            </w:pPr>
            <w:r>
              <w:rPr>
                <w:sz w:val="19"/>
              </w:rPr>
              <w:t>B. Biểu mẫu</w:t>
            </w:r>
          </w:p>
        </w:tc>
        <w:tc>
          <w:tcPr>
            <w:tcW w:w="4649" w:type="dxa"/>
          </w:tcPr>
          <w:p w14:paraId="401594FE">
            <w:pPr>
              <w:spacing w:after="0" w:line="240" w:lineRule="auto"/>
            </w:pPr>
            <w:r>
              <w:rPr>
                <w:sz w:val="19"/>
              </w:rPr>
              <w:t>Hồ sơ yêu cầu bảo hiểm nhân thọ (https://www.prudential.com.vn/content/dam/prudential-aem-lbu/pva/vi_VN/pdf/bieu-mau/hsycbhnt-mau-15.pdf)</w:t>
            </w:r>
          </w:p>
        </w:tc>
        <w:tc>
          <w:tcPr>
            <w:tcW w:w="2721" w:type="dxa"/>
          </w:tcPr>
          <w:p w14:paraId="0C636657">
            <w:pPr>
              <w:spacing w:after="0" w:line="240" w:lineRule="auto"/>
            </w:pPr>
            <w:r>
              <w:rPr>
                <w:sz w:val="19"/>
              </w:rPr>
              <w:t>V.07/2025, hiệu lực từ 01/07/2025; bản mẫu (SAMPLE)</w:t>
            </w:r>
          </w:p>
        </w:tc>
        <w:tc>
          <w:tcPr>
            <w:tcW w:w="1928" w:type="dxa"/>
          </w:tcPr>
          <w:p w14:paraId="019526CB">
            <w:pPr>
              <w:spacing w:after="0" w:line="240" w:lineRule="auto"/>
            </w:pPr>
            <w:r>
              <w:rPr>
                <w:sz w:val="19"/>
              </w:rPr>
              <w:t>Đã mở</w:t>
            </w:r>
          </w:p>
        </w:tc>
        <w:tc>
          <w:tcPr>
            <w:tcW w:w="3742" w:type="dxa"/>
          </w:tcPr>
          <w:p w14:paraId="1DD4AE96">
            <w:pPr>
              <w:spacing w:after="0" w:line="240" w:lineRule="auto"/>
            </w:pPr>
            <w:r>
              <w:rPr>
                <w:sz w:val="19"/>
              </w:rPr>
              <w:t>Mục H: 4 rủi ro khi thay thế hợp đồng. Mục J: 13 cam kết của khách (hiểu sản phẩm, kê khai trung thực, thông tin ngoài hồ sơ không ràng buộc, cân nhắc tính từ ngày ký nhận bản giấy). Mục K: cam kết của tư vấn viên. Mục B: 11 câu hỏi sức khỏe, dùng để viết scenario khai thác thông tin</w:t>
            </w:r>
          </w:p>
        </w:tc>
      </w:tr>
      <w:tr w14:paraId="38E1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3419B6F1">
            <w:pPr>
              <w:spacing w:after="0" w:line="240" w:lineRule="auto"/>
            </w:pPr>
            <w:r>
              <w:rPr>
                <w:sz w:val="19"/>
              </w:rPr>
              <w:t>C. Chính sách ứng xử</w:t>
            </w:r>
          </w:p>
        </w:tc>
        <w:tc>
          <w:tcPr>
            <w:tcW w:w="4649" w:type="dxa"/>
          </w:tcPr>
          <w:p w14:paraId="5AB26A12">
            <w:pPr>
              <w:spacing w:after="0" w:line="240" w:lineRule="auto"/>
            </w:pPr>
            <w:r>
              <w:rPr>
                <w:sz w:val="19"/>
              </w:rPr>
              <w:t>Chính sách chung bảo vệ quyền lợi khách hàng dễ bị tổn thương (https://www.prudential.com.vn/export/sites/prudential-vn/vi/.thu-vien/pdf/ve-prudential/chinh-sach-chung-cua-prudential-de-bao-ve-quyen-loi-khach-hang-de-bi-ton-thuong-v2025-1.pdf)</w:t>
            </w:r>
          </w:p>
        </w:tc>
        <w:tc>
          <w:tcPr>
            <w:tcW w:w="2721" w:type="dxa"/>
          </w:tcPr>
          <w:p w14:paraId="3022BC76">
            <w:pPr>
              <w:spacing w:after="0" w:line="240" w:lineRule="auto"/>
            </w:pPr>
            <w:r>
              <w:rPr>
                <w:sz w:val="19"/>
              </w:rPr>
              <w:t>V2025.1, hiệu lực từ 05/06/2025</w:t>
            </w:r>
          </w:p>
        </w:tc>
        <w:tc>
          <w:tcPr>
            <w:tcW w:w="1928" w:type="dxa"/>
          </w:tcPr>
          <w:p w14:paraId="640EC214">
            <w:pPr>
              <w:spacing w:after="0" w:line="240" w:lineRule="auto"/>
            </w:pPr>
            <w:r>
              <w:rPr>
                <w:sz w:val="19"/>
              </w:rPr>
              <w:t>Đã mở</w:t>
            </w:r>
          </w:p>
        </w:tc>
        <w:tc>
          <w:tcPr>
            <w:tcW w:w="3742" w:type="dxa"/>
          </w:tcPr>
          <w:p w14:paraId="0A422442">
            <w:pPr>
              <w:spacing w:after="0" w:line="240" w:lineRule="auto"/>
            </w:pPr>
            <w:r>
              <w:rPr>
                <w:sz w:val="19"/>
              </w:rPr>
              <w:t>8 nhóm khách hàng dễ bị tổn thương (người từ 60 tuổi, trẻ em dưới 16 tuổi, người khuyết tật, người không biết chữ...) và cách xử lý khiếu nại (xác nhận trong 24 giờ). Hai lần đọc cho kết quả khác nhau về việc tài liệu có quy định riêng cho tư vấn viên hay không, nên cần đọc file gốc trước khi dùng làm tiêu chí hành vi tư vấn</w:t>
            </w:r>
          </w:p>
        </w:tc>
      </w:tr>
      <w:tr w14:paraId="4CEC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00D43C9A">
            <w:pPr>
              <w:spacing w:after="0" w:line="240" w:lineRule="auto"/>
            </w:pPr>
            <w:r>
              <w:rPr>
                <w:sz w:val="19"/>
              </w:rPr>
              <w:t>D. Cam kết giải quyết quyền lợi</w:t>
            </w:r>
          </w:p>
        </w:tc>
        <w:tc>
          <w:tcPr>
            <w:tcW w:w="4649" w:type="dxa"/>
          </w:tcPr>
          <w:p w14:paraId="1EA985AF">
            <w:pPr>
              <w:spacing w:after="0" w:line="240" w:lineRule="auto"/>
            </w:pPr>
            <w:r>
              <w:rPr>
                <w:sz w:val="19"/>
              </w:rPr>
              <w:t>Cam kết từ Prudential (https://www.prudential.com.vn/vi/cham-soc-khach-hang/giai-quyet-quyen-loi-bao-hiem/cam-ket-tu-prudential/)</w:t>
            </w:r>
          </w:p>
        </w:tc>
        <w:tc>
          <w:tcPr>
            <w:tcW w:w="2721" w:type="dxa"/>
          </w:tcPr>
          <w:p w14:paraId="212A339D">
            <w:pPr>
              <w:spacing w:after="0" w:line="240" w:lineRule="auto"/>
            </w:pPr>
            <w:r>
              <w:rPr>
                <w:sz w:val="19"/>
              </w:rPr>
              <w:t>Trang web, không ghi phiên bản</w:t>
            </w:r>
          </w:p>
        </w:tc>
        <w:tc>
          <w:tcPr>
            <w:tcW w:w="1928" w:type="dxa"/>
          </w:tcPr>
          <w:p w14:paraId="731D5D20">
            <w:pPr>
              <w:spacing w:after="0" w:line="240" w:lineRule="auto"/>
            </w:pPr>
            <w:r>
              <w:rPr>
                <w:sz w:val="19"/>
              </w:rPr>
              <w:t>Đã mở</w:t>
            </w:r>
          </w:p>
        </w:tc>
        <w:tc>
          <w:tcPr>
            <w:tcW w:w="3742" w:type="dxa"/>
          </w:tcPr>
          <w:p w14:paraId="1BF3286B">
            <w:pPr>
              <w:spacing w:after="0" w:line="240" w:lineRule="auto"/>
            </w:pPr>
            <w:r>
              <w:rPr>
                <w:sz w:val="19"/>
              </w:rPr>
              <w:t>5 cam kết. Thời hạn: quyết định trung bình 3 đến 5 ngày, không quá 30 ngày kể từ khi nhận đủ chứng từ; phản hồi bổ sung chứng từ trong 3 ngày. Dùng để kiểm tra tư vấn viên không hứa sai thời gian chi trả</w:t>
            </w:r>
          </w:p>
        </w:tc>
      </w:tr>
      <w:tr w14:paraId="37BA4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CF15393">
            <w:pPr>
              <w:spacing w:after="0" w:line="240" w:lineRule="auto"/>
            </w:pPr>
            <w:r>
              <w:rPr>
                <w:sz w:val="19"/>
              </w:rPr>
              <w:t>E. Bảo mật dữ liệu</w:t>
            </w:r>
          </w:p>
        </w:tc>
        <w:tc>
          <w:tcPr>
            <w:tcW w:w="4649" w:type="dxa"/>
          </w:tcPr>
          <w:p w14:paraId="436F24F0">
            <w:pPr>
              <w:spacing w:after="0" w:line="240" w:lineRule="auto"/>
            </w:pPr>
            <w:r>
              <w:rPr>
                <w:sz w:val="19"/>
              </w:rPr>
              <w:t>Chính sách bảo mật thông tin (https://www.prudential.com.vn/export/sites/prudential-vn/vi/.thu-vien/pdf/ve-prudential/chinh-sach-bao-mat-v2026-01.pdf)</w:t>
            </w:r>
          </w:p>
        </w:tc>
        <w:tc>
          <w:tcPr>
            <w:tcW w:w="2721" w:type="dxa"/>
          </w:tcPr>
          <w:p w14:paraId="4C25CCE1">
            <w:pPr>
              <w:spacing w:after="0" w:line="240" w:lineRule="auto"/>
            </w:pPr>
            <w:r>
              <w:rPr>
                <w:sz w:val="19"/>
              </w:rPr>
              <w:t>V2026.01, hiệu lực từ 01/01/2026</w:t>
            </w:r>
          </w:p>
        </w:tc>
        <w:tc>
          <w:tcPr>
            <w:tcW w:w="1928" w:type="dxa"/>
          </w:tcPr>
          <w:p w14:paraId="7D3CF685">
            <w:pPr>
              <w:spacing w:after="0" w:line="240" w:lineRule="auto"/>
            </w:pPr>
            <w:r>
              <w:rPr>
                <w:sz w:val="19"/>
              </w:rPr>
              <w:t>Đã mở</w:t>
            </w:r>
          </w:p>
        </w:tc>
        <w:tc>
          <w:tcPr>
            <w:tcW w:w="3742" w:type="dxa"/>
          </w:tcPr>
          <w:p w14:paraId="6397298A">
            <w:pPr>
              <w:spacing w:after="0" w:line="240" w:lineRule="auto"/>
            </w:pPr>
            <w:r>
              <w:rPr>
                <w:sz w:val="19"/>
              </w:rPr>
              <w:t>Có phần F về dùng AI và xử lý tự động. Không nêu rõ ghi âm cuộc gọi hay xử lý dữ liệu giọng nói (chỉ nhắc lịch sử cuộc gọi tổng đài và CCTV). Dùng để lưu ý khi xử lý audio, không dùng làm tiêu chí chấm</w:t>
            </w:r>
          </w:p>
        </w:tc>
      </w:tr>
      <w:tr w14:paraId="22B76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17DFFF0D">
            <w:pPr>
              <w:spacing w:after="0" w:line="240" w:lineRule="auto"/>
            </w:pPr>
            <w:r>
              <w:rPr>
                <w:sz w:val="19"/>
              </w:rPr>
              <w:t>F. Hướng dẫn dịch vụ</w:t>
            </w:r>
          </w:p>
        </w:tc>
        <w:tc>
          <w:tcPr>
            <w:tcW w:w="4649" w:type="dxa"/>
          </w:tcPr>
          <w:p w14:paraId="7901CB71">
            <w:pPr>
              <w:spacing w:after="0" w:line="240" w:lineRule="auto"/>
            </w:pPr>
            <w:r>
              <w:rPr>
                <w:sz w:val="19"/>
              </w:rPr>
              <w:t>Hướng dẫn gửi yêu cầu qua PRUOnline App; hướng dẫn bổ sung chứng từ</w:t>
            </w:r>
          </w:p>
        </w:tc>
        <w:tc>
          <w:tcPr>
            <w:tcW w:w="2721" w:type="dxa"/>
          </w:tcPr>
          <w:p w14:paraId="2E6B1E2E">
            <w:pPr>
              <w:spacing w:after="0" w:line="240" w:lineRule="auto"/>
            </w:pPr>
            <w:r>
              <w:rPr>
                <w:sz w:val="19"/>
              </w:rPr>
              <w:t>Chưa rõ</w:t>
            </w:r>
          </w:p>
        </w:tc>
        <w:tc>
          <w:tcPr>
            <w:tcW w:w="1928" w:type="dxa"/>
          </w:tcPr>
          <w:p w14:paraId="5DDAC2F5">
            <w:pPr>
              <w:spacing w:after="0" w:line="240" w:lineRule="auto"/>
            </w:pPr>
            <w:r>
              <w:rPr>
                <w:sz w:val="19"/>
              </w:rPr>
              <w:t>Chưa mở</w:t>
            </w:r>
          </w:p>
        </w:tc>
        <w:tc>
          <w:tcPr>
            <w:tcW w:w="3742" w:type="dxa"/>
          </w:tcPr>
          <w:p w14:paraId="59DC6A8F">
            <w:pPr>
              <w:spacing w:after="0" w:line="240" w:lineRule="auto"/>
            </w:pPr>
            <w:r>
              <w:rPr>
                <w:sz w:val="19"/>
              </w:rPr>
              <w:t>Có thể dùng cho scenario khách hỏi cách yêu cầu quyền lợi</w:t>
            </w:r>
          </w:p>
        </w:tc>
      </w:tr>
      <w:tr w14:paraId="6BE9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tcPr>
          <w:p w14:paraId="2C04D553">
            <w:pPr>
              <w:spacing w:after="0" w:line="240" w:lineRule="auto"/>
            </w:pPr>
            <w:r>
              <w:rPr>
                <w:sz w:val="19"/>
              </w:rPr>
              <w:t>G. Báo cáo tài chính</w:t>
            </w:r>
          </w:p>
        </w:tc>
        <w:tc>
          <w:tcPr>
            <w:tcW w:w="4649" w:type="dxa"/>
          </w:tcPr>
          <w:p w14:paraId="0229FD71">
            <w:pPr>
              <w:spacing w:after="0" w:line="240" w:lineRule="auto"/>
            </w:pPr>
            <w:r>
              <w:rPr>
                <w:sz w:val="19"/>
              </w:rPr>
              <w:t>Báo cáo tài chính riêng 2024; báo cáo tài chính giữa niên độ 2026</w:t>
            </w:r>
          </w:p>
        </w:tc>
        <w:tc>
          <w:tcPr>
            <w:tcW w:w="2721" w:type="dxa"/>
          </w:tcPr>
          <w:p w14:paraId="4CD4955F">
            <w:pPr>
              <w:spacing w:after="0" w:line="240" w:lineRule="auto"/>
            </w:pPr>
            <w:r>
              <w:rPr>
                <w:sz w:val="19"/>
              </w:rPr>
              <w:t>2024; giữa năm 2026</w:t>
            </w:r>
          </w:p>
        </w:tc>
        <w:tc>
          <w:tcPr>
            <w:tcW w:w="1928" w:type="dxa"/>
          </w:tcPr>
          <w:p w14:paraId="0B70D384">
            <w:pPr>
              <w:spacing w:after="0" w:line="240" w:lineRule="auto"/>
            </w:pPr>
            <w:r>
              <w:rPr>
                <w:sz w:val="19"/>
              </w:rPr>
              <w:t>Đã thử mở, file không có văn bản đọc được (cần OCR)</w:t>
            </w:r>
          </w:p>
        </w:tc>
        <w:tc>
          <w:tcPr>
            <w:tcW w:w="3742" w:type="dxa"/>
          </w:tcPr>
          <w:p w14:paraId="3E45F8A0">
            <w:pPr>
              <w:spacing w:after="0" w:line="240" w:lineRule="auto"/>
            </w:pPr>
            <w:r>
              <w:rPr>
                <w:sz w:val="19"/>
              </w:rPr>
              <w:t>Không cần cho checklist tư vấn. Chỉ tham khảo khi cần số liệu doanh nghiệp</w:t>
            </w:r>
          </w:p>
        </w:tc>
      </w:tr>
    </w:tbl>
    <w:p w14:paraId="63D83D23"/>
    <w:p w14:paraId="63C467DD">
      <w:pPr>
        <w:pStyle w:val="2"/>
      </w:pPr>
      <w:r>
        <w:rPr>
          <w:rFonts w:hint="default"/>
          <w:lang w:val="en-US"/>
        </w:rPr>
        <w:t>3</w:t>
      </w:r>
      <w:r>
        <w:t>. Nội dung có thể chuyển thành tiêu chí đánh giá</w:t>
      </w:r>
    </w:p>
    <w:p w14:paraId="2AD3DDCD">
      <w:r>
        <w:rPr>
          <w:b w:val="0"/>
        </w:rPr>
        <w:t>Đây là danh sách nguồn để viết tiêu chí sau. Chưa phải tiêu chí cụ thể, vì cần chốt sản phẩm baseline trước.</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1"/>
        <w:gridCol w:w="5985"/>
        <w:gridCol w:w="5020"/>
      </w:tblGrid>
      <w:tr w14:paraId="55CF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shd w:val="clear" w:color="auto" w:fill="D9E2F3"/>
          </w:tcPr>
          <w:p w14:paraId="5C70ABE0">
            <w:pPr>
              <w:spacing w:after="0" w:line="240" w:lineRule="auto"/>
            </w:pPr>
            <w:r>
              <w:rPr>
                <w:b/>
                <w:sz w:val="19"/>
              </w:rPr>
              <w:t>Nhóm nội dung</w:t>
            </w:r>
          </w:p>
        </w:tc>
        <w:tc>
          <w:tcPr>
            <w:tcW w:w="6236" w:type="dxa"/>
            <w:shd w:val="clear" w:color="auto" w:fill="D9E2F3"/>
          </w:tcPr>
          <w:p w14:paraId="40D84E83">
            <w:pPr>
              <w:spacing w:after="0" w:line="240" w:lineRule="auto"/>
            </w:pPr>
            <w:r>
              <w:rPr>
                <w:b/>
                <w:sz w:val="19"/>
              </w:rPr>
              <w:t>Điều cần kiểm tra khi nghe cuộc tư vấn</w:t>
            </w:r>
          </w:p>
        </w:tc>
        <w:tc>
          <w:tcPr>
            <w:tcW w:w="5216" w:type="dxa"/>
            <w:shd w:val="clear" w:color="auto" w:fill="D9E2F3"/>
          </w:tcPr>
          <w:p w14:paraId="66F9C5C1">
            <w:pPr>
              <w:spacing w:after="0" w:line="240" w:lineRule="auto"/>
            </w:pPr>
            <w:r>
              <w:rPr>
                <w:b/>
                <w:sz w:val="19"/>
              </w:rPr>
              <w:t>Căn cứ</w:t>
            </w:r>
          </w:p>
        </w:tc>
      </w:tr>
      <w:tr w14:paraId="7600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59EAC714">
            <w:pPr>
              <w:spacing w:after="0" w:line="240" w:lineRule="auto"/>
            </w:pPr>
            <w:r>
              <w:rPr>
                <w:sz w:val="19"/>
              </w:rPr>
              <w:t>Quyền lợi và mức chi trả</w:t>
            </w:r>
          </w:p>
        </w:tc>
        <w:tc>
          <w:tcPr>
            <w:tcW w:w="6236" w:type="dxa"/>
          </w:tcPr>
          <w:p w14:paraId="26A5D865">
            <w:pPr>
              <w:spacing w:after="0" w:line="240" w:lineRule="auto"/>
            </w:pPr>
            <w:r>
              <w:rPr>
                <w:sz w:val="19"/>
              </w:rPr>
              <w:t>Tư vấn viên nêu đúng quyền lợi và tỷ lệ chi trả của sản phẩm</w:t>
            </w:r>
          </w:p>
        </w:tc>
        <w:tc>
          <w:tcPr>
            <w:tcW w:w="5216" w:type="dxa"/>
          </w:tcPr>
          <w:p w14:paraId="1D168415">
            <w:pPr>
              <w:spacing w:after="0" w:line="240" w:lineRule="auto"/>
            </w:pPr>
            <w:r>
              <w:rPr>
                <w:sz w:val="19"/>
              </w:rPr>
              <w:t>Quy tắc sản phẩm, Điều 7 hoặc 8</w:t>
            </w:r>
          </w:p>
        </w:tc>
      </w:tr>
      <w:tr w14:paraId="4EE4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2D1C205">
            <w:pPr>
              <w:spacing w:after="0" w:line="240" w:lineRule="auto"/>
            </w:pPr>
            <w:r>
              <w:rPr>
                <w:sz w:val="19"/>
              </w:rPr>
              <w:t>Loại trừ</w:t>
            </w:r>
          </w:p>
        </w:tc>
        <w:tc>
          <w:tcPr>
            <w:tcW w:w="6236" w:type="dxa"/>
          </w:tcPr>
          <w:p w14:paraId="3313BB8B">
            <w:pPr>
              <w:spacing w:after="0" w:line="240" w:lineRule="auto"/>
            </w:pPr>
            <w:r>
              <w:rPr>
                <w:sz w:val="19"/>
              </w:rPr>
              <w:t>Có nêu các trường hợp loại trừ, không nói sai</w:t>
            </w:r>
          </w:p>
        </w:tc>
        <w:tc>
          <w:tcPr>
            <w:tcW w:w="5216" w:type="dxa"/>
          </w:tcPr>
          <w:p w14:paraId="49DDC3A5">
            <w:pPr>
              <w:spacing w:after="0" w:line="240" w:lineRule="auto"/>
            </w:pPr>
            <w:r>
              <w:rPr>
                <w:sz w:val="19"/>
              </w:rPr>
              <w:t>Quy tắc sản phẩm, Điều 9 hoặc 10</w:t>
            </w:r>
          </w:p>
        </w:tc>
      </w:tr>
      <w:tr w14:paraId="289A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179BCA5">
            <w:pPr>
              <w:spacing w:after="0" w:line="240" w:lineRule="auto"/>
            </w:pPr>
            <w:r>
              <w:rPr>
                <w:sz w:val="19"/>
              </w:rPr>
              <w:t>Thời gian cân nhắc 21 ngày</w:t>
            </w:r>
          </w:p>
        </w:tc>
        <w:tc>
          <w:tcPr>
            <w:tcW w:w="6236" w:type="dxa"/>
          </w:tcPr>
          <w:p w14:paraId="3CF155AE">
            <w:pPr>
              <w:spacing w:after="0" w:line="240" w:lineRule="auto"/>
            </w:pPr>
            <w:r>
              <w:rPr>
                <w:sz w:val="19"/>
              </w:rPr>
              <w:t>Có nhắc quyền cân nhắc và cách tính</w:t>
            </w:r>
          </w:p>
        </w:tc>
        <w:tc>
          <w:tcPr>
            <w:tcW w:w="5216" w:type="dxa"/>
          </w:tcPr>
          <w:p w14:paraId="3F0AD776">
            <w:pPr>
              <w:spacing w:after="0" w:line="240" w:lineRule="auto"/>
            </w:pPr>
            <w:r>
              <w:rPr>
                <w:sz w:val="19"/>
              </w:rPr>
              <w:t>Quy tắc Điều 4; Hồ sơ yêu cầu mục J.2</w:t>
            </w:r>
          </w:p>
        </w:tc>
      </w:tr>
      <w:tr w14:paraId="4357F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36223317">
            <w:pPr>
              <w:spacing w:after="0" w:line="240" w:lineRule="auto"/>
            </w:pPr>
            <w:r>
              <w:rPr>
                <w:sz w:val="19"/>
              </w:rPr>
              <w:t>Kê khai trung thực</w:t>
            </w:r>
          </w:p>
        </w:tc>
        <w:tc>
          <w:tcPr>
            <w:tcW w:w="6236" w:type="dxa"/>
          </w:tcPr>
          <w:p w14:paraId="7307928D">
            <w:pPr>
              <w:spacing w:after="0" w:line="240" w:lineRule="auto"/>
            </w:pPr>
            <w:r>
              <w:rPr>
                <w:sz w:val="19"/>
              </w:rPr>
              <w:t>Có nhắc nghĩa vụ kê khai; không khuyên bỏ qua bệnh có sẵn</w:t>
            </w:r>
          </w:p>
        </w:tc>
        <w:tc>
          <w:tcPr>
            <w:tcW w:w="5216" w:type="dxa"/>
          </w:tcPr>
          <w:p w14:paraId="79209BFE">
            <w:pPr>
              <w:spacing w:after="0" w:line="240" w:lineRule="auto"/>
            </w:pPr>
            <w:r>
              <w:rPr>
                <w:sz w:val="19"/>
              </w:rPr>
              <w:t>Edu Saver Điều 11.2.a; An Tâm Bảo Tín Điều 10.2.a; Hồ sơ J.1, J.5</w:t>
            </w:r>
          </w:p>
        </w:tc>
      </w:tr>
      <w:tr w14:paraId="2306E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AEAC1FC">
            <w:pPr>
              <w:spacing w:after="0" w:line="240" w:lineRule="auto"/>
            </w:pPr>
            <w:r>
              <w:rPr>
                <w:sz w:val="19"/>
              </w:rPr>
              <w:t>Miễn truy xét</w:t>
            </w:r>
          </w:p>
        </w:tc>
        <w:tc>
          <w:tcPr>
            <w:tcW w:w="6236" w:type="dxa"/>
          </w:tcPr>
          <w:p w14:paraId="3C1FF13F">
            <w:pPr>
              <w:spacing w:after="0" w:line="240" w:lineRule="auto"/>
            </w:pPr>
            <w:r>
              <w:rPr>
                <w:sz w:val="19"/>
              </w:rPr>
              <w:t>Nêu đúng điều kiện (24 tháng), không hứa rộng hơn</w:t>
            </w:r>
          </w:p>
        </w:tc>
        <w:tc>
          <w:tcPr>
            <w:tcW w:w="5216" w:type="dxa"/>
          </w:tcPr>
          <w:p w14:paraId="0871BC97">
            <w:pPr>
              <w:spacing w:after="0" w:line="240" w:lineRule="auto"/>
            </w:pPr>
            <w:r>
              <w:rPr>
                <w:sz w:val="19"/>
              </w:rPr>
              <w:t>Quy tắc Edu Saver Điều 6</w:t>
            </w:r>
          </w:p>
        </w:tc>
      </w:tr>
      <w:tr w14:paraId="6BAFC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19B298C7">
            <w:pPr>
              <w:spacing w:after="0" w:line="240" w:lineRule="auto"/>
            </w:pPr>
            <w:r>
              <w:rPr>
                <w:sz w:val="19"/>
              </w:rPr>
              <w:t>Thay thế hợp đồng</w:t>
            </w:r>
          </w:p>
        </w:tc>
        <w:tc>
          <w:tcPr>
            <w:tcW w:w="6236" w:type="dxa"/>
          </w:tcPr>
          <w:p w14:paraId="74A9CEB1">
            <w:pPr>
              <w:spacing w:after="0" w:line="240" w:lineRule="auto"/>
            </w:pPr>
            <w:r>
              <w:rPr>
                <w:sz w:val="19"/>
              </w:rPr>
              <w:t>Nêu rủi ro khi thay hợp đồng đang có</w:t>
            </w:r>
          </w:p>
        </w:tc>
        <w:tc>
          <w:tcPr>
            <w:tcW w:w="5216" w:type="dxa"/>
          </w:tcPr>
          <w:p w14:paraId="3665D777">
            <w:pPr>
              <w:spacing w:after="0" w:line="240" w:lineRule="auto"/>
            </w:pPr>
            <w:r>
              <w:rPr>
                <w:sz w:val="19"/>
              </w:rPr>
              <w:t>Hồ sơ yêu cầu mục H</w:t>
            </w:r>
          </w:p>
        </w:tc>
      </w:tr>
      <w:tr w14:paraId="3ABF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FB8765B">
            <w:pPr>
              <w:spacing w:after="0" w:line="240" w:lineRule="auto"/>
            </w:pPr>
            <w:r>
              <w:rPr>
                <w:sz w:val="19"/>
              </w:rPr>
              <w:t>Thông tin ngoài hồ sơ</w:t>
            </w:r>
          </w:p>
        </w:tc>
        <w:tc>
          <w:tcPr>
            <w:tcW w:w="6236" w:type="dxa"/>
          </w:tcPr>
          <w:p w14:paraId="2B081B0C">
            <w:pPr>
              <w:spacing w:after="0" w:line="240" w:lineRule="auto"/>
            </w:pPr>
            <w:r>
              <w:rPr>
                <w:sz w:val="19"/>
              </w:rPr>
              <w:t>Không đưa cam kết miệng ngoài tài liệu</w:t>
            </w:r>
          </w:p>
        </w:tc>
        <w:tc>
          <w:tcPr>
            <w:tcW w:w="5216" w:type="dxa"/>
          </w:tcPr>
          <w:p w14:paraId="0EB5A200">
            <w:pPr>
              <w:spacing w:after="0" w:line="240" w:lineRule="auto"/>
            </w:pPr>
            <w:r>
              <w:rPr>
                <w:sz w:val="19"/>
              </w:rPr>
              <w:t>Hồ sơ yêu cầu mục J.12</w:t>
            </w:r>
          </w:p>
        </w:tc>
      </w:tr>
      <w:tr w14:paraId="62F2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4C010214">
            <w:pPr>
              <w:spacing w:after="0" w:line="240" w:lineRule="auto"/>
            </w:pPr>
            <w:r>
              <w:rPr>
                <w:sz w:val="19"/>
              </w:rPr>
              <w:t>Khách dễ bị tổn thương</w:t>
            </w:r>
          </w:p>
        </w:tc>
        <w:tc>
          <w:tcPr>
            <w:tcW w:w="6236" w:type="dxa"/>
          </w:tcPr>
          <w:p w14:paraId="667917DE">
            <w:pPr>
              <w:spacing w:after="0" w:line="240" w:lineRule="auto"/>
            </w:pPr>
            <w:r>
              <w:rPr>
                <w:sz w:val="19"/>
              </w:rPr>
              <w:t>Nhận biết nhóm khách dễ bị tổn thương và giải thích phù hợp</w:t>
            </w:r>
          </w:p>
        </w:tc>
        <w:tc>
          <w:tcPr>
            <w:tcW w:w="5216" w:type="dxa"/>
          </w:tcPr>
          <w:p w14:paraId="6DEFC143">
            <w:pPr>
              <w:spacing w:after="0" w:line="240" w:lineRule="auto"/>
            </w:pPr>
            <w:r>
              <w:rPr>
                <w:sz w:val="19"/>
              </w:rPr>
              <w:t>Chính sách V2025.1 (cần đọc file gốc để xác nhận yêu cầu với tư vấn viên)</w:t>
            </w:r>
          </w:p>
        </w:tc>
      </w:tr>
      <w:tr w14:paraId="1DFA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0593484E">
            <w:pPr>
              <w:spacing w:after="0" w:line="240" w:lineRule="auto"/>
            </w:pPr>
            <w:r>
              <w:rPr>
                <w:sz w:val="19"/>
              </w:rPr>
              <w:t>Thời gian giải quyết quyền lợi</w:t>
            </w:r>
          </w:p>
        </w:tc>
        <w:tc>
          <w:tcPr>
            <w:tcW w:w="6236" w:type="dxa"/>
          </w:tcPr>
          <w:p w14:paraId="530EAD31">
            <w:pPr>
              <w:spacing w:after="0" w:line="240" w:lineRule="auto"/>
            </w:pPr>
            <w:r>
              <w:rPr>
                <w:sz w:val="19"/>
              </w:rPr>
              <w:t>Không hứa sai thời hạn chi trả</w:t>
            </w:r>
          </w:p>
        </w:tc>
        <w:tc>
          <w:tcPr>
            <w:tcW w:w="5216" w:type="dxa"/>
          </w:tcPr>
          <w:p w14:paraId="472EE71C">
            <w:pPr>
              <w:spacing w:after="0" w:line="240" w:lineRule="auto"/>
            </w:pPr>
            <w:r>
              <w:rPr>
                <w:sz w:val="19"/>
              </w:rPr>
              <w:t>Cam kết giải quyết quyền lợi; An Tâm Bảo Tín Điều 8</w:t>
            </w:r>
          </w:p>
        </w:tc>
      </w:tr>
      <w:tr w14:paraId="5414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2DDA2FA6">
            <w:pPr>
              <w:spacing w:after="0" w:line="240" w:lineRule="auto"/>
            </w:pPr>
            <w:r>
              <w:rPr>
                <w:sz w:val="19"/>
              </w:rPr>
              <w:t>Dữ liệu cá nhân</w:t>
            </w:r>
          </w:p>
        </w:tc>
        <w:tc>
          <w:tcPr>
            <w:tcW w:w="6236" w:type="dxa"/>
          </w:tcPr>
          <w:p w14:paraId="527D46D7">
            <w:pPr>
              <w:spacing w:after="0" w:line="240" w:lineRule="auto"/>
            </w:pPr>
            <w:r>
              <w:rPr>
                <w:sz w:val="19"/>
              </w:rPr>
              <w:t>Thông báo việc thu thập, chia sẻ dữ liệu</w:t>
            </w:r>
          </w:p>
        </w:tc>
        <w:tc>
          <w:tcPr>
            <w:tcW w:w="5216" w:type="dxa"/>
          </w:tcPr>
          <w:p w14:paraId="5B31351D">
            <w:pPr>
              <w:spacing w:after="0" w:line="240" w:lineRule="auto"/>
            </w:pPr>
            <w:r>
              <w:rPr>
                <w:sz w:val="19"/>
              </w:rPr>
              <w:t>Hồ sơ J.6, J.9; Chính sách bảo mật V2026.01</w:t>
            </w:r>
          </w:p>
        </w:tc>
      </w:tr>
    </w:tbl>
    <w:p w14:paraId="4DB2531B"/>
    <w:p w14:paraId="46F2E8B0">
      <w:pPr>
        <w:pStyle w:val="2"/>
      </w:pPr>
      <w:r>
        <w:t>Nguồn đã mở</w:t>
      </w:r>
    </w:p>
    <w:p w14:paraId="545F9808">
      <w:pPr>
        <w:pStyle w:val="23"/>
      </w:pPr>
      <w:r>
        <w:t>Trang Tài liệu và biểu mẫu: https://www.prudential.com.vn/vi/cham-soc-khach-hang/tai-lieu-va-bieu-mau/</w:t>
      </w:r>
    </w:p>
    <w:p w14:paraId="39391685">
      <w:pPr>
        <w:pStyle w:val="23"/>
      </w:pPr>
      <w:r>
        <w:t>Cam kết từ Prudential: https://www.prudential.com.vn/vi/cham-soc-khach-hang/giai-quyet-quyen-loi-bao-hiem/cam-ket-tu-prudential/</w:t>
      </w:r>
    </w:p>
    <w:p w14:paraId="1E86216B">
      <w:pPr>
        <w:pStyle w:val="23"/>
      </w:pPr>
      <w:r>
        <w:t>Các tài liệu PDF: xem đường dẫn trong bảng ở mục 2.</w:t>
      </w:r>
    </w:p>
    <w:p w14:paraId="1C01E03B">
      <w:pPr>
        <w:pStyle w:val="2"/>
      </w:pPr>
      <w:r>
        <w:t>Phụ lục. Nội dung các điều khoản</w:t>
      </w:r>
    </w:p>
    <w:p w14:paraId="2B35E5D1">
      <w:r>
        <w:rPr>
          <w:b/>
        </w:rPr>
        <w:t>Ghi theo từng điều, tóm lược sát nội dung tài liệu. Công cụ mình dùng để đọc chỉ trích được các đoạn ngắn, nên đây là diễn giải, chưa phải nguyên văn. Trước khi đưa vào checklist, bạn đối chiếu lại đúng câu chữ trong file gốc. Số điều dưới đây theo lần đọc gần nhất; hai lần đọc Edu Saver cho cách đánh số khác nhau ở Điều 6 và 11.2, nên cũng cần đối chiếu.</w:t>
      </w:r>
    </w:p>
    <w:p w14:paraId="1142461D">
      <w:pPr>
        <w:pStyle w:val="3"/>
      </w:pPr>
      <w:r>
        <w:t>A1. PRU-Edu Saver (V2_072020)</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2073"/>
      </w:tblGrid>
      <w:tr w14:paraId="602B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E2F3"/>
          </w:tcPr>
          <w:p w14:paraId="003C8CEB">
            <w:pPr>
              <w:spacing w:after="0" w:line="240" w:lineRule="auto"/>
            </w:pPr>
            <w:r>
              <w:rPr>
                <w:b/>
                <w:sz w:val="19"/>
              </w:rPr>
              <w:t>Điều, mục</w:t>
            </w:r>
          </w:p>
        </w:tc>
        <w:tc>
          <w:tcPr>
            <w:tcW w:w="12472" w:type="dxa"/>
            <w:shd w:val="clear" w:color="auto" w:fill="D9E2F3"/>
          </w:tcPr>
          <w:p w14:paraId="358A76D9">
            <w:pPr>
              <w:spacing w:after="0" w:line="240" w:lineRule="auto"/>
            </w:pPr>
            <w:r>
              <w:rPr>
                <w:b/>
                <w:sz w:val="19"/>
              </w:rPr>
              <w:t>Nội dung</w:t>
            </w:r>
          </w:p>
        </w:tc>
      </w:tr>
      <w:tr w14:paraId="3EB8D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C0899A9">
            <w:pPr>
              <w:spacing w:after="0" w:line="240" w:lineRule="auto"/>
            </w:pPr>
            <w:r>
              <w:rPr>
                <w:sz w:val="19"/>
              </w:rPr>
              <w:t>Điều 4. Thời hạn cân nhắc</w:t>
            </w:r>
          </w:p>
        </w:tc>
        <w:tc>
          <w:tcPr>
            <w:tcW w:w="12472" w:type="dxa"/>
          </w:tcPr>
          <w:p w14:paraId="00E505B5">
            <w:pPr>
              <w:spacing w:after="0" w:line="240" w:lineRule="auto"/>
            </w:pPr>
            <w:r>
              <w:rPr>
                <w:sz w:val="19"/>
              </w:rPr>
              <w:t>Trong vòng 21 ngày kể từ ngày nhận Hợp đồng, bên mua bảo hiểm được từ chối tiếp tục tham gia, nếu chưa có sự kiện bảo hiểm hoặc yêu cầu giải quyết quyền lợi. Prudential hoàn tổng phí ban đầu đã đóng, không lãi, trừ chi phí xét nghiệm y khoa (nếu có).</w:t>
            </w:r>
          </w:p>
        </w:tc>
      </w:tr>
      <w:tr w14:paraId="7C26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B1055D2">
            <w:pPr>
              <w:spacing w:after="0" w:line="240" w:lineRule="auto"/>
            </w:pPr>
            <w:r>
              <w:rPr>
                <w:sz w:val="19"/>
              </w:rPr>
              <w:t>Điều 6. Miễn truy xét</w:t>
            </w:r>
          </w:p>
        </w:tc>
        <w:tc>
          <w:tcPr>
            <w:tcW w:w="12472" w:type="dxa"/>
          </w:tcPr>
          <w:p w14:paraId="3DDD6A61">
            <w:pPr>
              <w:spacing w:after="0" w:line="240" w:lineRule="auto"/>
            </w:pPr>
            <w:r>
              <w:rPr>
                <w:sz w:val="19"/>
              </w:rPr>
              <w:t>Khi người được bảo hiểm còn sống, sai sót hoặc bỏ sót trong hồ sơ kê khai được miễn truy xét sau 24 tháng kể từ ngày hiệu lực hoặc ngày khôi phục hiệu lực gần nhất. Không áp dụng nếu cố ý kê khai sai.</w:t>
            </w:r>
          </w:p>
        </w:tc>
      </w:tr>
      <w:tr w14:paraId="5113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E38EEC3">
            <w:pPr>
              <w:spacing w:after="0" w:line="240" w:lineRule="auto"/>
            </w:pPr>
            <w:r>
              <w:rPr>
                <w:sz w:val="19"/>
              </w:rPr>
              <w:t>Điều 8.1 Quyền lợi học vấn</w:t>
            </w:r>
          </w:p>
        </w:tc>
        <w:tc>
          <w:tcPr>
            <w:tcW w:w="12472" w:type="dxa"/>
          </w:tcPr>
          <w:p w14:paraId="7E4B8F05">
            <w:pPr>
              <w:spacing w:after="0" w:line="240" w:lineRule="auto"/>
            </w:pPr>
            <w:r>
              <w:rPr>
                <w:sz w:val="19"/>
              </w:rPr>
              <w:t>Tổng 175% Số tiền bảo hiểm, cộng bảo tức đã công bố và lãi chia cuối hợp đồng. Chi trả theo mốc: 25% (4 năm trước khi kết thúc hợp đồng), 30% (3 năm), 35% (2 năm), 40% (1 năm), 45% (ngày kết thúc). Vẫn chi trả dù đã chi trả quyền lợi tử vong, thương tật hoặc bệnh hiểm nghèo trước đó.</w:t>
            </w:r>
          </w:p>
        </w:tc>
      </w:tr>
      <w:tr w14:paraId="378D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7B66DEF">
            <w:pPr>
              <w:spacing w:after="0" w:line="240" w:lineRule="auto"/>
            </w:pPr>
            <w:r>
              <w:rPr>
                <w:sz w:val="19"/>
              </w:rPr>
              <w:t>Điều 8.2 Quà tặng khởi nghiệp</w:t>
            </w:r>
          </w:p>
        </w:tc>
        <w:tc>
          <w:tcPr>
            <w:tcW w:w="12472" w:type="dxa"/>
          </w:tcPr>
          <w:p w14:paraId="319B2EA5">
            <w:pPr>
              <w:spacing w:after="0" w:line="240" w:lineRule="auto"/>
            </w:pPr>
            <w:r>
              <w:rPr>
                <w:sz w:val="19"/>
              </w:rPr>
              <w:t>25% Số tiền bảo hiểm, chi trả một lần vào ngày kết thúc hợp đồng, nếu người được chỉ định (con hoặc cháu ruột của bên mua) tốt nghiệp đại học chính quy tại Việt Nam loại giỏi trở lên.</w:t>
            </w:r>
          </w:p>
        </w:tc>
      </w:tr>
      <w:tr w14:paraId="28AA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5DEDEF5">
            <w:pPr>
              <w:spacing w:after="0" w:line="240" w:lineRule="auto"/>
            </w:pPr>
            <w:r>
              <w:rPr>
                <w:sz w:val="19"/>
              </w:rPr>
              <w:t>Điều 8.3 Tử vong</w:t>
            </w:r>
          </w:p>
        </w:tc>
        <w:tc>
          <w:tcPr>
            <w:tcW w:w="12472" w:type="dxa"/>
          </w:tcPr>
          <w:p w14:paraId="7C7C5AEB">
            <w:pPr>
              <w:spacing w:after="0" w:line="240" w:lineRule="auto"/>
            </w:pPr>
            <w:r>
              <w:rPr>
                <w:sz w:val="19"/>
              </w:rPr>
              <w:t>100% Số tiền bảo hiểm nếu chưa chi trả quyền lợi thương tật hoặc bệnh hiểm nghèo. Tử vong do tai nạn: chi trả thêm tối đa 300% Số tiền bảo hiểm, tổng không quá 3 tỷ đồng.</w:t>
            </w:r>
          </w:p>
        </w:tc>
      </w:tr>
      <w:tr w14:paraId="6CC2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19AE049">
            <w:pPr>
              <w:spacing w:after="0" w:line="240" w:lineRule="auto"/>
            </w:pPr>
            <w:r>
              <w:rPr>
                <w:sz w:val="19"/>
              </w:rPr>
              <w:t>Điều 8.4 Thương tật toàn bộ và vĩnh viễn</w:t>
            </w:r>
          </w:p>
        </w:tc>
        <w:tc>
          <w:tcPr>
            <w:tcW w:w="12472" w:type="dxa"/>
          </w:tcPr>
          <w:p w14:paraId="24D843FA">
            <w:pPr>
              <w:spacing w:after="0" w:line="240" w:lineRule="auto"/>
            </w:pPr>
            <w:r>
              <w:rPr>
                <w:sz w:val="19"/>
              </w:rPr>
              <w:t>100% Số tiền bảo hiểm, nếu chưa chi trả quyền lợi tử vong hoặc bệnh hiểm nghèo.</w:t>
            </w:r>
          </w:p>
        </w:tc>
      </w:tr>
      <w:tr w14:paraId="14B4E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E564BD7">
            <w:pPr>
              <w:spacing w:after="0" w:line="240" w:lineRule="auto"/>
            </w:pPr>
            <w:r>
              <w:rPr>
                <w:sz w:val="19"/>
              </w:rPr>
              <w:t>Điều 8.5 Bệnh hiểm nghèo giai đoạn cuối</w:t>
            </w:r>
          </w:p>
        </w:tc>
        <w:tc>
          <w:tcPr>
            <w:tcW w:w="12472" w:type="dxa"/>
          </w:tcPr>
          <w:p w14:paraId="5943CC6C">
            <w:pPr>
              <w:spacing w:after="0" w:line="240" w:lineRule="auto"/>
            </w:pPr>
            <w:r>
              <w:rPr>
                <w:sz w:val="19"/>
              </w:rPr>
              <w:t>100% Số tiền bảo hiểm, nếu chưa chi trả quyền lợi tử vong hoặc thương tật.</w:t>
            </w:r>
          </w:p>
        </w:tc>
      </w:tr>
      <w:tr w14:paraId="02CC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DBD4AB3">
            <w:pPr>
              <w:spacing w:after="0" w:line="240" w:lineRule="auto"/>
            </w:pPr>
            <w:r>
              <w:rPr>
                <w:sz w:val="19"/>
              </w:rPr>
              <w:t>Điều 8.6, 8.7 Bổ trợ</w:t>
            </w:r>
          </w:p>
        </w:tc>
        <w:tc>
          <w:tcPr>
            <w:tcW w:w="12472" w:type="dxa"/>
          </w:tcPr>
          <w:p w14:paraId="002A9A12">
            <w:pPr>
              <w:spacing w:after="0" w:line="240" w:lineRule="auto"/>
            </w:pPr>
            <w:r>
              <w:rPr>
                <w:sz w:val="19"/>
              </w:rPr>
              <w:t>Bảo hiểm nhân thọ có kỳ hạn miễn phí: bằng một nửa Số tiền bảo hiểm sản phẩm chính, không quá 200 triệu đồng, kéo dài 4 năm sau khi kết thúc thời hạn đóng phí. Trong 60 ngày sau khi hợp đồng kết thúc, người được chỉ định có thể tham gia hợp đồng mới không thẩm định, Số tiền bảo hiểm tối đa 750 triệu đồng.</w:t>
            </w:r>
          </w:p>
        </w:tc>
      </w:tr>
      <w:tr w14:paraId="06EC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7F7815D">
            <w:pPr>
              <w:spacing w:after="0" w:line="240" w:lineRule="auto"/>
            </w:pPr>
            <w:r>
              <w:rPr>
                <w:sz w:val="19"/>
              </w:rPr>
              <w:t>Điều 8.8</w:t>
            </w:r>
          </w:p>
        </w:tc>
        <w:tc>
          <w:tcPr>
            <w:tcW w:w="12472" w:type="dxa"/>
          </w:tcPr>
          <w:p w14:paraId="5AEACC75">
            <w:pPr>
              <w:spacing w:after="0" w:line="240" w:lineRule="auto"/>
            </w:pPr>
            <w:r>
              <w:rPr>
                <w:sz w:val="19"/>
              </w:rPr>
              <w:t>Tổng chi trả cho tử vong (trừ tử vong do tai nạn), thương tật toàn bộ vĩnh viễn và bệnh hiểm nghèo không vượt quá 100% Số tiền bảo hiểm trong suốt thời hạn hợp đồng.</w:t>
            </w:r>
          </w:p>
        </w:tc>
      </w:tr>
      <w:tr w14:paraId="5A1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979E61C">
            <w:pPr>
              <w:spacing w:after="0" w:line="240" w:lineRule="auto"/>
            </w:pPr>
            <w:r>
              <w:rPr>
                <w:sz w:val="19"/>
              </w:rPr>
              <w:t>Điều 10.1 Loại trừ tử vong</w:t>
            </w:r>
          </w:p>
        </w:tc>
        <w:tc>
          <w:tcPr>
            <w:tcW w:w="12472" w:type="dxa"/>
          </w:tcPr>
          <w:p w14:paraId="702BD08E">
            <w:pPr>
              <w:spacing w:after="0" w:line="240" w:lineRule="auto"/>
            </w:pPr>
            <w:r>
              <w:rPr>
                <w:sz w:val="19"/>
              </w:rPr>
              <w:t>Không chi trả nếu tử vong do tự tử trong 02 năm đầu (hoặc 02 năm từ lần khôi phục hiệu lực gần nhất), hành vi cố ý của bên mua bảo hiểm hoặc người thụ hưởng, nhiễm HIV/AIDS, hoặc thi hành án tử hình.</w:t>
            </w:r>
          </w:p>
        </w:tc>
      </w:tr>
      <w:tr w14:paraId="16B26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CC301DF">
            <w:pPr>
              <w:spacing w:after="0" w:line="240" w:lineRule="auto"/>
            </w:pPr>
            <w:r>
              <w:rPr>
                <w:sz w:val="19"/>
              </w:rPr>
              <w:t>Điều 10.2 Loại trừ tử vong do tai nạn</w:t>
            </w:r>
          </w:p>
        </w:tc>
        <w:tc>
          <w:tcPr>
            <w:tcW w:w="12472" w:type="dxa"/>
          </w:tcPr>
          <w:p w14:paraId="7862F0B6">
            <w:pPr>
              <w:spacing w:after="0" w:line="240" w:lineRule="auto"/>
            </w:pPr>
            <w:r>
              <w:rPr>
                <w:sz w:val="19"/>
              </w:rPr>
              <w:t>Ngoài các trường hợp 10.1: chiến tranh, bạo động; ma túy, rượu, chất gây nghiện (trừ khi theo chỉ định bác sĩ và là nguyên nhân tai nạn); tự gây thương tích; hành vi nguy hiểm cố ý (trừ khi cứu người); hoạt động nguy hiểm như lặn bình khí nén, nhảy cầu, leo núi, đua xe, nhảy dù; thể thao chuyên nghiệp; hoạt động hàng không (trừ hành khách chuyến bay dân dụng). Một mục trong bản đọc được bị thiếu, cần kiểm tra file gốc.</w:t>
            </w:r>
          </w:p>
        </w:tc>
      </w:tr>
      <w:tr w14:paraId="5131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4814770">
            <w:pPr>
              <w:spacing w:after="0" w:line="240" w:lineRule="auto"/>
            </w:pPr>
            <w:r>
              <w:rPr>
                <w:sz w:val="19"/>
              </w:rPr>
              <w:t>Điều 10.3 Loại trừ thương tật toàn bộ và vĩnh viễn</w:t>
            </w:r>
          </w:p>
        </w:tc>
        <w:tc>
          <w:tcPr>
            <w:tcW w:w="12472" w:type="dxa"/>
          </w:tcPr>
          <w:p w14:paraId="4F3AFBAD">
            <w:pPr>
              <w:spacing w:after="0" w:line="240" w:lineRule="auto"/>
            </w:pPr>
            <w:r>
              <w:rPr>
                <w:sz w:val="19"/>
              </w:rPr>
              <w:t>Thương tật xảy ra trước ngày hiệu lực hoặc khôi phục; phát sinh từ tự tử không thành hoặc tự gây thương tích; hành vi cố ý; hoạt động hàng không (trừ hành khách dân dụng).</w:t>
            </w:r>
          </w:p>
        </w:tc>
      </w:tr>
      <w:tr w14:paraId="471D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3771D0B">
            <w:pPr>
              <w:spacing w:after="0" w:line="240" w:lineRule="auto"/>
            </w:pPr>
            <w:r>
              <w:rPr>
                <w:sz w:val="19"/>
              </w:rPr>
              <w:t>Điều 10.4 Loại trừ bệnh hiểm nghèo giai đoạn cuối</w:t>
            </w:r>
          </w:p>
        </w:tc>
        <w:tc>
          <w:tcPr>
            <w:tcW w:w="12472" w:type="dxa"/>
          </w:tcPr>
          <w:p w14:paraId="2B6D8C98">
            <w:pPr>
              <w:spacing w:after="0" w:line="240" w:lineRule="auto"/>
            </w:pPr>
            <w:r>
              <w:rPr>
                <w:sz w:val="19"/>
              </w:rPr>
              <w:t>Dấu hiệu bệnh phát sinh từ tự tử không thành, tự gây thương tích, sử dụng trái phép ma túy hoặc chất kích thích; hoặc xảy ra trên bệnh nhân nhiễm HIV/AIDS.</w:t>
            </w:r>
          </w:p>
        </w:tc>
      </w:tr>
      <w:tr w14:paraId="5AAD3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64D5004">
            <w:pPr>
              <w:spacing w:after="0" w:line="240" w:lineRule="auto"/>
            </w:pPr>
            <w:r>
              <w:rPr>
                <w:sz w:val="19"/>
              </w:rPr>
              <w:t>Điều 10.5, 10.6</w:t>
            </w:r>
          </w:p>
        </w:tc>
        <w:tc>
          <w:tcPr>
            <w:tcW w:w="12472" w:type="dxa"/>
          </w:tcPr>
          <w:p w14:paraId="50BD4BE6">
            <w:pPr>
              <w:spacing w:after="0" w:line="240" w:lineRule="auto"/>
            </w:pPr>
            <w:r>
              <w:rPr>
                <w:sz w:val="19"/>
              </w:rPr>
              <w:t>Nếu bên mua vẫn đóng phí, hợp đồng vẫn có hiệu lực với các trường hợp không thuộc loại trừ. Nếu chấm dứt hợp đồng sau sự kiện thuộc loại trừ, Prudential chi trả giá trị lớn hơn giữa tổng phí đã đóng (không lãi) và giá trị hoàn lại, sau khi trừ các khoản liên quan. Nếu một trong nhiều người thụ hưởng cố ý gây hại cho người được bảo hiểm, những người thụ hưởng còn lại vẫn được chi trả theo tỷ lệ đã chỉ định.</w:t>
            </w:r>
          </w:p>
        </w:tc>
      </w:tr>
      <w:tr w14:paraId="7920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E83E1B3">
            <w:pPr>
              <w:spacing w:after="0" w:line="240" w:lineRule="auto"/>
            </w:pPr>
            <w:r>
              <w:rPr>
                <w:sz w:val="19"/>
              </w:rPr>
              <w:t>Điều 11.2.a Kê khai</w:t>
            </w:r>
          </w:p>
        </w:tc>
        <w:tc>
          <w:tcPr>
            <w:tcW w:w="12472" w:type="dxa"/>
          </w:tcPr>
          <w:p w14:paraId="640C35DC">
            <w:pPr>
              <w:spacing w:after="0" w:line="240" w:lineRule="auto"/>
            </w:pPr>
            <w:r>
              <w:rPr>
                <w:sz w:val="19"/>
              </w:rPr>
              <w:t>(i) Phải kê khai đầy đủ, chính xác, trung thực; thẩm định sức khỏe không thay thế nghĩa vụ này. (ii) Nếu cố ý kê khai sai khiến Prudential không chấp nhận bảo hiểm nếu biết đúng sự thật: không chi trả quyền lợi, có quyền đơn phương đình chỉ hợp đồng, chỉ hoàn giá trị hoàn lại (nếu có). (iii) Nếu vi phạm không ảnh hưởng quyết định chấp thuận: vẫn chi trả. (iv) Nếu vẫn chấp thuận và duy trì hợp đồng: có thể thu thêm phí, điều chỉnh Số tiền bảo hiểm hoặc loại trừ đối với tình trạng không kê khai đủ.</w:t>
            </w:r>
          </w:p>
        </w:tc>
      </w:tr>
    </w:tbl>
    <w:p w14:paraId="67D56922"/>
    <w:p w14:paraId="258FB83B">
      <w:pPr>
        <w:pStyle w:val="3"/>
      </w:pPr>
      <w:r>
        <w:t>A2. PRU-An Tâm Bảo Tín, kế hoạch A (CV 11307/BTC-QLBH)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2066"/>
      </w:tblGrid>
      <w:tr w14:paraId="17A5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E2F3"/>
          </w:tcPr>
          <w:p w14:paraId="176B3B89">
            <w:pPr>
              <w:spacing w:after="0" w:line="240" w:lineRule="auto"/>
            </w:pPr>
            <w:r>
              <w:rPr>
                <w:b/>
                <w:sz w:val="19"/>
              </w:rPr>
              <w:t>Điều, mục</w:t>
            </w:r>
          </w:p>
        </w:tc>
        <w:tc>
          <w:tcPr>
            <w:tcW w:w="12472" w:type="dxa"/>
            <w:shd w:val="clear" w:color="auto" w:fill="D9E2F3"/>
          </w:tcPr>
          <w:p w14:paraId="1278C6B5">
            <w:pPr>
              <w:spacing w:after="0" w:line="240" w:lineRule="auto"/>
            </w:pPr>
            <w:r>
              <w:rPr>
                <w:b/>
                <w:sz w:val="19"/>
              </w:rPr>
              <w:t>Nội dung</w:t>
            </w:r>
          </w:p>
        </w:tc>
      </w:tr>
      <w:tr w14:paraId="42EE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8ECD201">
            <w:pPr>
              <w:spacing w:after="0" w:line="240" w:lineRule="auto"/>
            </w:pPr>
            <w:r>
              <w:rPr>
                <w:sz w:val="19"/>
              </w:rPr>
              <w:t>Điều 4. Thời hạn cân nhắc</w:t>
            </w:r>
          </w:p>
        </w:tc>
        <w:tc>
          <w:tcPr>
            <w:tcW w:w="12472" w:type="dxa"/>
          </w:tcPr>
          <w:p w14:paraId="417EDEC4">
            <w:pPr>
              <w:spacing w:after="0" w:line="240" w:lineRule="auto"/>
            </w:pPr>
            <w:r>
              <w:rPr>
                <w:sz w:val="19"/>
              </w:rPr>
              <w:t>21 ngày kể từ khi nhận Hợp đồng, bên mua yêu cầu hủy bằng văn bản theo mẫu của Prudential; hoàn tổng phí đã đóng, không lãi, trừ chi phí khám, xét nghiệm (nếu có) và các khoản đã chi trả trước đó (nếu có).</w:t>
            </w:r>
          </w:p>
        </w:tc>
      </w:tr>
      <w:tr w14:paraId="2CA2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14AF876">
            <w:pPr>
              <w:spacing w:after="0" w:line="240" w:lineRule="auto"/>
            </w:pPr>
            <w:r>
              <w:rPr>
                <w:sz w:val="19"/>
              </w:rPr>
              <w:t>Điều 7. Quyền lợi</w:t>
            </w:r>
          </w:p>
        </w:tc>
        <w:tc>
          <w:tcPr>
            <w:tcW w:w="12472" w:type="dxa"/>
          </w:tcPr>
          <w:p w14:paraId="71DA1020">
            <w:pPr>
              <w:spacing w:after="0" w:line="240" w:lineRule="auto"/>
            </w:pPr>
            <w:r>
              <w:rPr>
                <w:sz w:val="19"/>
              </w:rPr>
              <w:t>7.1 Cơ bản: tử vong do tai nạn, 100% Số tiền bảo hiểm hiện tại, trừ các trường hợp Điều 9.1, 9.2. 7.2 Nâng cao: quyền lợi tử vong (7.2a) và thương tật toàn bộ vĩnh viễn (7.2b), mỗi quyền lợi 100% Số tiền bảo hiểm hiện tại. 7.3 Sau khi một quyền lợi được chi trả, hợp đồng chấm dứt hiệu lực.</w:t>
            </w:r>
          </w:p>
        </w:tc>
      </w:tr>
      <w:tr w14:paraId="4E2CE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2FEB73A">
            <w:pPr>
              <w:spacing w:after="0" w:line="240" w:lineRule="auto"/>
            </w:pPr>
            <w:r>
              <w:rPr>
                <w:sz w:val="19"/>
              </w:rPr>
              <w:t>Điều 8. Giải quyết quyền lợi</w:t>
            </w:r>
          </w:p>
        </w:tc>
        <w:tc>
          <w:tcPr>
            <w:tcW w:w="12472" w:type="dxa"/>
          </w:tcPr>
          <w:p w14:paraId="7DA3179B">
            <w:pPr>
              <w:spacing w:after="0" w:line="240" w:lineRule="auto"/>
            </w:pPr>
            <w:r>
              <w:rPr>
                <w:sz w:val="19"/>
              </w:rPr>
              <w:t>8.1 Tử vong: phiếu yêu cầu, bằng chứng dư nợ, giấy tờ người thụ hưởng, giấy chứng tử, hồ sơ điều trị, giấy tờ liên quan tai nạn (nếu có). 8.2 Thương tật toàn bộ vĩnh viễn: tương tự, thay giấy chứng tử bằng biên bản giám định y khoa của hội đồng giám định cấp tỉnh trở lên. 8.3 Thời hạn yêu cầu 12 tháng kể từ ngày xảy ra sự kiện bảo hiểm; Prudential xử lý trong 30 ngày kể từ khi nhận hồ sơ đầy đủ, nếu chậm sẽ trả thêm lãi. Thứ tự nhận: tổ chức tài chính, người thụ hưởng thứ hai, người thừa kế hợp pháp.</w:t>
            </w:r>
          </w:p>
        </w:tc>
      </w:tr>
      <w:tr w14:paraId="2AB7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4C352E1">
            <w:pPr>
              <w:spacing w:after="0" w:line="240" w:lineRule="auto"/>
            </w:pPr>
            <w:r>
              <w:rPr>
                <w:sz w:val="19"/>
              </w:rPr>
              <w:t>Điều 9. Loại trừ</w:t>
            </w:r>
          </w:p>
        </w:tc>
        <w:tc>
          <w:tcPr>
            <w:tcW w:w="12472" w:type="dxa"/>
          </w:tcPr>
          <w:p w14:paraId="7F510D4C">
            <w:pPr>
              <w:spacing w:after="0" w:line="240" w:lineRule="auto"/>
            </w:pPr>
            <w:r>
              <w:rPr>
                <w:sz w:val="19"/>
              </w:rPr>
              <w:t>9.1 Tử vong: tự tử trong 24 tháng đầu, nhiễm HIV/AIDS (có ngoại lệ nghề nghiệp), thi hành án tử hình, hành vi phạm tội đã được cơ quan nhà nước kết luận. 9.2 Tử vong do tai nạn: tự gây thương tích, ma túy, chất kích thích, nồng độ cồn vượt mức, rối loạn tâm thần, chiến tranh, bạo loạn, bệnh hoặc khiếm khuyết có trước ngày hiệu lực. 9.3 Thương tật toàn bộ vĩnh viễn: tình trạng có trước ngày hiệu lực, tự gây thương tích, chiến tranh, bạo động, hành vi phạm tội. 9.4 đến 9.6: hợp đồng vẫn hiệu lực nếu vẫn đóng phí trong trường hợp loại trừ thương tật; hoàn tổng phí đã đóng không lãi khi chấm dứt do loại trừ; người thụ hưởng còn lại vẫn được chi trả nếu một người thụ hưởng gây hại.</w:t>
            </w:r>
          </w:p>
        </w:tc>
      </w:tr>
      <w:tr w14:paraId="09DF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D1AA163">
            <w:pPr>
              <w:spacing w:after="0" w:line="240" w:lineRule="auto"/>
            </w:pPr>
            <w:r>
              <w:rPr>
                <w:sz w:val="19"/>
              </w:rPr>
              <w:t>Điều 10. Quyền, nghĩa vụ của bên mua</w:t>
            </w:r>
          </w:p>
        </w:tc>
        <w:tc>
          <w:tcPr>
            <w:tcW w:w="12472" w:type="dxa"/>
          </w:tcPr>
          <w:p w14:paraId="2CEC8C09">
            <w:pPr>
              <w:spacing w:after="0" w:line="240" w:lineRule="auto"/>
            </w:pPr>
            <w:r>
              <w:rPr>
                <w:sz w:val="19"/>
              </w:rPr>
              <w:t>10.1 Quyền: được cung cấp thông tin; chỉ định hoặc đổi người thụ hưởng thứ hai bằng văn bản; đơn phương chấm dứt hợp đồng (không hoàn phí đã đóng, chỉ trả giá trị hoàn lại nếu có). 10.2.a Kê khai đầy đủ, chính xác, trung thực; nếu cố ý sai làm ảnh hưởng quyết định nhận bảo hiểm thì Prudential có thể hủy hợp đồng và hoàn phí sau khi trừ chi phí; nếu sai sót không ảnh hưởng quyết định thì vẫn chi trả nhưng có thể điều chỉnh phí, số tiền, thời hạn hoặc phạm vi. 10.2.d Thông báo bằng văn bản khi đổi nơi cư trú.</w:t>
            </w:r>
          </w:p>
        </w:tc>
      </w:tr>
      <w:tr w14:paraId="382E9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D133554">
            <w:pPr>
              <w:spacing w:after="0" w:line="240" w:lineRule="auto"/>
            </w:pPr>
            <w:r>
              <w:rPr>
                <w:sz w:val="19"/>
              </w:rPr>
              <w:t>Điều 11. Quyền, nghĩa vụ của Prudential</w:t>
            </w:r>
          </w:p>
        </w:tc>
        <w:tc>
          <w:tcPr>
            <w:tcW w:w="12472" w:type="dxa"/>
          </w:tcPr>
          <w:p w14:paraId="28BF0D7D">
            <w:pPr>
              <w:spacing w:after="0" w:line="240" w:lineRule="auto"/>
            </w:pPr>
            <w:r>
              <w:rPr>
                <w:sz w:val="19"/>
              </w:rPr>
              <w:t>11.1 Có thể yêu cầu kiểm tra sức khỏe (Prudential chịu chi phí); việc thẩm định không thay thế nghĩa vụ kê khai. 11.2 Giải thích rõ Quy tắc, Điều khoản và cung cấp thông tin hợp đồng; không chuyển thông tin cá nhân cho bên thứ ba trừ trường hợp pháp luật hoặc nghiệp vụ bảo hiểm cho phép hoặc có đồng ý bằng văn bản.</w:t>
            </w:r>
          </w:p>
        </w:tc>
      </w:tr>
    </w:tbl>
    <w:p w14:paraId="237184EF"/>
    <w:p w14:paraId="2277C1E9">
      <w:pPr>
        <w:pStyle w:val="3"/>
      </w:pPr>
      <w:r>
        <w:t>B. Hồ sơ yêu cầu bảo hiểm nhân thọ (V.07/2025, bản mẫu)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2079"/>
      </w:tblGrid>
      <w:tr w14:paraId="5CD7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E2F3"/>
          </w:tcPr>
          <w:p w14:paraId="5819AE76">
            <w:pPr>
              <w:spacing w:after="0" w:line="240" w:lineRule="auto"/>
            </w:pPr>
            <w:r>
              <w:rPr>
                <w:b/>
                <w:sz w:val="19"/>
              </w:rPr>
              <w:t>Điều, mục</w:t>
            </w:r>
          </w:p>
        </w:tc>
        <w:tc>
          <w:tcPr>
            <w:tcW w:w="12472" w:type="dxa"/>
            <w:shd w:val="clear" w:color="auto" w:fill="D9E2F3"/>
          </w:tcPr>
          <w:p w14:paraId="3ADBF434">
            <w:pPr>
              <w:spacing w:after="0" w:line="240" w:lineRule="auto"/>
            </w:pPr>
            <w:r>
              <w:rPr>
                <w:b/>
                <w:sz w:val="19"/>
              </w:rPr>
              <w:t>Nội dung</w:t>
            </w:r>
          </w:p>
        </w:tc>
      </w:tr>
      <w:tr w14:paraId="0CF2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105AE74">
            <w:pPr>
              <w:spacing w:after="0" w:line="240" w:lineRule="auto"/>
            </w:pPr>
            <w:r>
              <w:rPr>
                <w:sz w:val="19"/>
              </w:rPr>
              <w:t>H.1</w:t>
            </w:r>
          </w:p>
        </w:tc>
        <w:tc>
          <w:tcPr>
            <w:tcW w:w="12472" w:type="dxa"/>
          </w:tcPr>
          <w:p w14:paraId="346DDA24">
            <w:pPr>
              <w:spacing w:after="0" w:line="240" w:lineRule="auto"/>
            </w:pPr>
            <w:r>
              <w:rPr>
                <w:sz w:val="19"/>
              </w:rPr>
              <w:t>Hủy hợp đồng đang có hiệu lực để tham gia sản phẩm mới có thể ảnh hưởng quyền lợi, kế hoạch đầu tư hoặc tích lũy đã dự tính.</w:t>
            </w:r>
          </w:p>
        </w:tc>
      </w:tr>
      <w:tr w14:paraId="67839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37F3DD7">
            <w:pPr>
              <w:spacing w:after="0" w:line="240" w:lineRule="auto"/>
            </w:pPr>
            <w:r>
              <w:rPr>
                <w:sz w:val="19"/>
              </w:rPr>
              <w:t>H.2</w:t>
            </w:r>
          </w:p>
        </w:tc>
        <w:tc>
          <w:tcPr>
            <w:tcW w:w="12472" w:type="dxa"/>
          </w:tcPr>
          <w:p w14:paraId="1F079BB6">
            <w:pPr>
              <w:spacing w:after="0" w:line="240" w:lineRule="auto"/>
            </w:pPr>
            <w:r>
              <w:rPr>
                <w:sz w:val="19"/>
              </w:rPr>
              <w:t>Thời hạn miễn truy xét hoặc thời gian loại trừ (nếu có) được tính lại từ đầu theo hồ sơ mới.</w:t>
            </w:r>
          </w:p>
        </w:tc>
      </w:tr>
      <w:tr w14:paraId="36D42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CC0590C">
            <w:pPr>
              <w:spacing w:after="0" w:line="240" w:lineRule="auto"/>
            </w:pPr>
            <w:r>
              <w:rPr>
                <w:sz w:val="19"/>
              </w:rPr>
              <w:t>H.3</w:t>
            </w:r>
          </w:p>
        </w:tc>
        <w:tc>
          <w:tcPr>
            <w:tcW w:w="12472" w:type="dxa"/>
          </w:tcPr>
          <w:p w14:paraId="75C2ECEF">
            <w:pPr>
              <w:spacing w:after="0" w:line="240" w:lineRule="auto"/>
            </w:pPr>
            <w:r>
              <w:rPr>
                <w:sz w:val="19"/>
              </w:rPr>
              <w:t>Phí bảo hiểm mới có thể cao hơn phí đang đóng; hồ sơ mới có thể bị từ chối một phần hoặc toàn bộ do thay đổi nghề nghiệp, sức khỏe hoặc lối sống.</w:t>
            </w:r>
          </w:p>
        </w:tc>
      </w:tr>
      <w:tr w14:paraId="5037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3367301">
            <w:pPr>
              <w:spacing w:after="0" w:line="240" w:lineRule="auto"/>
            </w:pPr>
            <w:r>
              <w:rPr>
                <w:sz w:val="19"/>
              </w:rPr>
              <w:t>H.4</w:t>
            </w:r>
          </w:p>
        </w:tc>
        <w:tc>
          <w:tcPr>
            <w:tcW w:w="12472" w:type="dxa"/>
          </w:tcPr>
          <w:p w14:paraId="6E1174E5">
            <w:pPr>
              <w:spacing w:after="0" w:line="240" w:lineRule="auto"/>
            </w:pPr>
            <w:r>
              <w:rPr>
                <w:sz w:val="19"/>
              </w:rPr>
              <w:t>Quyền lợi của hợp đồng mới có thể không hoàn toàn giống hợp đồng đang có.</w:t>
            </w:r>
          </w:p>
        </w:tc>
      </w:tr>
      <w:tr w14:paraId="4337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DC3A313">
            <w:pPr>
              <w:spacing w:after="0" w:line="240" w:lineRule="auto"/>
            </w:pPr>
            <w:r>
              <w:rPr>
                <w:sz w:val="19"/>
              </w:rPr>
              <w:t>J.1</w:t>
            </w:r>
          </w:p>
        </w:tc>
        <w:tc>
          <w:tcPr>
            <w:tcW w:w="12472" w:type="dxa"/>
          </w:tcPr>
          <w:p w14:paraId="2C712741">
            <w:pPr>
              <w:spacing w:after="0" w:line="240" w:lineRule="auto"/>
            </w:pPr>
            <w:r>
              <w:rPr>
                <w:sz w:val="19"/>
              </w:rPr>
              <w:t>Khách xác nhận đã được giải thích rõ ràng, đầy đủ về sản phẩm, quyền lợi, loại trừ, thời hạn cân nhắc và rủi ro, và tham gia tự nguyện.</w:t>
            </w:r>
          </w:p>
        </w:tc>
      </w:tr>
      <w:tr w14:paraId="73B78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5AF5371">
            <w:pPr>
              <w:spacing w:after="0" w:line="240" w:lineRule="auto"/>
            </w:pPr>
            <w:r>
              <w:rPr>
                <w:sz w:val="19"/>
              </w:rPr>
              <w:t>J.2</w:t>
            </w:r>
          </w:p>
        </w:tc>
        <w:tc>
          <w:tcPr>
            <w:tcW w:w="12472" w:type="dxa"/>
          </w:tcPr>
          <w:p w14:paraId="20003381">
            <w:pPr>
              <w:spacing w:after="0" w:line="240" w:lineRule="auto"/>
            </w:pPr>
            <w:r>
              <w:rPr>
                <w:sz w:val="19"/>
              </w:rPr>
              <w:t>Hồ sơ yêu cầu là một phần của hợp đồng; thời hạn cân nhắc tính từ ngày nhận bản giấy các tài liệu.</w:t>
            </w:r>
          </w:p>
        </w:tc>
      </w:tr>
      <w:tr w14:paraId="26D6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20AC1DA7">
            <w:pPr>
              <w:spacing w:after="0" w:line="240" w:lineRule="auto"/>
            </w:pPr>
            <w:r>
              <w:rPr>
                <w:sz w:val="19"/>
              </w:rPr>
              <w:t>J.3, J.4</w:t>
            </w:r>
          </w:p>
        </w:tc>
        <w:tc>
          <w:tcPr>
            <w:tcW w:w="12472" w:type="dxa"/>
          </w:tcPr>
          <w:p w14:paraId="491ECA06">
            <w:pPr>
              <w:spacing w:after="0" w:line="240" w:lineRule="auto"/>
            </w:pPr>
            <w:r>
              <w:rPr>
                <w:sz w:val="19"/>
              </w:rPr>
              <w:t>Xác thực qua mã OTP có giá trị pháp lý như chữ ký. Prudential gửi thông tin qua thư, email, điện thoại hoặc Zalo; bên mua chịu trách nhiệm bảo mật tài khoản PRUOnline.</w:t>
            </w:r>
          </w:p>
        </w:tc>
      </w:tr>
      <w:tr w14:paraId="25B9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8EE34AC">
            <w:pPr>
              <w:spacing w:after="0" w:line="240" w:lineRule="auto"/>
            </w:pPr>
            <w:r>
              <w:rPr>
                <w:sz w:val="19"/>
              </w:rPr>
              <w:t>J.5</w:t>
            </w:r>
          </w:p>
        </w:tc>
        <w:tc>
          <w:tcPr>
            <w:tcW w:w="12472" w:type="dxa"/>
          </w:tcPr>
          <w:p w14:paraId="0C7FB24A">
            <w:pPr>
              <w:spacing w:after="0" w:line="240" w:lineRule="auto"/>
            </w:pPr>
            <w:r>
              <w:rPr>
                <w:sz w:val="19"/>
              </w:rPr>
              <w:t>Thẩm định sức khỏe không phải nghĩa vụ bắt buộc của Prudential và không thay thế nghĩa vụ kê khai đúng, đủ, trung thực.</w:t>
            </w:r>
          </w:p>
        </w:tc>
      </w:tr>
      <w:tr w14:paraId="71E28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AA0DE0F">
            <w:pPr>
              <w:spacing w:after="0" w:line="240" w:lineRule="auto"/>
            </w:pPr>
            <w:r>
              <w:rPr>
                <w:sz w:val="19"/>
              </w:rPr>
              <w:t>J.6</w:t>
            </w:r>
          </w:p>
        </w:tc>
        <w:tc>
          <w:tcPr>
            <w:tcW w:w="12472" w:type="dxa"/>
          </w:tcPr>
          <w:p w14:paraId="3C67F13F">
            <w:pPr>
              <w:spacing w:after="0" w:line="240" w:lineRule="auto"/>
            </w:pPr>
            <w:r>
              <w:rPr>
                <w:sz w:val="19"/>
              </w:rPr>
              <w:t>Khách ủy quyền cho Prudential thu thập thông tin sức khỏe và nghề nghiệp từ bên thứ ba để giao kết và thực hiện hợp đồng.</w:t>
            </w:r>
          </w:p>
        </w:tc>
      </w:tr>
      <w:tr w14:paraId="54F9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1F52BD1">
            <w:pPr>
              <w:spacing w:after="0" w:line="240" w:lineRule="auto"/>
            </w:pPr>
            <w:r>
              <w:rPr>
                <w:sz w:val="19"/>
              </w:rPr>
              <w:t>J.7, J.8</w:t>
            </w:r>
          </w:p>
        </w:tc>
        <w:tc>
          <w:tcPr>
            <w:tcW w:w="12472" w:type="dxa"/>
          </w:tcPr>
          <w:p w14:paraId="1CB19A78">
            <w:pPr>
              <w:spacing w:after="0" w:line="240" w:lineRule="auto"/>
            </w:pPr>
            <w:r>
              <w:rPr>
                <w:sz w:val="19"/>
              </w:rPr>
              <w:t>Nếu thông tin khác giấy tờ tùy thân thì giấy tờ tùy thân được coi là đúng. Khách cập nhật kịp thời khi thông tin thay đổi, cung cấp giấy tờ khi được yêu cầu (kể cả phòng chống rửa tiền), đồng ý Prudential cung cấp thông tin cho cơ quan thuế Hoa Kỳ khi thuộc diện chịu thuế Hoa Kỳ.</w:t>
            </w:r>
          </w:p>
        </w:tc>
      </w:tr>
      <w:tr w14:paraId="3D58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251CE37">
            <w:pPr>
              <w:spacing w:after="0" w:line="240" w:lineRule="auto"/>
            </w:pPr>
            <w:r>
              <w:rPr>
                <w:sz w:val="19"/>
              </w:rPr>
              <w:t>J.9</w:t>
            </w:r>
          </w:p>
        </w:tc>
        <w:tc>
          <w:tcPr>
            <w:tcW w:w="12472" w:type="dxa"/>
          </w:tcPr>
          <w:p w14:paraId="65227B36">
            <w:pPr>
              <w:spacing w:after="0" w:line="240" w:lineRule="auto"/>
            </w:pPr>
            <w:r>
              <w:rPr>
                <w:sz w:val="19"/>
              </w:rPr>
              <w:t>Khách đồng ý để Prudential sử dụng, xử lý và chia sẻ dữ liệu cá nhân theo Chính sách bảo mật.</w:t>
            </w:r>
          </w:p>
        </w:tc>
      </w:tr>
      <w:tr w14:paraId="2E9B1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05BFC98">
            <w:pPr>
              <w:spacing w:after="0" w:line="240" w:lineRule="auto"/>
            </w:pPr>
            <w:r>
              <w:rPr>
                <w:sz w:val="19"/>
              </w:rPr>
              <w:t>J.10</w:t>
            </w:r>
          </w:p>
        </w:tc>
        <w:tc>
          <w:tcPr>
            <w:tcW w:w="12472" w:type="dxa"/>
          </w:tcPr>
          <w:p w14:paraId="009B0561">
            <w:pPr>
              <w:spacing w:after="0" w:line="240" w:lineRule="auto"/>
            </w:pPr>
            <w:r>
              <w:rPr>
                <w:sz w:val="19"/>
              </w:rPr>
              <w:t>Nếu các bên nằm trong danh sách cấm vận, Prudential có thể chấm dứt hợp đồng sau 30 ngày thông báo và phong tỏa thanh toán theo quyết định của cơ quan có thẩm quyền.</w:t>
            </w:r>
          </w:p>
        </w:tc>
      </w:tr>
      <w:tr w14:paraId="5B7F4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43DF49C">
            <w:pPr>
              <w:spacing w:after="0" w:line="240" w:lineRule="auto"/>
            </w:pPr>
            <w:r>
              <w:rPr>
                <w:sz w:val="19"/>
              </w:rPr>
              <w:t>J.11</w:t>
            </w:r>
          </w:p>
        </w:tc>
        <w:tc>
          <w:tcPr>
            <w:tcW w:w="12472" w:type="dxa"/>
          </w:tcPr>
          <w:p w14:paraId="2D217AD4">
            <w:pPr>
              <w:spacing w:after="0" w:line="240" w:lineRule="auto"/>
            </w:pPr>
            <w:r>
              <w:rPr>
                <w:sz w:val="19"/>
              </w:rPr>
              <w:t>Khách chỉ cung cấp cho tư vấn viên những thông tin đã nêu trong hồ sơ; hồ sơ được lập độc lập; tư vấn viên không đưa thông tin bất lợi cho Prudential hay có lợi hơn cho bên mua.</w:t>
            </w:r>
          </w:p>
        </w:tc>
      </w:tr>
      <w:tr w14:paraId="7B439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8ECBB2C">
            <w:pPr>
              <w:spacing w:after="0" w:line="240" w:lineRule="auto"/>
            </w:pPr>
            <w:r>
              <w:rPr>
                <w:sz w:val="19"/>
              </w:rPr>
              <w:t>J.12</w:t>
            </w:r>
          </w:p>
        </w:tc>
        <w:tc>
          <w:tcPr>
            <w:tcW w:w="12472" w:type="dxa"/>
          </w:tcPr>
          <w:p w14:paraId="7DF7CCB3">
            <w:pPr>
              <w:spacing w:after="0" w:line="240" w:lineRule="auto"/>
            </w:pPr>
            <w:r>
              <w:rPr>
                <w:sz w:val="19"/>
              </w:rPr>
              <w:t>Thông tin trao đổi bằng lời nói hoặc cách khác trái với nội dung hồ sơ và hợp đồng không có giá trị pháp lý đối với Prudential.</w:t>
            </w:r>
          </w:p>
        </w:tc>
      </w:tr>
      <w:tr w14:paraId="6A69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49BF10A">
            <w:pPr>
              <w:spacing w:after="0" w:line="240" w:lineRule="auto"/>
            </w:pPr>
            <w:r>
              <w:rPr>
                <w:sz w:val="19"/>
              </w:rPr>
              <w:t>J.13</w:t>
            </w:r>
          </w:p>
        </w:tc>
        <w:tc>
          <w:tcPr>
            <w:tcW w:w="12472" w:type="dxa"/>
          </w:tcPr>
          <w:p w14:paraId="7A3983A6">
            <w:pPr>
              <w:spacing w:after="0" w:line="240" w:lineRule="auto"/>
            </w:pPr>
            <w:r>
              <w:rPr>
                <w:sz w:val="19"/>
              </w:rPr>
              <w:t>Khách xác nhận đã đọc, hiểu và đồng ý với Thông báo bảo vệ và xử lý dữ liệu cá nhân của Prudential.</w:t>
            </w:r>
          </w:p>
        </w:tc>
      </w:tr>
      <w:tr w14:paraId="7F80F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0A82F72">
            <w:pPr>
              <w:spacing w:after="0" w:line="240" w:lineRule="auto"/>
            </w:pPr>
            <w:r>
              <w:rPr>
                <w:sz w:val="19"/>
              </w:rPr>
              <w:t>K. Cam kết của tư vấn viên</w:t>
            </w:r>
          </w:p>
        </w:tc>
        <w:tc>
          <w:tcPr>
            <w:tcW w:w="12472" w:type="dxa"/>
          </w:tcPr>
          <w:p w14:paraId="494B84EA">
            <w:pPr>
              <w:spacing w:after="0" w:line="240" w:lineRule="auto"/>
            </w:pPr>
            <w:r>
              <w:rPr>
                <w:sz w:val="19"/>
              </w:rPr>
              <w:t>Thông tin trong hồ sơ là thông tin duy nhất khách cung cấp, tư vấn viên không che giấu hay hướng dẫn tạo thông tin ảnh hưởng quyết định chấp nhận bảo hiểm; đã gặp trực tiếp khách để đối chiếu giấy tờ với bản chính, giải thích các câu hỏi và tư vấn đúng quy định; xác nhận chữ ký điện tử hoặc OTP do chính khách thực hiện trước mặt mình.</w:t>
            </w:r>
          </w:p>
        </w:tc>
      </w:tr>
    </w:tbl>
    <w:p w14:paraId="6FFCB00C"/>
    <w:p w14:paraId="7A49DCD0">
      <w:pPr>
        <w:pStyle w:val="3"/>
      </w:pPr>
      <w:r>
        <w:t>C. Chính sách bảo vệ khách hàng dễ bị tổn thương (V2025.1) và Cam kết giải quyết quyền lợi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12073"/>
      </w:tblGrid>
      <w:tr w14:paraId="1B82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shd w:val="clear" w:color="auto" w:fill="D9E2F3"/>
          </w:tcPr>
          <w:p w14:paraId="5E07A981">
            <w:pPr>
              <w:spacing w:after="0" w:line="240" w:lineRule="auto"/>
            </w:pPr>
            <w:r>
              <w:rPr>
                <w:b/>
                <w:sz w:val="19"/>
              </w:rPr>
              <w:t>Điều, mục</w:t>
            </w:r>
          </w:p>
        </w:tc>
        <w:tc>
          <w:tcPr>
            <w:tcW w:w="12472" w:type="dxa"/>
            <w:shd w:val="clear" w:color="auto" w:fill="D9E2F3"/>
          </w:tcPr>
          <w:p w14:paraId="60CFF5DC">
            <w:pPr>
              <w:spacing w:after="0" w:line="240" w:lineRule="auto"/>
            </w:pPr>
            <w:r>
              <w:rPr>
                <w:b/>
                <w:sz w:val="19"/>
              </w:rPr>
              <w:t>Nội dung</w:t>
            </w:r>
          </w:p>
        </w:tc>
      </w:tr>
      <w:tr w14:paraId="2C45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C92583E">
            <w:pPr>
              <w:spacing w:after="0" w:line="240" w:lineRule="auto"/>
            </w:pPr>
            <w:r>
              <w:rPr>
                <w:sz w:val="19"/>
              </w:rPr>
              <w:t>8 nhóm khách dễ bị tổn thương</w:t>
            </w:r>
          </w:p>
        </w:tc>
        <w:tc>
          <w:tcPr>
            <w:tcW w:w="12472" w:type="dxa"/>
          </w:tcPr>
          <w:p w14:paraId="44791F9B">
            <w:pPr>
              <w:spacing w:after="0" w:line="240" w:lineRule="auto"/>
            </w:pPr>
            <w:r>
              <w:rPr>
                <w:sz w:val="19"/>
              </w:rPr>
              <w:t>Người từ đủ 60 tuổi; trẻ em dưới 16 tuổi; người dân tộc thiểu số, người sinh sống ở vùng đồng bào dân tộc thiểu số, miền núi, hải đảo; người khuyết tật; phụ nữ mang thai hoặc nuôi con dưới 36 tháng; người mắc bệnh hiểm nghèo (theo kết luận của bệnh viện cấp tỉnh hoặc tương đương trở lên); thành viên hộ nghèo có giấy chứng nhận; người không biết chữ hoặc học vấn bằng hoặc thấp hơn tiểu học.</w:t>
            </w:r>
          </w:p>
        </w:tc>
      </w:tr>
      <w:tr w14:paraId="5DDB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4AE046B">
            <w:pPr>
              <w:spacing w:after="0" w:line="240" w:lineRule="auto"/>
            </w:pPr>
            <w:r>
              <w:rPr>
                <w:sz w:val="19"/>
              </w:rPr>
              <w:t>Xử lý khiếu nại</w:t>
            </w:r>
          </w:p>
        </w:tc>
        <w:tc>
          <w:tcPr>
            <w:tcW w:w="12472" w:type="dxa"/>
          </w:tcPr>
          <w:p w14:paraId="1265C41D">
            <w:pPr>
              <w:spacing w:after="0" w:line="240" w:lineRule="auto"/>
            </w:pPr>
            <w:r>
              <w:rPr>
                <w:sz w:val="19"/>
              </w:rPr>
              <w:t>Khách thuộc nhóm dễ bị tổn thương được xác nhận khiếu nại trong 24 giờ; vấn đề thông thường xử lý trong 5 đến 12 ngày làm việc, vấn đề phức tạp 13 đến 26 ngày làm việc. Lưu ý: một lần đọc báo tài liệu không có mục quy định riêng cho tư vấn viên, lần khác báo có; cần đối chiếu file gốc.</w:t>
            </w:r>
          </w:p>
        </w:tc>
      </w:tr>
      <w:tr w14:paraId="787F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FECA9C7">
            <w:pPr>
              <w:spacing w:after="0" w:line="240" w:lineRule="auto"/>
            </w:pPr>
            <w:r>
              <w:rPr>
                <w:sz w:val="19"/>
              </w:rPr>
              <w:t>Cam kết giải quyết quyền lợi (trang web)</w:t>
            </w:r>
          </w:p>
        </w:tc>
        <w:tc>
          <w:tcPr>
            <w:tcW w:w="12472" w:type="dxa"/>
          </w:tcPr>
          <w:p w14:paraId="2825C83D">
            <w:pPr>
              <w:spacing w:after="0" w:line="240" w:lineRule="auto"/>
            </w:pPr>
            <w:r>
              <w:rPr>
                <w:sz w:val="19"/>
              </w:rPr>
              <w:t>Thông báo ngay khi nhận yêu cầu; thời gian xử lý trung bình 3 đến 5 ngày, không quá 30 ngày kể từ khi nhận đủ chứng từ, tùy loại yêu cầu; phản hồi bổ sung chứng từ trong 3 ngày. Trang cũng ghi "thông báo quyết định trong thời gian sớm nhất 30 phút", câu này cần hỏi lại trước khi dùng.</w:t>
            </w:r>
          </w:p>
        </w:tc>
      </w:tr>
    </w:tbl>
    <w:p w14:paraId="7B871FD6"/>
    <w:sectPr>
      <w:pgSz w:w="15840" w:h="12240" w:orient="landscape"/>
      <w:pgMar w:top="1020"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5140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3774</Words>
  <Characters>14726</Characters>
  <Lines>0</Lines>
  <Paragraphs>0</Paragraphs>
  <TotalTime>1</TotalTime>
  <ScaleCrop>false</ScaleCrop>
  <LinksUpToDate>false</LinksUpToDate>
  <CharactersWithSpaces>18291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Bách Sỹ Nguyễn</cp:lastModifiedBy>
  <dcterms:modified xsi:type="dcterms:W3CDTF">2026-10-22T02:24:39Z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eyJoZGlkIjoiZmE0ZDBmMzdhYzgzNGYzYmFlNjlhMjFjYzA0NDMyOWIiLCJ1c2VySWQiOiIxMzkyMTUyMjM0NDMxIn0=</vt:lpwstr>
  </property>
  <property fmtid="{D5CDD505-2E9C-101B-9397-08002B2CF9AE}" pid="3" name="KSOProductBuildVer">
    <vt:lpwstr>1033-12.1.0.29162</vt:lpwstr>
  </property>
  <property fmtid="{D5CDD505-2E9C-101B-9397-08002B2CF9AE}" pid="4" name="ICV">
    <vt:lpwstr>F6FFAAFDA9624A9FBE73BA325E1D0B37_12</vt:lpwstr>
  </property>
</Properties>
</file>