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5A395F8">
      <w:pPr>
        <w:pStyle w:val="36"/>
      </w:pPr>
      <w:r>
        <w:t>So sánh dữ liệu công khai của Prudential, Manulife và Bảo Việt Nhân Thọ cho IX.VOICE</w:t>
      </w:r>
    </w:p>
    <w:p w14:paraId="73500CE3">
      <w:r>
        <w:rPr>
          <w:b w:val="0"/>
        </w:rPr>
        <w:t>Tổng hợp từ 3 bài riêng (Prudential, Manulife, Bảo Việt). So sánh theo tiêu chí dùng được để đánh giá cuộc tư vấn, mỗi ô ghi evidence là tài liệu và số điều. Cập nhật 22/10/2026.</w:t>
      </w:r>
    </w:p>
    <w:p w14:paraId="3CEA3572">
      <w:pPr>
        <w:pStyle w:val="2"/>
      </w:pPr>
      <w:r>
        <w:t>1. Cách đọc bảng</w:t>
      </w:r>
    </w:p>
    <w:p w14:paraId="0C33412A">
      <w:pPr>
        <w:pStyle w:val="23"/>
      </w:pPr>
      <w:r>
        <w:t>Không so sánh giá trị hay lợi nhuận sản phẩm. Chỉ xét: tài liệu có truy vết được không, và có nội dung nào để viết tiêu chí đánh giá tư vấn.</w:t>
      </w:r>
    </w:p>
    <w:p w14:paraId="4DE7FAA7">
      <w:pPr>
        <w:pStyle w:val="23"/>
      </w:pPr>
      <w:r>
        <w:t>"Chưa thấy" nghĩa là không có trong phần mình đọc được. Vì nhiều file bị cắt, không có nghĩa tài liệu gốc không có.</w:t>
      </w:r>
    </w:p>
    <w:p w14:paraId="7870AA81">
      <w:pPr>
        <w:pStyle w:val="23"/>
      </w:pPr>
      <w:r>
        <w:t>Các sản phẩm khác loại (giáo dục, tử kỳ, liên kết đơn vị, hỗn hợp bệnh nghiêm trọng), nên so sánh theo loại nội dung chung, không so quyền lợi từng sản phẩm.</w:t>
      </w:r>
    </w:p>
    <w:p w14:paraId="570CE024">
      <w:pPr>
        <w:pStyle w:val="2"/>
      </w:pPr>
      <w:r>
        <w:t>2. Độ truy vết và đầy đủ của nguồn</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66"/>
        <w:gridCol w:w="4007"/>
        <w:gridCol w:w="4023"/>
        <w:gridCol w:w="3520"/>
      </w:tblGrid>
      <w:tr w14:paraId="22FB11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1" w:type="dxa"/>
            <w:shd w:val="clear" w:color="auto" w:fill="D9E2F3"/>
          </w:tcPr>
          <w:p w14:paraId="1DABEABB">
            <w:pPr>
              <w:spacing w:after="0" w:line="240" w:lineRule="auto"/>
            </w:pPr>
            <w:r>
              <w:rPr>
                <w:b/>
                <w:sz w:val="19"/>
              </w:rPr>
              <w:t>Tiêu chí nguồn</w:t>
            </w:r>
          </w:p>
        </w:tc>
        <w:tc>
          <w:tcPr>
            <w:tcW w:w="4139" w:type="dxa"/>
            <w:shd w:val="clear" w:color="auto" w:fill="D9E2F3"/>
          </w:tcPr>
          <w:p w14:paraId="79AE2F92">
            <w:pPr>
              <w:spacing w:after="0" w:line="240" w:lineRule="auto"/>
            </w:pPr>
            <w:r>
              <w:rPr>
                <w:b/>
                <w:sz w:val="19"/>
              </w:rPr>
              <w:t>Prudential</w:t>
            </w:r>
          </w:p>
        </w:tc>
        <w:tc>
          <w:tcPr>
            <w:tcW w:w="4139" w:type="dxa"/>
            <w:shd w:val="clear" w:color="auto" w:fill="D9E2F3"/>
          </w:tcPr>
          <w:p w14:paraId="7D8E7A9C">
            <w:pPr>
              <w:spacing w:after="0" w:line="240" w:lineRule="auto"/>
            </w:pPr>
            <w:r>
              <w:rPr>
                <w:b/>
                <w:sz w:val="19"/>
              </w:rPr>
              <w:t>Manulife</w:t>
            </w:r>
          </w:p>
        </w:tc>
        <w:tc>
          <w:tcPr>
            <w:tcW w:w="3628" w:type="dxa"/>
            <w:shd w:val="clear" w:color="auto" w:fill="D9E2F3"/>
          </w:tcPr>
          <w:p w14:paraId="4B8AA561">
            <w:pPr>
              <w:spacing w:after="0" w:line="240" w:lineRule="auto"/>
            </w:pPr>
            <w:r>
              <w:rPr>
                <w:b/>
                <w:sz w:val="19"/>
              </w:rPr>
              <w:t>Bảo Việt Nhân Thọ</w:t>
            </w:r>
          </w:p>
        </w:tc>
      </w:tr>
      <w:tr w14:paraId="1E2532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1" w:type="dxa"/>
          </w:tcPr>
          <w:p w14:paraId="3CC1D4EC">
            <w:pPr>
              <w:spacing w:after="0" w:line="240" w:lineRule="auto"/>
            </w:pPr>
            <w:r>
              <w:rPr>
                <w:sz w:val="19"/>
              </w:rPr>
              <w:t>Số công văn phê chuẩn</w:t>
            </w:r>
          </w:p>
        </w:tc>
        <w:tc>
          <w:tcPr>
            <w:tcW w:w="4139" w:type="dxa"/>
          </w:tcPr>
          <w:p w14:paraId="3909AF95">
            <w:pPr>
              <w:spacing w:after="0" w:line="240" w:lineRule="auto"/>
            </w:pPr>
            <w:r>
              <w:rPr>
                <w:sz w:val="19"/>
              </w:rPr>
              <w:t>Có. Edu Saver: CV 12323/BTC-QLBH (15/09/2017), sửa đổi CV 1223/BTC-QLBH (10/02/2020). An Tâm Bảo Tín: CV 11307/BTC-QLBH (17/09/2020)</w:t>
            </w:r>
          </w:p>
        </w:tc>
        <w:tc>
          <w:tcPr>
            <w:tcW w:w="4139" w:type="dxa"/>
          </w:tcPr>
          <w:p w14:paraId="0C765184">
            <w:pPr>
              <w:spacing w:after="0" w:line="240" w:lineRule="auto"/>
            </w:pPr>
            <w:r>
              <w:rPr>
                <w:sz w:val="19"/>
              </w:rPr>
              <w:t>Có. Hỗn hợp: CV 1997/BTC-QLBH (20/02/2019). Bảo vệ linh hoạt: CV 12030/BTC-QLBH (29/08/2016). Liên kết đơn vị V7: CV 1983/BTC-QLBH (13/02/2026)</w:t>
            </w:r>
          </w:p>
        </w:tc>
        <w:tc>
          <w:tcPr>
            <w:tcW w:w="3628" w:type="dxa"/>
          </w:tcPr>
          <w:p w14:paraId="43B7B89A">
            <w:pPr>
              <w:spacing w:after="0" w:line="240" w:lineRule="auto"/>
            </w:pPr>
            <w:r>
              <w:rPr>
                <w:sz w:val="19"/>
              </w:rPr>
              <w:t>Một phần. Bổ trợ DK-R20: CV 2217/BTC-QLBH (08/03/2022). An Phúc Gia Lộc: không thấy</w:t>
            </w:r>
          </w:p>
        </w:tc>
      </w:tr>
      <w:tr w14:paraId="4B36C0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1" w:type="dxa"/>
          </w:tcPr>
          <w:p w14:paraId="5F8E1E84">
            <w:pPr>
              <w:spacing w:after="0" w:line="240" w:lineRule="auto"/>
            </w:pPr>
            <w:r>
              <w:rPr>
                <w:sz w:val="19"/>
              </w:rPr>
              <w:t>Mã phiên bản, hiệu lực</w:t>
            </w:r>
          </w:p>
        </w:tc>
        <w:tc>
          <w:tcPr>
            <w:tcW w:w="4139" w:type="dxa"/>
          </w:tcPr>
          <w:p w14:paraId="79C04513">
            <w:pPr>
              <w:spacing w:after="0" w:line="240" w:lineRule="auto"/>
            </w:pPr>
            <w:r>
              <w:rPr>
                <w:sz w:val="19"/>
              </w:rPr>
              <w:t>Có. Edu Saver V2_072020; Hồ sơ yêu cầu V.07/2025 (từ 01/07/2025); Chính sách khách dễ bị tổn thương V2025.1 (từ 05/06/2025); Chính sách bảo mật V2026.01 (từ 01/01/2026)</w:t>
            </w:r>
          </w:p>
        </w:tc>
        <w:tc>
          <w:tcPr>
            <w:tcW w:w="4139" w:type="dxa"/>
          </w:tcPr>
          <w:p w14:paraId="28791709">
            <w:pPr>
              <w:spacing w:after="0" w:line="240" w:lineRule="auto"/>
            </w:pPr>
            <w:r>
              <w:rPr>
                <w:sz w:val="19"/>
              </w:rPr>
              <w:t>Có một phần. Liên kết đơn vị Phiên bản 7, Quyết định 00555/2026/MVL-Product (24/02/2026). Bộ điều khoản điện tử áp dụng từ 17/01/2021</w:t>
            </w:r>
          </w:p>
        </w:tc>
        <w:tc>
          <w:tcPr>
            <w:tcW w:w="3628" w:type="dxa"/>
          </w:tcPr>
          <w:p w14:paraId="161853CA">
            <w:pPr>
              <w:spacing w:after="0" w:line="240" w:lineRule="auto"/>
            </w:pPr>
            <w:r>
              <w:rPr>
                <w:sz w:val="19"/>
              </w:rPr>
              <w:t>Không thấy phiên bản hay ngày cho các file điều khoản</w:t>
            </w:r>
          </w:p>
        </w:tc>
      </w:tr>
      <w:tr w14:paraId="527F18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1" w:type="dxa"/>
          </w:tcPr>
          <w:p w14:paraId="4FA506DC">
            <w:pPr>
              <w:spacing w:after="0" w:line="240" w:lineRule="auto"/>
            </w:pPr>
            <w:r>
              <w:rPr>
                <w:sz w:val="19"/>
              </w:rPr>
              <w:t>Mức đọc được</w:t>
            </w:r>
          </w:p>
        </w:tc>
        <w:tc>
          <w:tcPr>
            <w:tcW w:w="4139" w:type="dxa"/>
          </w:tcPr>
          <w:p w14:paraId="0F1FDE30">
            <w:pPr>
              <w:spacing w:after="0" w:line="240" w:lineRule="auto"/>
            </w:pPr>
            <w:r>
              <w:rPr>
                <w:sz w:val="19"/>
              </w:rPr>
              <w:t>Đầy đủ với Edu Saver và An Tâm Bảo Tín</w:t>
            </w:r>
          </w:p>
        </w:tc>
        <w:tc>
          <w:tcPr>
            <w:tcW w:w="4139" w:type="dxa"/>
          </w:tcPr>
          <w:p w14:paraId="739647E2">
            <w:pPr>
              <w:spacing w:after="0" w:line="240" w:lineRule="auto"/>
            </w:pPr>
            <w:r>
              <w:rPr>
                <w:sz w:val="19"/>
              </w:rPr>
              <w:t>Bị cắt: Hỗn hợp dừng ở Điều 28, thiếu phụ lục bệnh; Liên kết đơn vị dừng ở Điều 22.2; TechcareEasy thiếu cuối bổ trợ</w:t>
            </w:r>
          </w:p>
        </w:tc>
        <w:tc>
          <w:tcPr>
            <w:tcW w:w="3628" w:type="dxa"/>
          </w:tcPr>
          <w:p w14:paraId="3F4FBB15">
            <w:pPr>
              <w:spacing w:after="0" w:line="240" w:lineRule="auto"/>
            </w:pPr>
            <w:r>
              <w:rPr>
                <w:sz w:val="19"/>
              </w:rPr>
              <w:t>Bị cắt: An Phúc Gia Lộc dừng ở Điều 21.2, thứ tự điều xáo; An Bình Thịnh Vượng chỉ là tóm tắt</w:t>
            </w:r>
          </w:p>
        </w:tc>
      </w:tr>
      <w:tr w14:paraId="7DC9A8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1" w:type="dxa"/>
          </w:tcPr>
          <w:p w14:paraId="37D8D2B4">
            <w:pPr>
              <w:spacing w:after="0" w:line="240" w:lineRule="auto"/>
            </w:pPr>
            <w:r>
              <w:rPr>
                <w:sz w:val="19"/>
              </w:rPr>
              <w:t>Tài liệu mới nhất đã mở</w:t>
            </w:r>
          </w:p>
        </w:tc>
        <w:tc>
          <w:tcPr>
            <w:tcW w:w="4139" w:type="dxa"/>
          </w:tcPr>
          <w:p w14:paraId="1DFBF7A0">
            <w:pPr>
              <w:spacing w:after="0" w:line="240" w:lineRule="auto"/>
            </w:pPr>
            <w:r>
              <w:rPr>
                <w:sz w:val="19"/>
              </w:rPr>
              <w:t>Chính sách bảo mật V2026.01 (01/2026)</w:t>
            </w:r>
          </w:p>
        </w:tc>
        <w:tc>
          <w:tcPr>
            <w:tcW w:w="4139" w:type="dxa"/>
          </w:tcPr>
          <w:p w14:paraId="67CD1448">
            <w:pPr>
              <w:spacing w:after="0" w:line="240" w:lineRule="auto"/>
            </w:pPr>
            <w:r>
              <w:rPr>
                <w:sz w:val="19"/>
              </w:rPr>
              <w:t>Liên kết đơn vị Phiên bản 7 (02/2026)</w:t>
            </w:r>
          </w:p>
        </w:tc>
        <w:tc>
          <w:tcPr>
            <w:tcW w:w="3628" w:type="dxa"/>
          </w:tcPr>
          <w:p w14:paraId="64BE786A">
            <w:pPr>
              <w:spacing w:after="0" w:line="240" w:lineRule="auto"/>
            </w:pPr>
            <w:r>
              <w:rPr>
                <w:sz w:val="19"/>
              </w:rPr>
              <w:t>Cẩm nang tra giá 01/2026 (chưa mở). Điều khoản đã mở không có ngày</w:t>
            </w:r>
          </w:p>
        </w:tc>
      </w:tr>
      <w:tr w14:paraId="76D34F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1" w:type="dxa"/>
          </w:tcPr>
          <w:p w14:paraId="73435E3C">
            <w:pPr>
              <w:spacing w:after="0" w:line="240" w:lineRule="auto"/>
            </w:pPr>
            <w:r>
              <w:rPr>
                <w:sz w:val="19"/>
              </w:rPr>
              <w:t>Tài liệu ngoài điều khoản sản phẩm</w:t>
            </w:r>
          </w:p>
        </w:tc>
        <w:tc>
          <w:tcPr>
            <w:tcW w:w="4139" w:type="dxa"/>
          </w:tcPr>
          <w:p w14:paraId="4056BB74">
            <w:pPr>
              <w:spacing w:after="0" w:line="240" w:lineRule="auto"/>
            </w:pPr>
            <w:r>
              <w:rPr>
                <w:sz w:val="19"/>
              </w:rPr>
              <w:t>Có: Hồ sơ yêu cầu (cam kết khách, cam kết tư vấn viên), chính sách khách dễ bị tổn thương, cam kết giải quyết quyền lợi, chính sách bảo mật</w:t>
            </w:r>
          </w:p>
        </w:tc>
        <w:tc>
          <w:tcPr>
            <w:tcW w:w="4139" w:type="dxa"/>
          </w:tcPr>
          <w:p w14:paraId="05BD4922">
            <w:pPr>
              <w:spacing w:after="0" w:line="240" w:lineRule="auto"/>
            </w:pPr>
            <w:r>
              <w:rPr>
                <w:sz w:val="19"/>
              </w:rPr>
              <w:t>Ít: hướng dẫn xem điều khoản điện tử, "Thông tin quan trọng cần biết"</w:t>
            </w:r>
          </w:p>
        </w:tc>
        <w:tc>
          <w:tcPr>
            <w:tcW w:w="3628" w:type="dxa"/>
          </w:tcPr>
          <w:p w14:paraId="511D0426">
            <w:pPr>
              <w:spacing w:after="0" w:line="240" w:lineRule="auto"/>
            </w:pPr>
            <w:r>
              <w:rPr>
                <w:sz w:val="19"/>
              </w:rPr>
              <w:t>Ít: tóm tắt điều khoản; cẩm nang chưa mở</w:t>
            </w:r>
          </w:p>
        </w:tc>
      </w:tr>
      <w:tr w14:paraId="39748F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1" w:type="dxa"/>
          </w:tcPr>
          <w:p w14:paraId="1F94A71B">
            <w:pPr>
              <w:spacing w:after="0" w:line="240" w:lineRule="auto"/>
            </w:pPr>
            <w:r>
              <w:rPr>
                <w:sz w:val="19"/>
              </w:rPr>
              <w:t>Điều khoản bản quyền, sử dụng</w:t>
            </w:r>
          </w:p>
        </w:tc>
        <w:tc>
          <w:tcPr>
            <w:tcW w:w="4139" w:type="dxa"/>
          </w:tcPr>
          <w:p w14:paraId="1C319009">
            <w:pPr>
              <w:spacing w:after="0" w:line="240" w:lineRule="auto"/>
            </w:pPr>
            <w:r>
              <w:rPr>
                <w:sz w:val="19"/>
              </w:rPr>
              <w:t>Chưa thấy</w:t>
            </w:r>
          </w:p>
        </w:tc>
        <w:tc>
          <w:tcPr>
            <w:tcW w:w="4139" w:type="dxa"/>
          </w:tcPr>
          <w:p w14:paraId="5CE91E86">
            <w:pPr>
              <w:spacing w:after="0" w:line="240" w:lineRule="auto"/>
            </w:pPr>
            <w:r>
              <w:rPr>
                <w:sz w:val="19"/>
              </w:rPr>
              <w:t>Chưa thấy</w:t>
            </w:r>
          </w:p>
        </w:tc>
        <w:tc>
          <w:tcPr>
            <w:tcW w:w="3628" w:type="dxa"/>
          </w:tcPr>
          <w:p w14:paraId="25F38A44">
            <w:pPr>
              <w:spacing w:after="0" w:line="240" w:lineRule="auto"/>
            </w:pPr>
            <w:r>
              <w:rPr>
                <w:sz w:val="19"/>
              </w:rPr>
              <w:t>Chưa thấy</w:t>
            </w:r>
          </w:p>
        </w:tc>
      </w:tr>
    </w:tbl>
    <w:p w14:paraId="5FAABA3B"/>
    <w:p w14:paraId="64E5A684">
      <w:pPr>
        <w:pStyle w:val="2"/>
      </w:pPr>
      <w:r>
        <w:t>3. Ma trận tiêu chí và evidence</w:t>
      </w:r>
    </w:p>
    <w:p w14:paraId="5163258C">
      <w:r>
        <w:rPr>
          <w:b w:val="0"/>
        </w:rPr>
        <w:t>Mỗi dòng là một tiêu chí tiêu biểu có thể kiểm tra trong cuộc tư vấn. Cột nội dung ghi evidence cụ thể.</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76"/>
        <w:gridCol w:w="3946"/>
        <w:gridCol w:w="3952"/>
        <w:gridCol w:w="3942"/>
      </w:tblGrid>
      <w:tr w14:paraId="1C3E4D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shd w:val="clear" w:color="auto" w:fill="D9E2F3"/>
          </w:tcPr>
          <w:p w14:paraId="032B012B">
            <w:pPr>
              <w:spacing w:after="0" w:line="240" w:lineRule="auto"/>
            </w:pPr>
            <w:r>
              <w:rPr>
                <w:b/>
                <w:sz w:val="19"/>
              </w:rPr>
              <w:t>Tiêu chí</w:t>
            </w:r>
          </w:p>
        </w:tc>
        <w:tc>
          <w:tcPr>
            <w:tcW w:w="4139" w:type="dxa"/>
            <w:shd w:val="clear" w:color="auto" w:fill="D9E2F3"/>
          </w:tcPr>
          <w:p w14:paraId="5E01A999">
            <w:pPr>
              <w:spacing w:after="0" w:line="240" w:lineRule="auto"/>
            </w:pPr>
            <w:r>
              <w:rPr>
                <w:b/>
                <w:sz w:val="19"/>
              </w:rPr>
              <w:t>Prudential</w:t>
            </w:r>
          </w:p>
        </w:tc>
        <w:tc>
          <w:tcPr>
            <w:tcW w:w="4139" w:type="dxa"/>
            <w:shd w:val="clear" w:color="auto" w:fill="D9E2F3"/>
          </w:tcPr>
          <w:p w14:paraId="75DF6A66">
            <w:pPr>
              <w:spacing w:after="0" w:line="240" w:lineRule="auto"/>
            </w:pPr>
            <w:r>
              <w:rPr>
                <w:b/>
                <w:sz w:val="19"/>
              </w:rPr>
              <w:t>Manulife</w:t>
            </w:r>
          </w:p>
        </w:tc>
        <w:tc>
          <w:tcPr>
            <w:tcW w:w="4139" w:type="dxa"/>
            <w:shd w:val="clear" w:color="auto" w:fill="D9E2F3"/>
          </w:tcPr>
          <w:p w14:paraId="12416C13">
            <w:pPr>
              <w:spacing w:after="0" w:line="240" w:lineRule="auto"/>
            </w:pPr>
            <w:r>
              <w:rPr>
                <w:b/>
                <w:sz w:val="19"/>
              </w:rPr>
              <w:t>Bảo Việt Nhân Thọ</w:t>
            </w:r>
          </w:p>
        </w:tc>
      </w:tr>
      <w:tr w14:paraId="3B53A9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14:paraId="11280F19">
            <w:pPr>
              <w:spacing w:after="0" w:line="240" w:lineRule="auto"/>
            </w:pPr>
            <w:r>
              <w:rPr>
                <w:sz w:val="19"/>
              </w:rPr>
              <w:t>1. Thời gian cân nhắc 21 ngày</w:t>
            </w:r>
          </w:p>
        </w:tc>
        <w:tc>
          <w:tcPr>
            <w:tcW w:w="4139" w:type="dxa"/>
          </w:tcPr>
          <w:p w14:paraId="21C24A98">
            <w:pPr>
              <w:spacing w:after="0" w:line="240" w:lineRule="auto"/>
            </w:pPr>
            <w:r>
              <w:rPr>
                <w:sz w:val="19"/>
              </w:rPr>
              <w:t>Có. Edu Saver Điều 4 và An Tâm Bảo Tín Điều 4: 21 ngày kể từ khi nhận hợp đồng, hoàn phí không lãi, trừ chi phí xét nghiệm. Hồ sơ yêu cầu J.2: tính từ ngày nhận bản giấy</w:t>
            </w:r>
          </w:p>
        </w:tc>
        <w:tc>
          <w:tcPr>
            <w:tcW w:w="4139" w:type="dxa"/>
          </w:tcPr>
          <w:p w14:paraId="6471C33B">
            <w:pPr>
              <w:spacing w:after="0" w:line="240" w:lineRule="auto"/>
            </w:pPr>
            <w:r>
              <w:rPr>
                <w:sz w:val="19"/>
              </w:rPr>
              <w:t>Có. Hỗn hợp Điều 4: 21 ngày, hoàn phí không lãi trừ chi phí khám và quyền lợi đã chi. Liên kết đơn vị Điều 3.1: tính từ khi bên mua xác nhận nhận bản giấy. Bảo vệ linh hoạt: chưa thấy</w:t>
            </w:r>
          </w:p>
        </w:tc>
        <w:tc>
          <w:tcPr>
            <w:tcW w:w="4139" w:type="dxa"/>
          </w:tcPr>
          <w:p w14:paraId="3145988B">
            <w:pPr>
              <w:spacing w:after="0" w:line="240" w:lineRule="auto"/>
            </w:pPr>
            <w:r>
              <w:rPr>
                <w:sz w:val="19"/>
              </w:rPr>
              <w:t>Một phần. An Bình Thịnh Vượng (tóm tắt) Điều 23, Khoản 5c: hủy trong 21 ngày. An Phúc Gia Lộc: chưa thấy trong phần đọc được</w:t>
            </w:r>
          </w:p>
        </w:tc>
      </w:tr>
      <w:tr w14:paraId="39AB9A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14:paraId="5C56D733">
            <w:pPr>
              <w:spacing w:after="0" w:line="240" w:lineRule="auto"/>
            </w:pPr>
            <w:r>
              <w:rPr>
                <w:sz w:val="19"/>
              </w:rPr>
              <w:t>2. Kê khai trung thực</w:t>
            </w:r>
          </w:p>
        </w:tc>
        <w:tc>
          <w:tcPr>
            <w:tcW w:w="4139" w:type="dxa"/>
          </w:tcPr>
          <w:p w14:paraId="04207C1B">
            <w:pPr>
              <w:spacing w:after="0" w:line="240" w:lineRule="auto"/>
            </w:pPr>
            <w:r>
              <w:rPr>
                <w:sz w:val="19"/>
              </w:rPr>
              <w:t>Có. Edu Saver Điều 11.2.a; An Tâm Bảo Tín Điều 10.2.a: cố ý sai ảnh hưởng quyết định nhận bảo hiểm thì không chi trả, hoàn giá trị hoàn lại; không ảnh hưởng thì vẫn chi trả, có thể thu thêm phí. Hồ sơ J.1, J.5</w:t>
            </w:r>
          </w:p>
        </w:tc>
        <w:tc>
          <w:tcPr>
            <w:tcW w:w="4139" w:type="dxa"/>
          </w:tcPr>
          <w:p w14:paraId="00B3F2C7">
            <w:pPr>
              <w:spacing w:after="0" w:line="240" w:lineRule="auto"/>
            </w:pPr>
            <w:r>
              <w:rPr>
                <w:sz w:val="19"/>
              </w:rPr>
              <w:t>Có. Hỗn hợp Điều 6 (cố ý sai thì chấm dứt, hoàn giá trị hoàn lại; không ảnh hưởng thì thu thêm phí); Bảo vệ linh hoạt Điều 4; Liên kết đơn vị Điều 2.2, 2.3</w:t>
            </w:r>
          </w:p>
        </w:tc>
        <w:tc>
          <w:tcPr>
            <w:tcW w:w="4139" w:type="dxa"/>
          </w:tcPr>
          <w:p w14:paraId="3FF55A9B">
            <w:pPr>
              <w:spacing w:after="0" w:line="240" w:lineRule="auto"/>
            </w:pPr>
            <w:r>
              <w:rPr>
                <w:sz w:val="19"/>
              </w:rPr>
              <w:t>Có. An Phúc Gia Lộc Điều 4: cố ý thì chấm dứt, trả giá trị giải ước. An Bình Thịnh Vượng Khoản 4 (theo Điều 6): vi phạm có thể không được chi trả</w:t>
            </w:r>
          </w:p>
        </w:tc>
      </w:tr>
      <w:tr w14:paraId="50D597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14:paraId="66AC4C07">
            <w:pPr>
              <w:spacing w:after="0" w:line="240" w:lineRule="auto"/>
            </w:pPr>
            <w:r>
              <w:rPr>
                <w:sz w:val="19"/>
              </w:rPr>
              <w:t>3. Miễn truy xét 24 tháng</w:t>
            </w:r>
          </w:p>
        </w:tc>
        <w:tc>
          <w:tcPr>
            <w:tcW w:w="4139" w:type="dxa"/>
          </w:tcPr>
          <w:p w14:paraId="278A8DD3">
            <w:pPr>
              <w:spacing w:after="0" w:line="240" w:lineRule="auto"/>
            </w:pPr>
            <w:r>
              <w:rPr>
                <w:sz w:val="19"/>
              </w:rPr>
              <w:t>Có. Edu Saver Điều 6: 24 tháng từ hiệu lực hoặc khôi phục gần nhất, không áp dụng nếu cố ý. Lưu ý: số điều Edu Saver giữa các lần đọc có lệch</w:t>
            </w:r>
          </w:p>
        </w:tc>
        <w:tc>
          <w:tcPr>
            <w:tcW w:w="4139" w:type="dxa"/>
          </w:tcPr>
          <w:p w14:paraId="41EDE2BC">
            <w:pPr>
              <w:spacing w:after="0" w:line="240" w:lineRule="auto"/>
            </w:pPr>
            <w:r>
              <w:rPr>
                <w:sz w:val="19"/>
              </w:rPr>
              <w:t>Có. Hỗn hợp Điều 8; Liên kết đơn vị Điều 2.4 (không áp dụng sai tuổi, giới tính vô ý hoặc cố ý)</w:t>
            </w:r>
          </w:p>
        </w:tc>
        <w:tc>
          <w:tcPr>
            <w:tcW w:w="4139" w:type="dxa"/>
          </w:tcPr>
          <w:p w14:paraId="2912B519">
            <w:pPr>
              <w:spacing w:after="0" w:line="240" w:lineRule="auto"/>
            </w:pPr>
            <w:r>
              <w:rPr>
                <w:sz w:val="19"/>
              </w:rPr>
              <w:t>Có. An Phúc Gia Lộc Điều 5: 24 tháng, không áp dụng cố ý (Điều 4.2)</w:t>
            </w:r>
          </w:p>
        </w:tc>
      </w:tr>
      <w:tr w14:paraId="37FA64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14:paraId="7E9F372B">
            <w:pPr>
              <w:spacing w:after="0" w:line="240" w:lineRule="auto"/>
            </w:pPr>
            <w:r>
              <w:rPr>
                <w:sz w:val="19"/>
              </w:rPr>
              <w:t>4. Loại trừ tự tử</w:t>
            </w:r>
          </w:p>
        </w:tc>
        <w:tc>
          <w:tcPr>
            <w:tcW w:w="4139" w:type="dxa"/>
          </w:tcPr>
          <w:p w14:paraId="48C7B954">
            <w:pPr>
              <w:spacing w:after="0" w:line="240" w:lineRule="auto"/>
            </w:pPr>
            <w:r>
              <w:rPr>
                <w:sz w:val="19"/>
              </w:rPr>
              <w:t>Có. Edu Saver Điều 10.1: 2 năm đầu hoặc 2 năm từ lần khôi phục. An Tâm Bảo Tín Điều 9.1: 24 tháng đầu</w:t>
            </w:r>
          </w:p>
        </w:tc>
        <w:tc>
          <w:tcPr>
            <w:tcW w:w="4139" w:type="dxa"/>
          </w:tcPr>
          <w:p w14:paraId="4DFD0945">
            <w:pPr>
              <w:spacing w:after="0" w:line="240" w:lineRule="auto"/>
            </w:pPr>
            <w:r>
              <w:rPr>
                <w:sz w:val="19"/>
              </w:rPr>
              <w:t>Có. Hỗn hợp Điều 19.1: 2 năm đầu. Bảo vệ linh hoạt Điều 10: 2 năm. Liên kết đơn vị Điều 18: 2 năm đầu</w:t>
            </w:r>
          </w:p>
        </w:tc>
        <w:tc>
          <w:tcPr>
            <w:tcW w:w="4139" w:type="dxa"/>
          </w:tcPr>
          <w:p w14:paraId="2217D180">
            <w:pPr>
              <w:spacing w:after="0" w:line="240" w:lineRule="auto"/>
            </w:pPr>
            <w:r>
              <w:rPr>
                <w:sz w:val="19"/>
              </w:rPr>
              <w:t>Có. An Phúc Gia Lộc Điều 7: 24 tháng đầu; 7.2 hoàn số lớn hơn giữa phí đã đóng (không lãi) và giá trị giải ước</w:t>
            </w:r>
          </w:p>
        </w:tc>
      </w:tr>
      <w:tr w14:paraId="61B105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14:paraId="60FC0828">
            <w:pPr>
              <w:spacing w:after="0" w:line="240" w:lineRule="auto"/>
            </w:pPr>
            <w:r>
              <w:rPr>
                <w:sz w:val="19"/>
              </w:rPr>
              <w:t>5. Danh mục loại trừ khác</w:t>
            </w:r>
          </w:p>
        </w:tc>
        <w:tc>
          <w:tcPr>
            <w:tcW w:w="4139" w:type="dxa"/>
          </w:tcPr>
          <w:p w14:paraId="571B3136">
            <w:pPr>
              <w:spacing w:after="0" w:line="240" w:lineRule="auto"/>
            </w:pPr>
            <w:r>
              <w:rPr>
                <w:sz w:val="19"/>
              </w:rPr>
              <w:t>Có. Edu Saver Điều 10.2: chiến tranh, ma túy, rượu, thể thao chuyên nghiệp, lặn, leo núi, nhảy dù; hàng không trừ hành khách dân dụng</w:t>
            </w:r>
          </w:p>
        </w:tc>
        <w:tc>
          <w:tcPr>
            <w:tcW w:w="4139" w:type="dxa"/>
          </w:tcPr>
          <w:p w14:paraId="4CB3421B">
            <w:pPr>
              <w:spacing w:after="0" w:line="240" w:lineRule="auto"/>
            </w:pPr>
            <w:r>
              <w:rPr>
                <w:sz w:val="19"/>
              </w:rPr>
              <w:t>Có. Liên kết đơn vị Điều 17: ma túy, thể thao mạo hiểm, chiến tranh, khủng bố, hàng không trừ hành khách thương mại, vượt tốc độ hoặc nồng độ cồn</w:t>
            </w:r>
          </w:p>
        </w:tc>
        <w:tc>
          <w:tcPr>
            <w:tcW w:w="4139" w:type="dxa"/>
          </w:tcPr>
          <w:p w14:paraId="68F65E8C">
            <w:pPr>
              <w:spacing w:after="0" w:line="240" w:lineRule="auto"/>
            </w:pPr>
            <w:r>
              <w:rPr>
                <w:sz w:val="19"/>
              </w:rPr>
              <w:t>Có. An Phúc Gia Lộc Điều 7: rượu bia, ma túy, HIV/AIDS, nhảy dù, đua xe, săn bắn, đấm bốc, lặn, chiến tranh, khủng bố. DK-R20 Điều 10 (bổ trợ sức khỏe) liệt kê rất dài</w:t>
            </w:r>
          </w:p>
        </w:tc>
      </w:tr>
      <w:tr w14:paraId="352BA5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14:paraId="5F4F339B">
            <w:pPr>
              <w:spacing w:after="0" w:line="240" w:lineRule="auto"/>
            </w:pPr>
            <w:r>
              <w:rPr>
                <w:sz w:val="19"/>
              </w:rPr>
              <w:t>6. Thời gian chờ</w:t>
            </w:r>
          </w:p>
        </w:tc>
        <w:tc>
          <w:tcPr>
            <w:tcW w:w="4139" w:type="dxa"/>
          </w:tcPr>
          <w:p w14:paraId="0A4B5EF5">
            <w:pPr>
              <w:spacing w:after="0" w:line="240" w:lineRule="auto"/>
            </w:pPr>
            <w:r>
              <w:rPr>
                <w:sz w:val="19"/>
              </w:rPr>
              <w:t>Chưa thấy</w:t>
            </w:r>
          </w:p>
        </w:tc>
        <w:tc>
          <w:tcPr>
            <w:tcW w:w="4139" w:type="dxa"/>
          </w:tcPr>
          <w:p w14:paraId="4ACB97A4">
            <w:pPr>
              <w:spacing w:after="0" w:line="240" w:lineRule="auto"/>
            </w:pPr>
            <w:r>
              <w:rPr>
                <w:sz w:val="19"/>
              </w:rPr>
              <w:t>Có. Hỗn hợp Điều 18: 90 ngày với bệnh lý (trừ tai nạn) và sống thêm 30 ngày sau chẩn đoán. Liên kết đơn vị Điều 16: 90 ngày với thương tật do ung thư tuyến giáp. Trợ cấp y tế Điều 3: 30 ngày</w:t>
            </w:r>
          </w:p>
        </w:tc>
        <w:tc>
          <w:tcPr>
            <w:tcW w:w="4139" w:type="dxa"/>
          </w:tcPr>
          <w:p w14:paraId="35AFB2AE">
            <w:pPr>
              <w:spacing w:after="0" w:line="240" w:lineRule="auto"/>
            </w:pPr>
            <w:r>
              <w:rPr>
                <w:sz w:val="19"/>
              </w:rPr>
              <w:t>Có (bổ trợ). DK-R20 Điều 8: chung 30 ngày; bệnh đặc biệt, ung thư, cấy ghép 90 ngày; nha khoa 30 ngày; thai sản 270 ngày; tai nạn không chờ</w:t>
            </w:r>
          </w:p>
        </w:tc>
      </w:tr>
      <w:tr w14:paraId="62F231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14:paraId="6809576E">
            <w:pPr>
              <w:spacing w:after="0" w:line="240" w:lineRule="auto"/>
            </w:pPr>
            <w:r>
              <w:rPr>
                <w:sz w:val="19"/>
              </w:rPr>
              <w:t>7. Thời hạn giải quyết quyền lợi</w:t>
            </w:r>
          </w:p>
        </w:tc>
        <w:tc>
          <w:tcPr>
            <w:tcW w:w="4139" w:type="dxa"/>
          </w:tcPr>
          <w:p w14:paraId="030352E3">
            <w:pPr>
              <w:spacing w:after="0" w:line="240" w:lineRule="auto"/>
            </w:pPr>
            <w:r>
              <w:rPr>
                <w:sz w:val="19"/>
              </w:rPr>
              <w:t>Có. An Tâm Bảo Tín Điều 8.3: nộp trong 12 tháng, xử lý 30 ngày từ khi đủ hồ sơ, chậm trả lãi. Trang Cam kết: quyết định trung bình 3 đến 5 ngày, không quá 30 ngày, phản hồi bổ sung chứng từ trong 3 ngày</w:t>
            </w:r>
          </w:p>
        </w:tc>
        <w:tc>
          <w:tcPr>
            <w:tcW w:w="4139" w:type="dxa"/>
          </w:tcPr>
          <w:p w14:paraId="08C29F37">
            <w:pPr>
              <w:spacing w:after="0" w:line="240" w:lineRule="auto"/>
            </w:pPr>
            <w:r>
              <w:rPr>
                <w:sz w:val="19"/>
              </w:rPr>
              <w:t>Có. Bảo vệ linh hoạt Điều 14: nộp trong 12 tháng, 30 ngày từ khi đủ hồ sơ, chậm trả lãi. Liên kết đơn vị Điều 5: 1 năm, 30 ngày</w:t>
            </w:r>
          </w:p>
        </w:tc>
        <w:tc>
          <w:tcPr>
            <w:tcW w:w="4139" w:type="dxa"/>
          </w:tcPr>
          <w:p w14:paraId="7D0EC2A0">
            <w:pPr>
              <w:spacing w:after="0" w:line="240" w:lineRule="auto"/>
            </w:pPr>
            <w:r>
              <w:rPr>
                <w:sz w:val="19"/>
              </w:rPr>
              <w:t>Có (bổ trợ). DK-R20 Điều 20 đến 22: nộp trong 1 năm, 30 ngày từ khi đủ hồ sơ, có danh sách chứng từ</w:t>
            </w:r>
          </w:p>
        </w:tc>
      </w:tr>
      <w:tr w14:paraId="27D469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14:paraId="09234BDF">
            <w:pPr>
              <w:spacing w:after="0" w:line="240" w:lineRule="auto"/>
            </w:pPr>
            <w:r>
              <w:rPr>
                <w:sz w:val="19"/>
              </w:rPr>
              <w:t>8. Nghĩa vụ giải thích điều khoản của công ty</w:t>
            </w:r>
          </w:p>
        </w:tc>
        <w:tc>
          <w:tcPr>
            <w:tcW w:w="4139" w:type="dxa"/>
          </w:tcPr>
          <w:p w14:paraId="78537AF2">
            <w:pPr>
              <w:spacing w:after="0" w:line="240" w:lineRule="auto"/>
            </w:pPr>
            <w:r>
              <w:rPr>
                <w:sz w:val="19"/>
              </w:rPr>
              <w:t>Có. An Tâm Bảo Tín Điều 11.2: giải thích rõ Quy tắc, Điều khoản. Hồ sơ J.1: khách xác nhận đã được giải thích về quyền lợi, loại trừ, thời hạn cân nhắc</w:t>
            </w:r>
          </w:p>
        </w:tc>
        <w:tc>
          <w:tcPr>
            <w:tcW w:w="4139" w:type="dxa"/>
          </w:tcPr>
          <w:p w14:paraId="60090190">
            <w:pPr>
              <w:spacing w:after="0" w:line="240" w:lineRule="auto"/>
            </w:pPr>
            <w:r>
              <w:rPr>
                <w:sz w:val="19"/>
              </w:rPr>
              <w:t>Có. Hỗn hợp Điều 5: công ty cung cấp thông tin và giải thích điều khoản; thông tin sai sự thật thì bên mua được chấm dứt và nhận lại toàn bộ phí sau khi trừ nợ</w:t>
            </w:r>
          </w:p>
        </w:tc>
        <w:tc>
          <w:tcPr>
            <w:tcW w:w="4139" w:type="dxa"/>
          </w:tcPr>
          <w:p w14:paraId="06F6AC6F">
            <w:pPr>
              <w:spacing w:after="0" w:line="240" w:lineRule="auto"/>
            </w:pPr>
            <w:r>
              <w:rPr>
                <w:sz w:val="19"/>
              </w:rPr>
              <w:t>Chưa thấy trong phần đọc được. Căn cứ chung là Luật KDBH 2022 Điều 19.2, 20.2.b</w:t>
            </w:r>
          </w:p>
        </w:tc>
      </w:tr>
      <w:tr w14:paraId="67834F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14:paraId="2D539DD0">
            <w:pPr>
              <w:spacing w:after="0" w:line="240" w:lineRule="auto"/>
            </w:pPr>
            <w:r>
              <w:rPr>
                <w:sz w:val="19"/>
              </w:rPr>
              <w:t>9. Không hứa lợi ích không đảm bảo</w:t>
            </w:r>
          </w:p>
        </w:tc>
        <w:tc>
          <w:tcPr>
            <w:tcW w:w="4139" w:type="dxa"/>
          </w:tcPr>
          <w:p w14:paraId="3F95A3CA">
            <w:pPr>
              <w:spacing w:after="0" w:line="240" w:lineRule="auto"/>
            </w:pPr>
            <w:r>
              <w:rPr>
                <w:sz w:val="19"/>
              </w:rPr>
              <w:t>Một phần. Edu Saver Điều 8.1: bảo tức đã công bố và lãi chia cuối hợp đồng là khoản cộng thêm; chưa xác nhận câu chữ "không đảm bảo"</w:t>
            </w:r>
          </w:p>
        </w:tc>
        <w:tc>
          <w:tcPr>
            <w:tcW w:w="4139" w:type="dxa"/>
          </w:tcPr>
          <w:p w14:paraId="694285F3">
            <w:pPr>
              <w:spacing w:after="0" w:line="240" w:lineRule="auto"/>
            </w:pPr>
            <w:r>
              <w:rPr>
                <w:sz w:val="19"/>
              </w:rPr>
              <w:t>Có. Hỗn hợp Điều 15: bảo tức không đảm bảo. Liên kết đơn vị Điều 13: hưởng kết quả đầu tư thực tế, chịu rủi ro đầu tư</w:t>
            </w:r>
          </w:p>
        </w:tc>
        <w:tc>
          <w:tcPr>
            <w:tcW w:w="4139" w:type="dxa"/>
          </w:tcPr>
          <w:p w14:paraId="29055C5C">
            <w:pPr>
              <w:spacing w:after="0" w:line="240" w:lineRule="auto"/>
            </w:pPr>
            <w:r>
              <w:rPr>
                <w:sz w:val="19"/>
              </w:rPr>
              <w:t>Có. An Phúc Gia Lộc Điều 6: đáo hạn và duy trì không đảm bảo; Điều 9: lãi suất cam kết tối thiểu năm 1 5,0%, năm 11 trở đi 2,0%. An Bình Thịnh Vượng: bảo tức và lãi chia cuối không đảm bảo</w:t>
            </w:r>
          </w:p>
        </w:tc>
      </w:tr>
      <w:tr w14:paraId="348B89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14:paraId="7586F2A6">
            <w:pPr>
              <w:spacing w:after="0" w:line="240" w:lineRule="auto"/>
            </w:pPr>
            <w:r>
              <w:rPr>
                <w:sz w:val="19"/>
              </w:rPr>
              <w:t>10. Cảnh báo khi hủy sớm</w:t>
            </w:r>
          </w:p>
        </w:tc>
        <w:tc>
          <w:tcPr>
            <w:tcW w:w="4139" w:type="dxa"/>
          </w:tcPr>
          <w:p w14:paraId="4EF9DF17">
            <w:pPr>
              <w:spacing w:after="0" w:line="240" w:lineRule="auto"/>
            </w:pPr>
            <w:r>
              <w:rPr>
                <w:sz w:val="19"/>
              </w:rPr>
              <w:t>Chưa thấy trực tiếp</w:t>
            </w:r>
          </w:p>
        </w:tc>
        <w:tc>
          <w:tcPr>
            <w:tcW w:w="4139" w:type="dxa"/>
          </w:tcPr>
          <w:p w14:paraId="530435E1">
            <w:pPr>
              <w:spacing w:after="0" w:line="240" w:lineRule="auto"/>
            </w:pPr>
            <w:r>
              <w:rPr>
                <w:sz w:val="19"/>
              </w:rPr>
              <w:t>Chưa thấy trực tiếp</w:t>
            </w:r>
          </w:p>
        </w:tc>
        <w:tc>
          <w:tcPr>
            <w:tcW w:w="4139" w:type="dxa"/>
          </w:tcPr>
          <w:p w14:paraId="5798E7F7">
            <w:pPr>
              <w:spacing w:after="0" w:line="240" w:lineRule="auto"/>
            </w:pPr>
            <w:r>
              <w:rPr>
                <w:sz w:val="19"/>
              </w:rPr>
              <w:t>Có. An Bình Thịnh Vượng Khoản 6: hủy sớm, nhất là những năm đầu, không có lợi</w:t>
            </w:r>
          </w:p>
        </w:tc>
      </w:tr>
      <w:tr w14:paraId="4CB172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14:paraId="0361606E">
            <w:pPr>
              <w:spacing w:after="0" w:line="240" w:lineRule="auto"/>
            </w:pPr>
            <w:r>
              <w:rPr>
                <w:sz w:val="19"/>
              </w:rPr>
              <w:t>11. Rủi ro khi thay thế hợp đồng</w:t>
            </w:r>
          </w:p>
        </w:tc>
        <w:tc>
          <w:tcPr>
            <w:tcW w:w="4139" w:type="dxa"/>
          </w:tcPr>
          <w:p w14:paraId="49362341">
            <w:pPr>
              <w:spacing w:after="0" w:line="240" w:lineRule="auto"/>
            </w:pPr>
            <w:r>
              <w:rPr>
                <w:sz w:val="19"/>
              </w:rPr>
              <w:t>Có. Hồ sơ yêu cầu mục H.1 đến H.4: ảnh hưởng quyền lợi, tính lại miễn truy xét, phí mới có thể cao hơn, quyền lợi có thể khác</w:t>
            </w:r>
          </w:p>
        </w:tc>
        <w:tc>
          <w:tcPr>
            <w:tcW w:w="4139" w:type="dxa"/>
          </w:tcPr>
          <w:p w14:paraId="27C8D040">
            <w:pPr>
              <w:spacing w:after="0" w:line="240" w:lineRule="auto"/>
            </w:pPr>
            <w:r>
              <w:rPr>
                <w:sz w:val="19"/>
              </w:rPr>
              <w:t>Chưa thấy</w:t>
            </w:r>
          </w:p>
        </w:tc>
        <w:tc>
          <w:tcPr>
            <w:tcW w:w="4139" w:type="dxa"/>
          </w:tcPr>
          <w:p w14:paraId="304A82C3">
            <w:pPr>
              <w:spacing w:after="0" w:line="240" w:lineRule="auto"/>
            </w:pPr>
            <w:r>
              <w:rPr>
                <w:sz w:val="19"/>
              </w:rPr>
              <w:t>Chưa thấy</w:t>
            </w:r>
          </w:p>
        </w:tc>
      </w:tr>
      <w:tr w14:paraId="447699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14:paraId="0B4B7052">
            <w:pPr>
              <w:spacing w:after="0" w:line="240" w:lineRule="auto"/>
            </w:pPr>
            <w:r>
              <w:rPr>
                <w:sz w:val="19"/>
              </w:rPr>
              <w:t>12. Cam kết của tư vấn viên</w:t>
            </w:r>
          </w:p>
        </w:tc>
        <w:tc>
          <w:tcPr>
            <w:tcW w:w="4139" w:type="dxa"/>
          </w:tcPr>
          <w:p w14:paraId="48E7F138">
            <w:pPr>
              <w:spacing w:after="0" w:line="240" w:lineRule="auto"/>
            </w:pPr>
            <w:r>
              <w:rPr>
                <w:sz w:val="19"/>
              </w:rPr>
              <w:t>Có. Hồ sơ yêu cầu mục K (cam kết của tư vấn viên) và J.12 (thông tin ngoài hồ sơ không ràng buộc)</w:t>
            </w:r>
          </w:p>
        </w:tc>
        <w:tc>
          <w:tcPr>
            <w:tcW w:w="4139" w:type="dxa"/>
          </w:tcPr>
          <w:p w14:paraId="0223A870">
            <w:pPr>
              <w:spacing w:after="0" w:line="240" w:lineRule="auto"/>
            </w:pPr>
            <w:r>
              <w:rPr>
                <w:sz w:val="19"/>
              </w:rPr>
              <w:t>Chưa thấy</w:t>
            </w:r>
          </w:p>
        </w:tc>
        <w:tc>
          <w:tcPr>
            <w:tcW w:w="4139" w:type="dxa"/>
          </w:tcPr>
          <w:p w14:paraId="1AFEC8E0">
            <w:pPr>
              <w:spacing w:after="0" w:line="240" w:lineRule="auto"/>
            </w:pPr>
            <w:r>
              <w:rPr>
                <w:sz w:val="19"/>
              </w:rPr>
              <w:t>Chưa thấy</w:t>
            </w:r>
          </w:p>
        </w:tc>
      </w:tr>
      <w:tr w14:paraId="45526D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14:paraId="2C7F6470">
            <w:pPr>
              <w:spacing w:after="0" w:line="240" w:lineRule="auto"/>
            </w:pPr>
            <w:r>
              <w:rPr>
                <w:sz w:val="19"/>
              </w:rPr>
              <w:t>13. Khách dễ bị tổn thương</w:t>
            </w:r>
          </w:p>
        </w:tc>
        <w:tc>
          <w:tcPr>
            <w:tcW w:w="4139" w:type="dxa"/>
          </w:tcPr>
          <w:p w14:paraId="207C6A68">
            <w:pPr>
              <w:spacing w:after="0" w:line="240" w:lineRule="auto"/>
            </w:pPr>
            <w:r>
              <w:rPr>
                <w:sz w:val="19"/>
              </w:rPr>
              <w:t>Có. Chính sách V2025.1: 8 nhóm (người từ 60 tuổi, trẻ em dưới 16 tuổi, người khuyết tật, người không biết chữ...). Chưa xác nhận có quy định riêng cho tư vấn viên</w:t>
            </w:r>
          </w:p>
        </w:tc>
        <w:tc>
          <w:tcPr>
            <w:tcW w:w="4139" w:type="dxa"/>
          </w:tcPr>
          <w:p w14:paraId="7EBD8A9A">
            <w:pPr>
              <w:spacing w:after="0" w:line="240" w:lineRule="auto"/>
            </w:pPr>
            <w:r>
              <w:rPr>
                <w:sz w:val="19"/>
              </w:rPr>
              <w:t>Chưa thấy</w:t>
            </w:r>
          </w:p>
        </w:tc>
        <w:tc>
          <w:tcPr>
            <w:tcW w:w="4139" w:type="dxa"/>
          </w:tcPr>
          <w:p w14:paraId="38AFE82E">
            <w:pPr>
              <w:spacing w:after="0" w:line="240" w:lineRule="auto"/>
            </w:pPr>
            <w:r>
              <w:rPr>
                <w:sz w:val="19"/>
              </w:rPr>
              <w:t>Chưa thấy</w:t>
            </w:r>
          </w:p>
        </w:tc>
      </w:tr>
      <w:tr w14:paraId="03570E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14:paraId="21B3C96E">
            <w:pPr>
              <w:spacing w:after="0" w:line="240" w:lineRule="auto"/>
            </w:pPr>
            <w:r>
              <w:rPr>
                <w:sz w:val="19"/>
              </w:rPr>
              <w:t>14. Bảo mật, dữ liệu cá nhân</w:t>
            </w:r>
          </w:p>
        </w:tc>
        <w:tc>
          <w:tcPr>
            <w:tcW w:w="4139" w:type="dxa"/>
          </w:tcPr>
          <w:p w14:paraId="7701E706">
            <w:pPr>
              <w:spacing w:after="0" w:line="240" w:lineRule="auto"/>
            </w:pPr>
            <w:r>
              <w:rPr>
                <w:sz w:val="19"/>
              </w:rPr>
              <w:t>Có. Hồ sơ J.6, J.9; Chính sách bảo mật V2026.01 có phần F về AI và xử lý tự động. Không nêu rõ xử lý ghi âm hay giọng nói</w:t>
            </w:r>
          </w:p>
        </w:tc>
        <w:tc>
          <w:tcPr>
            <w:tcW w:w="4139" w:type="dxa"/>
          </w:tcPr>
          <w:p w14:paraId="6083B8DD">
            <w:pPr>
              <w:spacing w:after="0" w:line="240" w:lineRule="auto"/>
            </w:pPr>
            <w:r>
              <w:rPr>
                <w:sz w:val="19"/>
              </w:rPr>
              <w:t>Có (một phần). Hỗn hợp Điều 5: chỉ chuyển thông tin cho bên thứ ba theo luật hoặc khi có đồng ý bằng văn bản. Bảo vệ linh hoạt Điều 3</w:t>
            </w:r>
          </w:p>
        </w:tc>
        <w:tc>
          <w:tcPr>
            <w:tcW w:w="4139" w:type="dxa"/>
          </w:tcPr>
          <w:p w14:paraId="08B873F5">
            <w:pPr>
              <w:spacing w:after="0" w:line="240" w:lineRule="auto"/>
            </w:pPr>
            <w:r>
              <w:rPr>
                <w:sz w:val="19"/>
              </w:rPr>
              <w:t>Chưa thấy</w:t>
            </w:r>
          </w:p>
        </w:tc>
      </w:tr>
      <w:tr w14:paraId="0CFE47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14:paraId="0C5BF515">
            <w:pPr>
              <w:spacing w:after="0" w:line="240" w:lineRule="auto"/>
            </w:pPr>
            <w:r>
              <w:rPr>
                <w:sz w:val="19"/>
              </w:rPr>
              <w:t>15. Điều kiện hợp đồng điện tử</w:t>
            </w:r>
          </w:p>
        </w:tc>
        <w:tc>
          <w:tcPr>
            <w:tcW w:w="4139" w:type="dxa"/>
          </w:tcPr>
          <w:p w14:paraId="6D9CD905">
            <w:pPr>
              <w:spacing w:after="0" w:line="240" w:lineRule="auto"/>
            </w:pPr>
            <w:r>
              <w:rPr>
                <w:sz w:val="19"/>
              </w:rPr>
              <w:t>Hồ sơ J.3, J.4: OTP có giá trị như chữ ký</w:t>
            </w:r>
          </w:p>
        </w:tc>
        <w:tc>
          <w:tcPr>
            <w:tcW w:w="4139" w:type="dxa"/>
          </w:tcPr>
          <w:p w14:paraId="4DE6AE21">
            <w:pPr>
              <w:spacing w:after="0" w:line="240" w:lineRule="auto"/>
            </w:pPr>
            <w:r>
              <w:rPr>
                <w:sz w:val="19"/>
              </w:rPr>
              <w:t>Có. Điều khoản gắn với hợp đồng điện tử, xem bằng OTP, áp dụng từ 17/01/2021</w:t>
            </w:r>
          </w:p>
        </w:tc>
        <w:tc>
          <w:tcPr>
            <w:tcW w:w="4139" w:type="dxa"/>
          </w:tcPr>
          <w:p w14:paraId="3EED9130">
            <w:pPr>
              <w:spacing w:after="0" w:line="240" w:lineRule="auto"/>
            </w:pPr>
            <w:r>
              <w:rPr>
                <w:sz w:val="19"/>
              </w:rPr>
              <w:t>Chưa thấy</w:t>
            </w:r>
          </w:p>
        </w:tc>
      </w:tr>
      <w:tr w14:paraId="3B0AFB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14:paraId="0A84F24A">
            <w:pPr>
              <w:spacing w:after="0" w:line="240" w:lineRule="auto"/>
            </w:pPr>
            <w:r>
              <w:rPr>
                <w:sz w:val="19"/>
              </w:rPr>
              <w:t>16. Đóng phí, gia hạn</w:t>
            </w:r>
          </w:p>
        </w:tc>
        <w:tc>
          <w:tcPr>
            <w:tcW w:w="4139" w:type="dxa"/>
          </w:tcPr>
          <w:p w14:paraId="73293ACF">
            <w:pPr>
              <w:spacing w:after="0" w:line="240" w:lineRule="auto"/>
            </w:pPr>
            <w:r>
              <w:rPr>
                <w:sz w:val="19"/>
              </w:rPr>
              <w:t>Chưa tổng hợp</w:t>
            </w:r>
          </w:p>
        </w:tc>
        <w:tc>
          <w:tcPr>
            <w:tcW w:w="4139" w:type="dxa"/>
          </w:tcPr>
          <w:p w14:paraId="52B9D295">
            <w:pPr>
              <w:spacing w:after="0" w:line="240" w:lineRule="auto"/>
            </w:pPr>
            <w:r>
              <w:rPr>
                <w:sz w:val="19"/>
              </w:rPr>
              <w:t>Có. Bảo vệ linh hoạt Điều 12: gia hạn 60 ngày, hết hạn thì chấm dứt</w:t>
            </w:r>
          </w:p>
        </w:tc>
        <w:tc>
          <w:tcPr>
            <w:tcW w:w="4139" w:type="dxa"/>
          </w:tcPr>
          <w:p w14:paraId="542903B7">
            <w:pPr>
              <w:spacing w:after="0" w:line="240" w:lineRule="auto"/>
            </w:pPr>
            <w:r>
              <w:rPr>
                <w:sz w:val="19"/>
              </w:rPr>
              <w:t>Có. An Phúc Gia Lộc Điều 10 đến 14 và DK-R20: gia hạn 60 ngày, hết hạn tự chấm dứt, không hoàn phí</w:t>
            </w:r>
          </w:p>
        </w:tc>
      </w:tr>
    </w:tbl>
    <w:p w14:paraId="5C952478"/>
    <w:p w14:paraId="32C5031E">
      <w:pPr>
        <w:pStyle w:val="2"/>
      </w:pPr>
      <w:r>
        <w:t>4. Nhận xét</w:t>
      </w:r>
    </w:p>
    <w:p w14:paraId="4B778773">
      <w:pPr>
        <w:pStyle w:val="23"/>
      </w:pPr>
      <w:r>
        <w:t>Prudential có bộ nguồn đầy đủ và truy vết tốt nhất: 2 điều khoản đọc đủ, có cả Hồ sơ yêu cầu và chính sách khách dễ bị tổn thương. Chỉ Prudential có nội dung về cam kết của tư vấn viên (tiêu chí 11 đến 13), là loại nội dung gần nhất với việc chấm một cuộc tư vấn.</w:t>
      </w:r>
    </w:p>
    <w:p w14:paraId="50D0689F">
      <w:pPr>
        <w:pStyle w:val="23"/>
      </w:pPr>
      <w:r>
        <w:t>Manulife có bản điều khoản mới nhất (Phiên bản 7, 02/2026) và nhiều điều cho thời gian chờ, loại trừ. Điểm yếu: file bị cắt, ít tài liệu về hành vi tư vấn.</w:t>
      </w:r>
    </w:p>
    <w:p w14:paraId="0BC193FD">
      <w:pPr>
        <w:pStyle w:val="23"/>
      </w:pPr>
      <w:r>
        <w:t>Bảo Việt đủ cho các tiêu chí 2 đến 5, 7, 9, nhưng không truy vết được phiên bản, không thấy cân nhắc 21 ngày trong điều khoản chính. Chỉ có bản tóm tắt cho An Bình Thịnh Vượng.</w:t>
      </w:r>
    </w:p>
    <w:p w14:paraId="3173AF37">
      <w:pPr>
        <w:pStyle w:val="23"/>
      </w:pPr>
      <w:r>
        <w:t>Cả ba có chung các tiêu chí 2 đến 5 và 7. Đây là nhóm tiêu chí ít phụ thuộc sản phẩm nên phù hợp nhất để đưa vào checklist v0.1.</w:t>
      </w:r>
    </w:p>
    <w:p w14:paraId="6BAFF0D6">
      <w:pPr>
        <w:pStyle w:val="2"/>
      </w:pPr>
      <w:r>
        <w:rPr>
          <w:rFonts w:hint="default"/>
          <w:lang w:val="en-US"/>
        </w:rPr>
        <w:t>5</w:t>
      </w:r>
      <w:bookmarkStart w:id="0" w:name="_GoBack"/>
      <w:bookmarkEnd w:id="0"/>
      <w:r>
        <w:t>. Hạn chế</w:t>
      </w:r>
    </w:p>
    <w:p w14:paraId="0142BDED">
      <w:pPr>
        <w:pStyle w:val="23"/>
      </w:pPr>
      <w:r>
        <w:t>Nhiều file bị cắt hoặc chỉ có bản tóm tắt; "chưa thấy" không đồng nghĩa là không có.</w:t>
      </w:r>
    </w:p>
    <w:p w14:paraId="046E7C5E">
      <w:pPr>
        <w:pStyle w:val="23"/>
      </w:pPr>
      <w:r>
        <w:t>Số điều của Edu Saver (Điều 6, 11.2) giữa hai lần đọc không khớp. Bảo Việt thứ tự điều bị xáo.</w:t>
      </w:r>
    </w:p>
    <w:p w14:paraId="26F84D57">
      <w:pPr>
        <w:pStyle w:val="23"/>
      </w:pPr>
      <w:r>
        <w:t>Evidence là diễn giải. Cần đối chiếu file gốc trước khi đưa vào checklist.</w:t>
      </w:r>
    </w:p>
    <w:p w14:paraId="19593C74">
      <w:pPr>
        <w:pStyle w:val="23"/>
      </w:pPr>
      <w:r>
        <w:t>Quyền sử dụng chưa xác nhận.</w:t>
      </w:r>
    </w:p>
    <w:p w14:paraId="77DF943E">
      <w:pPr>
        <w:pStyle w:val="23"/>
      </w:pPr>
      <w:r>
        <w:t>Prudential lấy từ bài Prudential bạn đính kèm, mình không mở lại file gốc trong lượt này.</w:t>
      </w:r>
    </w:p>
    <w:sectPr>
      <w:pgSz w:w="15840" w:h="12240" w:orient="landscape"/>
      <w:pgMar w:top="1020" w:right="1020" w:bottom="1020" w:left="102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MS Mincho">
    <w:panose1 w:val="02020609040205080304"/>
    <w:charset w:val="80"/>
    <w:family w:val="auto"/>
    <w:pitch w:val="default"/>
    <w:sig w:usb0="E00002FF" w:usb1="6AC7FDFB" w:usb2="08000012" w:usb3="00000000" w:csb0="4002009F" w:csb1="DFD7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Arial Unicode MS">
    <w:panose1 w:val="020B0604020202020204"/>
    <w:charset w:val="86"/>
    <w:family w:val="auto"/>
    <w:pitch w:val="default"/>
    <w:sig w:usb0="FFFFFFFF" w:usb1="E9FFFFFF" w:usb2="0000003F" w:usb3="00000000" w:csb0="603F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1"/>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544655C"/>
    <w:rsid w:val="3365684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qFormat="1" w:unhideWhenUsed="0" w:uiPriority="68" w:semiHidden="0" w:name="Medium Grid 2 Accent 2"/>
    <w:lsdException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unhideWhenUsed="0" w:uiPriority="61" w:semiHidden="0" w:name="Light List Accent 5"/>
    <w:lsdException w:qFormat="1"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Calibri" w:hAnsi="Calibri" w:eastAsia="Calibri" w:cstheme="minorBidi"/>
      <w:sz w:val="21"/>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Pages>
  <Words>2036</Words>
  <Characters>7354</Characters>
  <Lines>0</Lines>
  <Paragraphs>0</Paragraphs>
  <TotalTime>3</TotalTime>
  <ScaleCrop>false</ScaleCrop>
  <LinksUpToDate>false</LinksUpToDate>
  <CharactersWithSpaces>9269</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Bách Sỹ Nguyễn</cp:lastModifiedBy>
  <dcterms:modified xsi:type="dcterms:W3CDTF">2026-10-23T02:46:07Z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eyJoZGlkIjoiZmE0ZDBmMzdhYzgzNGYzYmFlNjlhMjFjYzA0NDMyOWIiLCJ1c2VySWQiOiIxMzkyMTUyMjM0NDMxIn0=</vt:lpwstr>
  </property>
  <property fmtid="{D5CDD505-2E9C-101B-9397-08002B2CF9AE}" pid="3" name="KSOProductBuildVer">
    <vt:lpwstr>1033-12.1.0.29162</vt:lpwstr>
  </property>
  <property fmtid="{D5CDD505-2E9C-101B-9397-08002B2CF9AE}" pid="4" name="ICV">
    <vt:lpwstr>18F986F8558E46B3B455A75477FAE805_12</vt:lpwstr>
  </property>
</Properties>
</file>