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295" w:rsidRDefault="00AB5295" w:rsidP="00F67A29">
      <w:pPr>
        <w:rPr>
          <w:b/>
        </w:rPr>
      </w:pPr>
    </w:p>
    <w:p w:rsidR="00AB5295" w:rsidRDefault="00393F81" w:rsidP="00AB5295">
      <w:pPr>
        <w:spacing w:after="0" w:line="240" w:lineRule="auto"/>
        <w:jc w:val="both"/>
        <w:rPr>
          <w:rFonts w:ascii="Century Gothic" w:hAnsi="Century Gothic" w:cs="Arial"/>
        </w:rPr>
      </w:pPr>
      <w:r>
        <w:rPr>
          <w:rFonts w:ascii="Century Gothic" w:hAnsi="Century Gothic" w:cs="Arial"/>
        </w:rPr>
        <w:t xml:space="preserve">17 </w:t>
      </w:r>
      <w:r w:rsidR="00AB5295">
        <w:rPr>
          <w:rFonts w:ascii="Century Gothic" w:hAnsi="Century Gothic" w:cs="Arial"/>
        </w:rPr>
        <w:t>March 2015</w:t>
      </w:r>
    </w:p>
    <w:p w:rsidR="00AB5295" w:rsidRPr="00CA77E7" w:rsidRDefault="00AB5295" w:rsidP="00AB5295">
      <w:pPr>
        <w:spacing w:after="0" w:line="240" w:lineRule="auto"/>
        <w:jc w:val="both"/>
        <w:rPr>
          <w:rFonts w:ascii="Century Gothic" w:hAnsi="Century Gothic" w:cs="Arial"/>
        </w:rPr>
      </w:pPr>
    </w:p>
    <w:p w:rsidR="00AB5295" w:rsidRPr="00CA77E7" w:rsidRDefault="00AB5295" w:rsidP="00AB5295">
      <w:pPr>
        <w:spacing w:after="0" w:line="240" w:lineRule="auto"/>
        <w:jc w:val="both"/>
        <w:rPr>
          <w:rFonts w:ascii="Century Gothic" w:hAnsi="Century Gothic" w:cs="Arial"/>
          <w:b/>
        </w:rPr>
      </w:pPr>
      <w:r w:rsidRPr="00CA77E7">
        <w:rPr>
          <w:rFonts w:ascii="Century Gothic" w:hAnsi="Century Gothic" w:cs="Arial"/>
          <w:b/>
        </w:rPr>
        <w:t>MS. MARIETTA T. CASANOVA</w:t>
      </w:r>
    </w:p>
    <w:p w:rsidR="00AB5295" w:rsidRPr="005B63FD" w:rsidRDefault="00AB5295" w:rsidP="00AB5295">
      <w:pPr>
        <w:spacing w:after="0" w:line="240" w:lineRule="auto"/>
        <w:jc w:val="both"/>
        <w:rPr>
          <w:rFonts w:ascii="Arial" w:hAnsi="Arial" w:cs="Arial"/>
          <w:sz w:val="20"/>
          <w:szCs w:val="20"/>
        </w:rPr>
      </w:pPr>
      <w:r w:rsidRPr="005B63FD">
        <w:rPr>
          <w:rFonts w:ascii="Arial" w:hAnsi="Arial" w:cs="Arial"/>
          <w:sz w:val="20"/>
          <w:szCs w:val="20"/>
        </w:rPr>
        <w:t>Manager</w:t>
      </w:r>
    </w:p>
    <w:p w:rsidR="00AB5295" w:rsidRPr="005B63FD" w:rsidRDefault="00AB5295" w:rsidP="00AB5295">
      <w:pPr>
        <w:spacing w:after="0" w:line="240" w:lineRule="auto"/>
        <w:jc w:val="both"/>
        <w:rPr>
          <w:rFonts w:ascii="Arial" w:hAnsi="Arial" w:cs="Arial"/>
          <w:sz w:val="20"/>
          <w:szCs w:val="20"/>
        </w:rPr>
      </w:pPr>
      <w:r w:rsidRPr="005B63FD">
        <w:rPr>
          <w:rFonts w:ascii="Arial" w:hAnsi="Arial" w:cs="Arial"/>
          <w:sz w:val="20"/>
          <w:szCs w:val="20"/>
        </w:rPr>
        <w:t>Corporate Sales</w:t>
      </w:r>
    </w:p>
    <w:p w:rsidR="00AB5295" w:rsidRPr="005B63FD" w:rsidRDefault="00AB5295" w:rsidP="00AB5295">
      <w:pPr>
        <w:spacing w:after="0" w:line="240" w:lineRule="auto"/>
        <w:jc w:val="both"/>
        <w:rPr>
          <w:rFonts w:ascii="Arial" w:hAnsi="Arial" w:cs="Arial"/>
          <w:sz w:val="20"/>
          <w:szCs w:val="20"/>
        </w:rPr>
      </w:pPr>
      <w:r w:rsidRPr="005B63FD">
        <w:rPr>
          <w:rFonts w:ascii="Arial" w:hAnsi="Arial" w:cs="Arial"/>
          <w:sz w:val="20"/>
          <w:szCs w:val="20"/>
        </w:rPr>
        <w:t xml:space="preserve">Philippine Airlines </w:t>
      </w:r>
    </w:p>
    <w:p w:rsidR="00AB5295" w:rsidRPr="005B63FD" w:rsidRDefault="00AB5295" w:rsidP="00AB5295">
      <w:pPr>
        <w:spacing w:after="0" w:line="240" w:lineRule="auto"/>
        <w:jc w:val="both"/>
        <w:rPr>
          <w:rFonts w:ascii="Arial" w:hAnsi="Arial" w:cs="Arial"/>
          <w:sz w:val="20"/>
          <w:szCs w:val="20"/>
        </w:rPr>
      </w:pPr>
    </w:p>
    <w:p w:rsidR="00AB5295" w:rsidRPr="005B63FD" w:rsidRDefault="00AB5295" w:rsidP="00AB5295">
      <w:pPr>
        <w:spacing w:after="0" w:line="240" w:lineRule="auto"/>
        <w:jc w:val="both"/>
        <w:rPr>
          <w:rFonts w:ascii="Arial" w:hAnsi="Arial" w:cs="Arial"/>
          <w:sz w:val="20"/>
          <w:szCs w:val="20"/>
        </w:rPr>
      </w:pPr>
      <w:r w:rsidRPr="005B63FD">
        <w:rPr>
          <w:rFonts w:ascii="Arial" w:hAnsi="Arial" w:cs="Arial"/>
          <w:sz w:val="20"/>
          <w:szCs w:val="20"/>
        </w:rPr>
        <w:t>Dear Ms. Casanova:</w:t>
      </w:r>
    </w:p>
    <w:p w:rsidR="00AB5295" w:rsidRPr="005B63FD" w:rsidRDefault="00AB5295" w:rsidP="00AB5295">
      <w:pPr>
        <w:spacing w:after="0" w:line="240" w:lineRule="auto"/>
        <w:jc w:val="both"/>
        <w:rPr>
          <w:rFonts w:ascii="Arial" w:hAnsi="Arial" w:cs="Arial"/>
          <w:sz w:val="20"/>
          <w:szCs w:val="20"/>
        </w:rPr>
      </w:pPr>
    </w:p>
    <w:p w:rsidR="009A667F" w:rsidRPr="006C125F" w:rsidRDefault="009A667F" w:rsidP="00AB5295">
      <w:pPr>
        <w:spacing w:after="0" w:line="240" w:lineRule="auto"/>
        <w:jc w:val="both"/>
        <w:rPr>
          <w:rFonts w:ascii="Arial" w:hAnsi="Arial" w:cs="Arial"/>
          <w:sz w:val="20"/>
          <w:szCs w:val="20"/>
        </w:rPr>
      </w:pPr>
      <w:r w:rsidRPr="006C125F">
        <w:rPr>
          <w:rFonts w:ascii="Arial" w:hAnsi="Arial" w:cs="Arial"/>
          <w:sz w:val="20"/>
          <w:szCs w:val="20"/>
        </w:rPr>
        <w:t xml:space="preserve">This is to formally request for the approval of the corporate line applications of our Company, </w:t>
      </w:r>
      <w:r w:rsidRPr="00A9368C">
        <w:rPr>
          <w:rFonts w:ascii="Arial" w:hAnsi="Arial" w:cs="Arial"/>
          <w:b/>
          <w:sz w:val="20"/>
          <w:szCs w:val="20"/>
        </w:rPr>
        <w:t>Trans-Asia Oil &amp; Energy Development Corporation</w:t>
      </w:r>
      <w:r w:rsidR="006C125F" w:rsidRPr="00A9368C">
        <w:rPr>
          <w:rFonts w:ascii="Arial" w:hAnsi="Arial" w:cs="Arial"/>
          <w:b/>
          <w:sz w:val="20"/>
          <w:szCs w:val="20"/>
        </w:rPr>
        <w:t xml:space="preserve"> (TA-Oil)</w:t>
      </w:r>
      <w:r w:rsidRPr="006C125F">
        <w:rPr>
          <w:rFonts w:ascii="Arial" w:hAnsi="Arial" w:cs="Arial"/>
          <w:sz w:val="20"/>
          <w:szCs w:val="20"/>
        </w:rPr>
        <w:t xml:space="preserve">, and </w:t>
      </w:r>
      <w:r w:rsidR="00393F81">
        <w:rPr>
          <w:rFonts w:ascii="Arial" w:hAnsi="Arial" w:cs="Arial"/>
          <w:sz w:val="20"/>
          <w:szCs w:val="20"/>
        </w:rPr>
        <w:t>its</w:t>
      </w:r>
      <w:r w:rsidR="006C125F" w:rsidRPr="006C125F">
        <w:rPr>
          <w:rFonts w:ascii="Arial" w:hAnsi="Arial" w:cs="Arial"/>
          <w:sz w:val="20"/>
          <w:szCs w:val="20"/>
        </w:rPr>
        <w:t xml:space="preserve"> </w:t>
      </w:r>
      <w:r w:rsidR="00393F81">
        <w:rPr>
          <w:rFonts w:ascii="Arial" w:hAnsi="Arial" w:cs="Arial"/>
          <w:sz w:val="20"/>
          <w:szCs w:val="20"/>
        </w:rPr>
        <w:t xml:space="preserve">wholly-owned </w:t>
      </w:r>
      <w:r w:rsidR="006C125F" w:rsidRPr="006C125F">
        <w:rPr>
          <w:rFonts w:ascii="Arial" w:hAnsi="Arial" w:cs="Arial"/>
          <w:sz w:val="20"/>
          <w:szCs w:val="20"/>
        </w:rPr>
        <w:t>subsidiary</w:t>
      </w:r>
      <w:r w:rsidRPr="006C125F">
        <w:rPr>
          <w:rFonts w:ascii="Arial" w:hAnsi="Arial" w:cs="Arial"/>
          <w:sz w:val="20"/>
          <w:szCs w:val="20"/>
        </w:rPr>
        <w:t xml:space="preserve">, </w:t>
      </w:r>
      <w:r w:rsidRPr="00A9368C">
        <w:rPr>
          <w:rFonts w:ascii="Arial" w:hAnsi="Arial" w:cs="Arial"/>
          <w:b/>
          <w:sz w:val="20"/>
          <w:szCs w:val="20"/>
        </w:rPr>
        <w:t>Trans-Asia Renewable Energy Corporation</w:t>
      </w:r>
      <w:r w:rsidR="006C125F" w:rsidRPr="00A9368C">
        <w:rPr>
          <w:rFonts w:ascii="Arial" w:hAnsi="Arial" w:cs="Arial"/>
          <w:b/>
          <w:sz w:val="20"/>
          <w:szCs w:val="20"/>
        </w:rPr>
        <w:t xml:space="preserve"> (TAREC)</w:t>
      </w:r>
      <w:r w:rsidRPr="006C125F">
        <w:rPr>
          <w:rFonts w:ascii="Arial" w:hAnsi="Arial" w:cs="Arial"/>
          <w:sz w:val="20"/>
          <w:szCs w:val="20"/>
        </w:rPr>
        <w:t>.</w:t>
      </w:r>
      <w:r w:rsidR="006C125F" w:rsidRPr="006C125F">
        <w:rPr>
          <w:rFonts w:ascii="Arial" w:hAnsi="Arial" w:cs="Arial"/>
          <w:sz w:val="20"/>
          <w:szCs w:val="20"/>
        </w:rPr>
        <w:t xml:space="preserve"> While another affiliate, Trans-Asia Power Generation Corporation (TA-Power), has already established </w:t>
      </w:r>
      <w:r w:rsidR="00FE70BD">
        <w:rPr>
          <w:rFonts w:ascii="Arial" w:hAnsi="Arial" w:cs="Arial"/>
          <w:sz w:val="20"/>
          <w:szCs w:val="20"/>
        </w:rPr>
        <w:t xml:space="preserve">a </w:t>
      </w:r>
      <w:r w:rsidR="006C125F" w:rsidRPr="006C125F">
        <w:rPr>
          <w:rFonts w:ascii="Arial" w:hAnsi="Arial" w:cs="Arial"/>
          <w:sz w:val="20"/>
          <w:szCs w:val="20"/>
        </w:rPr>
        <w:t>credit line with your good Office, both TA-Oil and TAREC are still currently using travel agencies to book local and international flights.</w:t>
      </w:r>
    </w:p>
    <w:p w:rsidR="006C125F" w:rsidRPr="006C125F" w:rsidRDefault="006C125F" w:rsidP="00AB5295">
      <w:pPr>
        <w:spacing w:after="0" w:line="240" w:lineRule="auto"/>
        <w:jc w:val="both"/>
        <w:rPr>
          <w:rFonts w:ascii="Arial" w:hAnsi="Arial" w:cs="Arial"/>
          <w:sz w:val="20"/>
          <w:szCs w:val="20"/>
        </w:rPr>
      </w:pPr>
    </w:p>
    <w:p w:rsidR="00A9368C" w:rsidRDefault="00393F81" w:rsidP="00AB5295">
      <w:pPr>
        <w:spacing w:after="0" w:line="240" w:lineRule="auto"/>
        <w:jc w:val="both"/>
        <w:rPr>
          <w:rFonts w:ascii="Arial" w:hAnsi="Arial" w:cs="Arial"/>
          <w:sz w:val="20"/>
          <w:szCs w:val="20"/>
        </w:rPr>
      </w:pPr>
      <w:r>
        <w:rPr>
          <w:rFonts w:ascii="Arial" w:hAnsi="Arial" w:cs="Arial"/>
          <w:sz w:val="20"/>
          <w:szCs w:val="20"/>
        </w:rPr>
        <w:t xml:space="preserve">Publicly listed in the PSE since 1970, </w:t>
      </w:r>
      <w:r w:rsidR="00FE70BD">
        <w:rPr>
          <w:rFonts w:ascii="Arial" w:hAnsi="Arial" w:cs="Arial"/>
          <w:sz w:val="20"/>
          <w:szCs w:val="20"/>
        </w:rPr>
        <w:t xml:space="preserve">TA-Oil was established on September 8, 1969 and is the energy arm of Philippine Investment Management (PHINMA) Inc.  TA-Oil is engaged primarily in power generation and electricity supply with secondary investments in petroleum exploration, development and production.  </w:t>
      </w:r>
      <w:r w:rsidR="00806A15">
        <w:rPr>
          <w:rFonts w:ascii="Arial" w:hAnsi="Arial" w:cs="Arial"/>
          <w:sz w:val="20"/>
          <w:szCs w:val="20"/>
        </w:rPr>
        <w:t>Apart from its investments here in the country, TA-Oil is also looking at various opportunities to expand internationally.</w:t>
      </w:r>
    </w:p>
    <w:p w:rsidR="00A9368C" w:rsidRDefault="00A9368C" w:rsidP="00AB5295">
      <w:pPr>
        <w:spacing w:after="0" w:line="240" w:lineRule="auto"/>
        <w:jc w:val="both"/>
        <w:rPr>
          <w:rFonts w:ascii="Arial" w:hAnsi="Arial" w:cs="Arial"/>
          <w:sz w:val="20"/>
          <w:szCs w:val="20"/>
        </w:rPr>
      </w:pPr>
    </w:p>
    <w:p w:rsidR="00393F81" w:rsidRDefault="00806A15" w:rsidP="00AB5295">
      <w:pPr>
        <w:spacing w:after="0" w:line="240" w:lineRule="auto"/>
        <w:jc w:val="both"/>
        <w:rPr>
          <w:rFonts w:ascii="Arial" w:hAnsi="Arial" w:cs="Arial"/>
          <w:sz w:val="20"/>
          <w:szCs w:val="20"/>
        </w:rPr>
      </w:pPr>
      <w:r>
        <w:rPr>
          <w:rFonts w:ascii="Arial" w:hAnsi="Arial" w:cs="Arial"/>
          <w:sz w:val="20"/>
          <w:szCs w:val="20"/>
        </w:rPr>
        <w:t xml:space="preserve">Serving as the renewable energy vehicle of TA-Oil, </w:t>
      </w:r>
      <w:r w:rsidR="00393F81">
        <w:rPr>
          <w:rFonts w:ascii="Arial" w:hAnsi="Arial" w:cs="Arial"/>
          <w:sz w:val="20"/>
          <w:szCs w:val="20"/>
        </w:rPr>
        <w:t xml:space="preserve">TAREC </w:t>
      </w:r>
      <w:r w:rsidR="00A9368C">
        <w:rPr>
          <w:rFonts w:ascii="Arial" w:hAnsi="Arial" w:cs="Arial"/>
          <w:sz w:val="20"/>
          <w:szCs w:val="20"/>
        </w:rPr>
        <w:t xml:space="preserve">owns and </w:t>
      </w:r>
      <w:r w:rsidR="00FE70BD">
        <w:rPr>
          <w:rFonts w:ascii="Arial" w:hAnsi="Arial" w:cs="Arial"/>
          <w:sz w:val="20"/>
          <w:szCs w:val="20"/>
        </w:rPr>
        <w:t xml:space="preserve">operates a 54MW wind farm in the province of Guimaras.  TAREC holds a portfolio of wind sites throughout Luzon and Visayas </w:t>
      </w:r>
      <w:r w:rsidR="00A9368C">
        <w:rPr>
          <w:rFonts w:ascii="Arial" w:hAnsi="Arial" w:cs="Arial"/>
          <w:sz w:val="20"/>
          <w:szCs w:val="20"/>
        </w:rPr>
        <w:t xml:space="preserve">with a total estimated potential capacity of over 400MW </w:t>
      </w:r>
      <w:r w:rsidR="00FE70BD">
        <w:rPr>
          <w:rFonts w:ascii="Arial" w:hAnsi="Arial" w:cs="Arial"/>
          <w:sz w:val="20"/>
          <w:szCs w:val="20"/>
        </w:rPr>
        <w:t xml:space="preserve">and is </w:t>
      </w:r>
      <w:r w:rsidR="00A9368C">
        <w:rPr>
          <w:rFonts w:ascii="Arial" w:hAnsi="Arial" w:cs="Arial"/>
          <w:sz w:val="20"/>
          <w:szCs w:val="20"/>
        </w:rPr>
        <w:t xml:space="preserve">currently </w:t>
      </w:r>
      <w:r w:rsidR="00FE70BD">
        <w:rPr>
          <w:rFonts w:ascii="Arial" w:hAnsi="Arial" w:cs="Arial"/>
          <w:sz w:val="20"/>
          <w:szCs w:val="20"/>
        </w:rPr>
        <w:t xml:space="preserve">exploring various renewable energy resources </w:t>
      </w:r>
      <w:r w:rsidR="00393F81">
        <w:rPr>
          <w:rFonts w:ascii="Arial" w:hAnsi="Arial" w:cs="Arial"/>
          <w:sz w:val="20"/>
          <w:szCs w:val="20"/>
        </w:rPr>
        <w:t>throughout</w:t>
      </w:r>
      <w:r w:rsidR="00FE70BD">
        <w:rPr>
          <w:rFonts w:ascii="Arial" w:hAnsi="Arial" w:cs="Arial"/>
          <w:sz w:val="20"/>
          <w:szCs w:val="20"/>
        </w:rPr>
        <w:t xml:space="preserve"> the country</w:t>
      </w:r>
      <w:r w:rsidR="00393F81">
        <w:rPr>
          <w:rFonts w:ascii="Arial" w:hAnsi="Arial" w:cs="Arial"/>
          <w:sz w:val="20"/>
          <w:szCs w:val="20"/>
        </w:rPr>
        <w:t xml:space="preserve"> as well</w:t>
      </w:r>
      <w:r w:rsidR="00FE70BD">
        <w:rPr>
          <w:rFonts w:ascii="Arial" w:hAnsi="Arial" w:cs="Arial"/>
          <w:sz w:val="20"/>
          <w:szCs w:val="20"/>
        </w:rPr>
        <w:t xml:space="preserve">.  </w:t>
      </w:r>
    </w:p>
    <w:p w:rsidR="00393F81" w:rsidRDefault="00393F81" w:rsidP="00AB5295">
      <w:pPr>
        <w:spacing w:after="0" w:line="240" w:lineRule="auto"/>
        <w:jc w:val="both"/>
        <w:rPr>
          <w:rFonts w:ascii="Arial" w:hAnsi="Arial" w:cs="Arial"/>
          <w:sz w:val="20"/>
          <w:szCs w:val="20"/>
        </w:rPr>
      </w:pPr>
    </w:p>
    <w:p w:rsidR="006C125F" w:rsidRPr="006C125F" w:rsidRDefault="00FE70BD" w:rsidP="00AB5295">
      <w:pPr>
        <w:spacing w:after="0" w:line="240" w:lineRule="auto"/>
        <w:jc w:val="both"/>
        <w:rPr>
          <w:rFonts w:ascii="Arial" w:hAnsi="Arial" w:cs="Arial"/>
          <w:sz w:val="20"/>
          <w:szCs w:val="20"/>
        </w:rPr>
      </w:pPr>
      <w:r>
        <w:rPr>
          <w:rFonts w:ascii="Arial" w:hAnsi="Arial" w:cs="Arial"/>
          <w:sz w:val="20"/>
          <w:szCs w:val="20"/>
        </w:rPr>
        <w:t>TA-Oil</w:t>
      </w:r>
      <w:r w:rsidR="00393F81">
        <w:rPr>
          <w:rFonts w:ascii="Arial" w:hAnsi="Arial" w:cs="Arial"/>
          <w:sz w:val="20"/>
          <w:szCs w:val="20"/>
        </w:rPr>
        <w:t xml:space="preserve">’s other subsidiaries are </w:t>
      </w:r>
      <w:r w:rsidR="00393F81" w:rsidRPr="00AB5295">
        <w:rPr>
          <w:rFonts w:ascii="Arial" w:hAnsi="Arial" w:cs="Arial"/>
          <w:sz w:val="20"/>
          <w:szCs w:val="20"/>
        </w:rPr>
        <w:t xml:space="preserve">CIP II Power Corporation, One Subic Power Generation Corporation, Trans-Asia Petroleum Corporation (also listed in the PSE as “TAPET”) and Palawan55 Exploration &amp; Production Corporation.  </w:t>
      </w:r>
      <w:r w:rsidR="00393F81">
        <w:rPr>
          <w:rFonts w:ascii="Arial" w:hAnsi="Arial" w:cs="Arial"/>
          <w:sz w:val="20"/>
          <w:szCs w:val="20"/>
        </w:rPr>
        <w:t>TA-Oil</w:t>
      </w:r>
      <w:r w:rsidR="00393F81" w:rsidRPr="00AB5295">
        <w:rPr>
          <w:rFonts w:ascii="Arial" w:hAnsi="Arial" w:cs="Arial"/>
          <w:sz w:val="20"/>
          <w:szCs w:val="20"/>
        </w:rPr>
        <w:t xml:space="preserve"> </w:t>
      </w:r>
      <w:r w:rsidR="0053112D">
        <w:rPr>
          <w:rFonts w:ascii="Arial" w:hAnsi="Arial" w:cs="Arial"/>
          <w:sz w:val="20"/>
          <w:szCs w:val="20"/>
        </w:rPr>
        <w:t xml:space="preserve">also </w:t>
      </w:r>
      <w:r w:rsidR="00393F81" w:rsidRPr="00AB5295">
        <w:rPr>
          <w:rFonts w:ascii="Arial" w:hAnsi="Arial" w:cs="Arial"/>
          <w:sz w:val="20"/>
          <w:szCs w:val="20"/>
        </w:rPr>
        <w:t xml:space="preserve">owns 50% of South Luzon Thermal Energy Corporation (a joint venture with Ayala’s AC Energy Holdings) and 25% of Maibarara Geothermal, Inc. </w:t>
      </w:r>
      <w:r w:rsidR="000217B8" w:rsidRPr="00AB5295">
        <w:rPr>
          <w:rFonts w:ascii="Arial" w:hAnsi="Arial" w:cs="Arial"/>
          <w:sz w:val="20"/>
          <w:szCs w:val="20"/>
        </w:rPr>
        <w:t>(a joint venture with Petro Green Energy Corp and PNOC Renewable Corp</w:t>
      </w:r>
      <w:r w:rsidR="000217B8">
        <w:rPr>
          <w:rFonts w:ascii="Arial" w:hAnsi="Arial" w:cs="Arial"/>
          <w:sz w:val="20"/>
          <w:szCs w:val="20"/>
        </w:rPr>
        <w:t>)</w:t>
      </w:r>
      <w:r w:rsidR="000217B8" w:rsidRPr="00AB5295">
        <w:rPr>
          <w:rFonts w:ascii="Arial" w:hAnsi="Arial" w:cs="Arial"/>
          <w:sz w:val="20"/>
          <w:szCs w:val="20"/>
        </w:rPr>
        <w:t>.</w:t>
      </w:r>
    </w:p>
    <w:p w:rsidR="009A667F" w:rsidRPr="006C125F" w:rsidRDefault="009A667F" w:rsidP="00AB5295">
      <w:pPr>
        <w:spacing w:after="0" w:line="240" w:lineRule="auto"/>
        <w:jc w:val="both"/>
        <w:rPr>
          <w:rFonts w:ascii="Arial" w:hAnsi="Arial" w:cs="Arial"/>
          <w:sz w:val="20"/>
          <w:szCs w:val="20"/>
        </w:rPr>
      </w:pPr>
    </w:p>
    <w:p w:rsidR="0053112D" w:rsidRDefault="0053112D" w:rsidP="000217B8">
      <w:pPr>
        <w:spacing w:after="0" w:line="240" w:lineRule="auto"/>
        <w:jc w:val="both"/>
        <w:rPr>
          <w:rFonts w:ascii="Arial" w:hAnsi="Arial" w:cs="Arial"/>
          <w:sz w:val="20"/>
          <w:szCs w:val="20"/>
        </w:rPr>
      </w:pPr>
      <w:r>
        <w:rPr>
          <w:rFonts w:ascii="Arial" w:hAnsi="Arial" w:cs="Arial"/>
          <w:sz w:val="20"/>
          <w:szCs w:val="20"/>
        </w:rPr>
        <w:t xml:space="preserve">With the growing </w:t>
      </w:r>
      <w:r w:rsidR="00806A15">
        <w:rPr>
          <w:rFonts w:ascii="Arial" w:hAnsi="Arial" w:cs="Arial"/>
          <w:sz w:val="20"/>
          <w:szCs w:val="20"/>
        </w:rPr>
        <w:t xml:space="preserve">domestic and international </w:t>
      </w:r>
      <w:r>
        <w:rPr>
          <w:rFonts w:ascii="Arial" w:hAnsi="Arial" w:cs="Arial"/>
          <w:sz w:val="20"/>
          <w:szCs w:val="20"/>
        </w:rPr>
        <w:t>air-travel requirements</w:t>
      </w:r>
      <w:r w:rsidR="00806A15">
        <w:rPr>
          <w:rFonts w:ascii="Arial" w:hAnsi="Arial" w:cs="Arial"/>
          <w:sz w:val="20"/>
          <w:szCs w:val="20"/>
        </w:rPr>
        <w:t xml:space="preserve"> of </w:t>
      </w:r>
      <w:r>
        <w:rPr>
          <w:rFonts w:ascii="Arial" w:hAnsi="Arial" w:cs="Arial"/>
          <w:sz w:val="20"/>
          <w:szCs w:val="20"/>
        </w:rPr>
        <w:t>TA-Oil and TAREC, we</w:t>
      </w:r>
      <w:r w:rsidR="00806A15">
        <w:rPr>
          <w:rFonts w:ascii="Arial" w:hAnsi="Arial" w:cs="Arial"/>
          <w:sz w:val="20"/>
          <w:szCs w:val="20"/>
        </w:rPr>
        <w:t xml:space="preserve"> intend to directly deal with PAL to </w:t>
      </w:r>
      <w:r w:rsidR="00B02D27">
        <w:rPr>
          <w:rFonts w:ascii="Arial" w:hAnsi="Arial" w:cs="Arial"/>
          <w:sz w:val="20"/>
          <w:szCs w:val="20"/>
        </w:rPr>
        <w:t xml:space="preserve">not only </w:t>
      </w:r>
      <w:r w:rsidR="00806A15">
        <w:rPr>
          <w:rFonts w:ascii="Arial" w:hAnsi="Arial" w:cs="Arial"/>
          <w:sz w:val="20"/>
          <w:szCs w:val="20"/>
        </w:rPr>
        <w:t xml:space="preserve">improve our costs </w:t>
      </w:r>
      <w:r w:rsidR="00B02D27">
        <w:rPr>
          <w:rFonts w:ascii="Arial" w:hAnsi="Arial" w:cs="Arial"/>
          <w:sz w:val="20"/>
          <w:szCs w:val="20"/>
        </w:rPr>
        <w:t xml:space="preserve">but also establish a </w:t>
      </w:r>
      <w:r w:rsidR="00280BEF">
        <w:rPr>
          <w:rFonts w:ascii="Arial" w:hAnsi="Arial" w:cs="Arial"/>
          <w:sz w:val="20"/>
          <w:szCs w:val="20"/>
        </w:rPr>
        <w:t>mutually beneficial</w:t>
      </w:r>
      <w:r w:rsidR="00B02D27">
        <w:rPr>
          <w:rFonts w:ascii="Arial" w:hAnsi="Arial" w:cs="Arial"/>
          <w:sz w:val="20"/>
          <w:szCs w:val="20"/>
        </w:rPr>
        <w:t xml:space="preserve"> relationship</w:t>
      </w:r>
      <w:r w:rsidR="00280BEF">
        <w:rPr>
          <w:rFonts w:ascii="Arial" w:hAnsi="Arial" w:cs="Arial"/>
          <w:sz w:val="20"/>
          <w:szCs w:val="20"/>
        </w:rPr>
        <w:t xml:space="preserve"> with your good Company.</w:t>
      </w:r>
      <w:r w:rsidR="00C82CE0">
        <w:rPr>
          <w:rFonts w:ascii="Arial" w:hAnsi="Arial" w:cs="Arial"/>
          <w:sz w:val="20"/>
          <w:szCs w:val="20"/>
        </w:rPr>
        <w:t xml:space="preserve">  </w:t>
      </w:r>
      <w:r w:rsidR="000217B8">
        <w:rPr>
          <w:rFonts w:ascii="Arial" w:hAnsi="Arial" w:cs="Arial"/>
          <w:sz w:val="20"/>
          <w:szCs w:val="20"/>
        </w:rPr>
        <w:t xml:space="preserve">We trust that you find our credit line applications in order and, in addition, </w:t>
      </w:r>
      <w:r w:rsidR="00020C60">
        <w:rPr>
          <w:rFonts w:ascii="Arial" w:hAnsi="Arial" w:cs="Arial"/>
          <w:sz w:val="20"/>
          <w:szCs w:val="20"/>
        </w:rPr>
        <w:t xml:space="preserve">favourably </w:t>
      </w:r>
      <w:r w:rsidR="000217B8">
        <w:rPr>
          <w:rFonts w:ascii="Arial" w:hAnsi="Arial" w:cs="Arial"/>
          <w:sz w:val="20"/>
          <w:szCs w:val="20"/>
        </w:rPr>
        <w:t>extend to us the waiver of the Cash bond posting requirement.</w:t>
      </w:r>
    </w:p>
    <w:p w:rsidR="00280BEF" w:rsidRDefault="00280BEF" w:rsidP="00AB5295">
      <w:pPr>
        <w:spacing w:after="0" w:line="240" w:lineRule="auto"/>
        <w:jc w:val="both"/>
        <w:rPr>
          <w:rFonts w:ascii="Arial" w:hAnsi="Arial" w:cs="Arial"/>
          <w:sz w:val="20"/>
          <w:szCs w:val="20"/>
        </w:rPr>
      </w:pPr>
    </w:p>
    <w:p w:rsidR="00C82CE0" w:rsidRDefault="00C82CE0" w:rsidP="00AB5295">
      <w:pPr>
        <w:spacing w:after="0" w:line="240" w:lineRule="auto"/>
        <w:jc w:val="both"/>
        <w:rPr>
          <w:rFonts w:ascii="Arial" w:hAnsi="Arial" w:cs="Arial"/>
          <w:sz w:val="20"/>
          <w:szCs w:val="20"/>
        </w:rPr>
      </w:pPr>
    </w:p>
    <w:p w:rsidR="0053112D" w:rsidRDefault="00B02D27" w:rsidP="00AB5295">
      <w:pPr>
        <w:spacing w:after="0" w:line="240" w:lineRule="auto"/>
        <w:jc w:val="both"/>
        <w:rPr>
          <w:rFonts w:ascii="Arial" w:hAnsi="Arial" w:cs="Arial"/>
          <w:sz w:val="20"/>
          <w:szCs w:val="20"/>
        </w:rPr>
      </w:pPr>
      <w:r>
        <w:rPr>
          <w:rFonts w:ascii="Arial" w:hAnsi="Arial" w:cs="Arial"/>
          <w:sz w:val="20"/>
          <w:szCs w:val="20"/>
        </w:rPr>
        <w:t>Hoping for your kind consideration on the matter.</w:t>
      </w:r>
    </w:p>
    <w:p w:rsidR="0053112D" w:rsidRDefault="0053112D"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Pr="00AB5295" w:rsidRDefault="00B02D27" w:rsidP="00B02D27">
      <w:pPr>
        <w:spacing w:after="0" w:line="240" w:lineRule="auto"/>
        <w:jc w:val="both"/>
        <w:rPr>
          <w:rFonts w:ascii="Arial" w:hAnsi="Arial" w:cs="Arial"/>
          <w:sz w:val="20"/>
          <w:szCs w:val="20"/>
        </w:rPr>
      </w:pPr>
      <w:r w:rsidRPr="00AB5295">
        <w:rPr>
          <w:rFonts w:ascii="Arial" w:hAnsi="Arial" w:cs="Arial"/>
          <w:sz w:val="20"/>
          <w:szCs w:val="20"/>
        </w:rPr>
        <w:t>Very truly yours,</w:t>
      </w:r>
    </w:p>
    <w:p w:rsidR="00B02D27" w:rsidRPr="00AB5295" w:rsidRDefault="00B02D27" w:rsidP="00B02D27">
      <w:pPr>
        <w:spacing w:after="0" w:line="240" w:lineRule="auto"/>
        <w:jc w:val="both"/>
        <w:rPr>
          <w:rFonts w:ascii="Arial" w:hAnsi="Arial" w:cs="Arial"/>
          <w:sz w:val="20"/>
          <w:szCs w:val="20"/>
        </w:rPr>
      </w:pPr>
    </w:p>
    <w:p w:rsidR="00B02D27" w:rsidRDefault="00B02D27" w:rsidP="00B02D27">
      <w:pPr>
        <w:spacing w:after="0" w:line="240" w:lineRule="auto"/>
        <w:jc w:val="both"/>
        <w:rPr>
          <w:rFonts w:ascii="Arial" w:hAnsi="Arial" w:cs="Arial"/>
          <w:sz w:val="20"/>
          <w:szCs w:val="20"/>
        </w:rPr>
      </w:pPr>
    </w:p>
    <w:p w:rsidR="00B02D27" w:rsidRPr="00AB5295" w:rsidRDefault="00B02D27" w:rsidP="00B02D27">
      <w:pPr>
        <w:spacing w:after="0" w:line="240" w:lineRule="auto"/>
        <w:jc w:val="both"/>
        <w:rPr>
          <w:rFonts w:ascii="Arial" w:hAnsi="Arial" w:cs="Arial"/>
          <w:b/>
          <w:sz w:val="20"/>
          <w:szCs w:val="20"/>
        </w:rPr>
      </w:pPr>
      <w:r w:rsidRPr="00AB5295">
        <w:rPr>
          <w:rFonts w:ascii="Arial" w:hAnsi="Arial" w:cs="Arial"/>
          <w:b/>
          <w:sz w:val="20"/>
          <w:szCs w:val="20"/>
        </w:rPr>
        <w:t>Arthur R. Villacorte</w:t>
      </w:r>
    </w:p>
    <w:p w:rsidR="00020C60" w:rsidRDefault="00B02D27" w:rsidP="00B02D27">
      <w:pPr>
        <w:spacing w:after="0" w:line="240" w:lineRule="auto"/>
        <w:jc w:val="both"/>
        <w:rPr>
          <w:rFonts w:ascii="Arial" w:hAnsi="Arial" w:cs="Arial"/>
          <w:sz w:val="20"/>
          <w:szCs w:val="20"/>
        </w:rPr>
      </w:pPr>
      <w:r>
        <w:rPr>
          <w:rFonts w:ascii="Arial" w:hAnsi="Arial" w:cs="Arial"/>
          <w:sz w:val="20"/>
          <w:szCs w:val="20"/>
        </w:rPr>
        <w:t xml:space="preserve">Department Head </w:t>
      </w:r>
    </w:p>
    <w:p w:rsidR="00B02D27" w:rsidRPr="00AB5295" w:rsidRDefault="00B02D27" w:rsidP="00B02D27">
      <w:pPr>
        <w:spacing w:after="0" w:line="240" w:lineRule="auto"/>
        <w:jc w:val="both"/>
        <w:rPr>
          <w:rFonts w:ascii="Arial" w:hAnsi="Arial" w:cs="Arial"/>
          <w:sz w:val="20"/>
          <w:szCs w:val="20"/>
        </w:rPr>
      </w:pPr>
      <w:r>
        <w:rPr>
          <w:rFonts w:ascii="Arial" w:hAnsi="Arial" w:cs="Arial"/>
          <w:sz w:val="20"/>
          <w:szCs w:val="20"/>
        </w:rPr>
        <w:t>Materials Management Department</w:t>
      </w:r>
    </w:p>
    <w:p w:rsidR="00B02D27" w:rsidRPr="00AB5295" w:rsidRDefault="00B02D27" w:rsidP="00B02D27">
      <w:pPr>
        <w:spacing w:after="0" w:line="240" w:lineRule="auto"/>
        <w:jc w:val="both"/>
        <w:rPr>
          <w:rFonts w:ascii="Arial" w:hAnsi="Arial" w:cs="Arial"/>
          <w:bCs/>
          <w:sz w:val="20"/>
          <w:szCs w:val="20"/>
        </w:rPr>
      </w:pPr>
      <w:r w:rsidRPr="00AB5295">
        <w:rPr>
          <w:rFonts w:ascii="Arial" w:hAnsi="Arial" w:cs="Arial"/>
          <w:bCs/>
          <w:sz w:val="20"/>
          <w:szCs w:val="20"/>
        </w:rPr>
        <w:t>Trans-Asia Oil and Energy Development Corporation</w:t>
      </w:r>
    </w:p>
    <w:p w:rsidR="0053112D" w:rsidRDefault="0053112D"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B02D27" w:rsidRDefault="00B02D27"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sz w:val="20"/>
          <w:szCs w:val="20"/>
        </w:rPr>
        <w:t>We submit this letter of intent to formally request Philippine Airlines (PAL) to approve the corporate line applications for our two Companies’ domestic and international flight requirements.  We have been using travel agencies to book flights with PAL and we desire to directly deal with PAL considering our increasing flight requirements and airfare expenses.</w:t>
      </w:r>
    </w:p>
    <w:p w:rsidR="00AB5295" w:rsidRPr="00AB5295" w:rsidRDefault="00AB5295"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b/>
          <w:bCs/>
          <w:sz w:val="20"/>
          <w:szCs w:val="20"/>
        </w:rPr>
        <w:t>Trans-Asia Oil and Energy Development Corporation</w:t>
      </w:r>
      <w:r w:rsidRPr="00AB5295">
        <w:rPr>
          <w:rFonts w:ascii="Arial" w:hAnsi="Arial" w:cs="Arial"/>
          <w:sz w:val="20"/>
          <w:szCs w:val="20"/>
        </w:rPr>
        <w:t xml:space="preserve"> </w:t>
      </w:r>
      <w:r w:rsidRPr="00AB5295">
        <w:rPr>
          <w:rFonts w:ascii="Arial" w:hAnsi="Arial" w:cs="Arial"/>
          <w:b/>
          <w:sz w:val="20"/>
          <w:szCs w:val="20"/>
        </w:rPr>
        <w:t>(TA)</w:t>
      </w:r>
      <w:r w:rsidRPr="00AB5295">
        <w:rPr>
          <w:rFonts w:ascii="Arial" w:hAnsi="Arial" w:cs="Arial"/>
          <w:sz w:val="20"/>
          <w:szCs w:val="20"/>
        </w:rPr>
        <w:t xml:space="preserve"> is the Parent Company (100%) of Trans-Asia Power Generation Corporation which already has a credit line with PAL. It was established by Philippine Investment Management (</w:t>
      </w:r>
      <w:hyperlink r:id="rId7" w:tgtFrame="_blank" w:history="1">
        <w:r w:rsidRPr="00AB5295">
          <w:rPr>
            <w:rFonts w:ascii="Arial" w:hAnsi="Arial" w:cs="Arial"/>
            <w:sz w:val="20"/>
            <w:szCs w:val="20"/>
          </w:rPr>
          <w:t>PHINMA</w:t>
        </w:r>
      </w:hyperlink>
      <w:r w:rsidRPr="00AB5295">
        <w:rPr>
          <w:rFonts w:ascii="Arial" w:hAnsi="Arial" w:cs="Arial"/>
          <w:sz w:val="20"/>
          <w:szCs w:val="20"/>
        </w:rPr>
        <w:t xml:space="preserve">) Inc. on September 8, 1969 in line with PHINMA’s vision to create a vehicle for building the nation’s economy through self-reliance in energy. TA is engaged primarily in power generation and supply with secondary investments in petroleum exploration, development and production.   TA has been listed in the Philippine Stock Exchange since Jan 5, 1970 and has a market capitalization of almost P11 billion as of end February 2015. TA’s subsidiaries also include CIP II Power Corporation, One Subic Power Generation Corporation, Trans-Asia Petroleum Corporation (also listed in the PSE as “TAPET”) and Palawan55 Exploration &amp; Production Corporation.  It owns 50% of South Luzon Thermal Energy Corporation (a joint venture with Ayala’s AC Energy Holdings) and 25% of Maibarara Geothermal, Inc. (a joint venture with Petro Green Energy Corp and PNOC Renewable Corp. </w:t>
      </w:r>
      <w:r w:rsidRPr="00AB5295" w:rsidDel="00FD16B5">
        <w:rPr>
          <w:rFonts w:ascii="Arial" w:hAnsi="Arial" w:cs="Arial"/>
          <w:sz w:val="20"/>
          <w:szCs w:val="20"/>
        </w:rPr>
        <w:t xml:space="preserve"> </w:t>
      </w:r>
    </w:p>
    <w:p w:rsidR="00AB5295" w:rsidRPr="00AB5295" w:rsidRDefault="00AB5295"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color w:val="111111"/>
          <w:sz w:val="20"/>
          <w:szCs w:val="20"/>
          <w:shd w:val="clear" w:color="auto" w:fill="F7F7F7"/>
        </w:rPr>
      </w:pPr>
      <w:r w:rsidRPr="00AB5295">
        <w:rPr>
          <w:rFonts w:ascii="Arial" w:hAnsi="Arial" w:cs="Arial"/>
          <w:sz w:val="20"/>
          <w:szCs w:val="20"/>
        </w:rPr>
        <w:t xml:space="preserve">Aside from TA, we would like to request for the approval of a corporate line for </w:t>
      </w:r>
      <w:r w:rsidRPr="00AB5295">
        <w:rPr>
          <w:rFonts w:ascii="Arial" w:hAnsi="Arial" w:cs="Arial"/>
          <w:b/>
          <w:sz w:val="20"/>
          <w:szCs w:val="20"/>
        </w:rPr>
        <w:t xml:space="preserve">Trans-Asia Renewable Energy Corporation (TAREC), </w:t>
      </w:r>
      <w:r w:rsidRPr="00AB5295">
        <w:rPr>
          <w:rFonts w:ascii="Arial" w:hAnsi="Arial" w:cs="Arial"/>
          <w:sz w:val="20"/>
          <w:szCs w:val="20"/>
        </w:rPr>
        <w:t>another wholly owned subsidiary of TA.</w:t>
      </w:r>
      <w:r w:rsidRPr="00AB5295">
        <w:rPr>
          <w:rFonts w:ascii="Arial" w:eastAsia="Calibri" w:hAnsi="Arial" w:cs="Arial"/>
          <w:sz w:val="20"/>
          <w:szCs w:val="20"/>
        </w:rPr>
        <w:t xml:space="preserve"> </w:t>
      </w:r>
      <w:r w:rsidRPr="00AB5295">
        <w:rPr>
          <w:rFonts w:ascii="Arial" w:hAnsi="Arial" w:cs="Arial"/>
          <w:color w:val="111111"/>
          <w:sz w:val="20"/>
          <w:szCs w:val="20"/>
          <w:shd w:val="clear" w:color="auto" w:fill="F7F7F7"/>
        </w:rPr>
        <w:t xml:space="preserve">TAREC is operating a 54-MW wind farm in the province of Guimaras and holds a portfolio of wind sites across Luzon and the Visayas with a total estimated potential capacity of over 400 megawatts. </w:t>
      </w:r>
      <w:r w:rsidRPr="00AB5295">
        <w:rPr>
          <w:rFonts w:ascii="Arial" w:hAnsi="Arial" w:cs="Arial"/>
          <w:sz w:val="20"/>
          <w:szCs w:val="20"/>
        </w:rPr>
        <w:t xml:space="preserve">TAREC plans to explore the country in searching for various energy resources and </w:t>
      </w:r>
      <w:r w:rsidRPr="00AB5295">
        <w:rPr>
          <w:rFonts w:ascii="Arial" w:hAnsi="Arial" w:cs="Arial"/>
          <w:color w:val="111111"/>
          <w:sz w:val="20"/>
          <w:szCs w:val="20"/>
          <w:shd w:val="clear" w:color="auto" w:fill="F7F7F7"/>
        </w:rPr>
        <w:t>have been awarded Service Contracts by the Department of Energy.</w:t>
      </w:r>
    </w:p>
    <w:p w:rsidR="00AB5295" w:rsidRPr="00AB5295" w:rsidRDefault="00AB5295" w:rsidP="00AB5295">
      <w:pPr>
        <w:spacing w:after="0" w:line="240" w:lineRule="auto"/>
        <w:jc w:val="both"/>
        <w:rPr>
          <w:rFonts w:ascii="Arial" w:hAnsi="Arial" w:cs="Arial"/>
          <w:color w:val="111111"/>
          <w:sz w:val="20"/>
          <w:szCs w:val="20"/>
          <w:shd w:val="clear" w:color="auto" w:fill="F7F7F7"/>
        </w:rPr>
      </w:pP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sz w:val="20"/>
          <w:szCs w:val="20"/>
        </w:rPr>
        <w:t>The above-mentioned companies continue to expand their operations and we hope that we may count on PAL in seeing these plans progress.</w:t>
      </w:r>
    </w:p>
    <w:p w:rsidR="00AB5295" w:rsidRPr="00AB5295" w:rsidRDefault="00AB5295"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sz w:val="20"/>
          <w:szCs w:val="20"/>
        </w:rPr>
        <w:t>In consideration of the business that TA and its subsidiaries have transacted with PAL, albeit through travel agencies, and the increasing business that TA foresees in the future, we also request PAL to waive the requirement of posting a Cash bond.</w:t>
      </w:r>
    </w:p>
    <w:p w:rsidR="00AB5295" w:rsidRPr="00AB5295" w:rsidRDefault="00AB5295"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sz w:val="20"/>
          <w:szCs w:val="20"/>
        </w:rPr>
        <w:t xml:space="preserve">We look forward to your approval of our applications. </w:t>
      </w:r>
    </w:p>
    <w:p w:rsidR="00AB5295" w:rsidRPr="00AB5295" w:rsidRDefault="00AB5295"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sz w:val="20"/>
          <w:szCs w:val="20"/>
        </w:rPr>
        <w:t>Thank you.</w:t>
      </w:r>
    </w:p>
    <w:p w:rsidR="00AB5295" w:rsidRPr="00AB5295" w:rsidRDefault="00AB5295"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sz w:val="20"/>
          <w:szCs w:val="20"/>
        </w:rPr>
        <w:t>Very truly yours,</w:t>
      </w:r>
    </w:p>
    <w:p w:rsidR="00AB5295" w:rsidRPr="00AB5295" w:rsidRDefault="00AB5295" w:rsidP="00AB5295">
      <w:pPr>
        <w:spacing w:after="0" w:line="240" w:lineRule="auto"/>
        <w:jc w:val="both"/>
        <w:rPr>
          <w:rFonts w:ascii="Arial" w:hAnsi="Arial" w:cs="Arial"/>
          <w:sz w:val="20"/>
          <w:szCs w:val="20"/>
        </w:rPr>
      </w:pPr>
    </w:p>
    <w:p w:rsidR="00AB5295" w:rsidRDefault="00AB5295" w:rsidP="00AB5295">
      <w:pPr>
        <w:spacing w:after="0" w:line="240" w:lineRule="auto"/>
        <w:jc w:val="both"/>
        <w:rPr>
          <w:rFonts w:ascii="Arial" w:hAnsi="Arial" w:cs="Arial"/>
          <w:sz w:val="20"/>
          <w:szCs w:val="20"/>
        </w:rPr>
      </w:pPr>
    </w:p>
    <w:p w:rsidR="00AB5295" w:rsidRPr="00AB5295" w:rsidRDefault="00AB5295" w:rsidP="00AB5295">
      <w:pPr>
        <w:spacing w:after="0" w:line="240" w:lineRule="auto"/>
        <w:jc w:val="both"/>
        <w:rPr>
          <w:rFonts w:ascii="Arial" w:hAnsi="Arial" w:cs="Arial"/>
          <w:b/>
          <w:sz w:val="20"/>
          <w:szCs w:val="20"/>
        </w:rPr>
      </w:pPr>
      <w:r w:rsidRPr="00AB5295">
        <w:rPr>
          <w:rFonts w:ascii="Arial" w:hAnsi="Arial" w:cs="Arial"/>
          <w:b/>
          <w:sz w:val="20"/>
          <w:szCs w:val="20"/>
        </w:rPr>
        <w:t>Arthur R. Villacorte</w:t>
      </w: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sz w:val="20"/>
          <w:szCs w:val="20"/>
        </w:rPr>
        <w:t>Purchasing Manager</w:t>
      </w:r>
    </w:p>
    <w:p w:rsidR="00AB5295" w:rsidRPr="00AB5295" w:rsidRDefault="00AB5295" w:rsidP="00AB5295">
      <w:pPr>
        <w:spacing w:after="0" w:line="240" w:lineRule="auto"/>
        <w:jc w:val="both"/>
        <w:rPr>
          <w:rFonts w:ascii="Arial" w:hAnsi="Arial" w:cs="Arial"/>
          <w:bCs/>
          <w:sz w:val="20"/>
          <w:szCs w:val="20"/>
        </w:rPr>
      </w:pPr>
      <w:r w:rsidRPr="00AB5295">
        <w:rPr>
          <w:rFonts w:ascii="Arial" w:hAnsi="Arial" w:cs="Arial"/>
          <w:bCs/>
          <w:sz w:val="20"/>
          <w:szCs w:val="20"/>
        </w:rPr>
        <w:t>Trans-Asia Oil and Energy Development Corporation</w:t>
      </w:r>
    </w:p>
    <w:p w:rsidR="00AB5295" w:rsidRPr="00AB5295" w:rsidRDefault="00AB5295" w:rsidP="00AB5295">
      <w:pPr>
        <w:spacing w:after="0" w:line="240" w:lineRule="auto"/>
        <w:jc w:val="both"/>
        <w:rPr>
          <w:rFonts w:ascii="Arial" w:hAnsi="Arial" w:cs="Arial"/>
          <w:sz w:val="20"/>
          <w:szCs w:val="20"/>
        </w:rPr>
      </w:pPr>
      <w:r w:rsidRPr="00AB5295">
        <w:rPr>
          <w:rFonts w:ascii="Arial" w:hAnsi="Arial" w:cs="Arial"/>
          <w:sz w:val="20"/>
          <w:szCs w:val="20"/>
        </w:rPr>
        <w:t>Trans-Asia Renewable Energy Corporation</w:t>
      </w:r>
    </w:p>
    <w:p w:rsidR="00AB5295" w:rsidRPr="00B808E8" w:rsidRDefault="00AB5295" w:rsidP="00F67A29">
      <w:pPr>
        <w:rPr>
          <w:b/>
        </w:rPr>
      </w:pPr>
    </w:p>
    <w:sectPr w:rsidR="00AB5295" w:rsidRPr="00B808E8" w:rsidSect="002F7E0B">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FC8" w:rsidRDefault="00CA6FC8" w:rsidP="005A48A8">
      <w:pPr>
        <w:spacing w:after="0" w:line="240" w:lineRule="auto"/>
      </w:pPr>
      <w:r>
        <w:separator/>
      </w:r>
    </w:p>
  </w:endnote>
  <w:endnote w:type="continuationSeparator" w:id="1">
    <w:p w:rsidR="00CA6FC8" w:rsidRDefault="00CA6FC8" w:rsidP="005A48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pperplate Gothic Light">
    <w:altName w:val="MV Boli"/>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2610"/>
    </w:tblGrid>
    <w:tr w:rsidR="005A48A8" w:rsidRPr="005A48A8" w:rsidTr="005A48A8">
      <w:tc>
        <w:tcPr>
          <w:tcW w:w="3510" w:type="dxa"/>
        </w:tcPr>
        <w:p w:rsidR="005A48A8" w:rsidRPr="005A48A8" w:rsidRDefault="005A48A8" w:rsidP="005A48A8">
          <w:pPr>
            <w:pStyle w:val="Footer"/>
            <w:rPr>
              <w:sz w:val="20"/>
            </w:rPr>
          </w:pPr>
        </w:p>
      </w:tc>
      <w:tc>
        <w:tcPr>
          <w:tcW w:w="2610" w:type="dxa"/>
        </w:tcPr>
        <w:p w:rsidR="005A48A8" w:rsidRPr="005A48A8" w:rsidRDefault="00E66F62" w:rsidP="005A48A8">
          <w:pPr>
            <w:pStyle w:val="Footer"/>
            <w:jc w:val="center"/>
            <w:rPr>
              <w:sz w:val="20"/>
            </w:rPr>
          </w:pPr>
          <w:r w:rsidRPr="00E66F62">
            <w:rPr>
              <w:noProof/>
              <w:lang w:val="en-US"/>
            </w:rPr>
            <w:pict>
              <v:rect id="Rectangle 14" o:spid="_x0000_s2050" style="position:absolute;left:0;text-align:left;margin-left:268.5pt;margin-top:-61.4pt;width:1in;height:1in;z-index:2516577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" fillcolor="white [3212]" stroked="f" strokeweight="2pt"/>
            </w:pict>
          </w:r>
        </w:p>
      </w:tc>
    </w:tr>
  </w:tbl>
  <w:p w:rsidR="005A48A8" w:rsidRDefault="00E64DBB" w:rsidP="005A48A8">
    <w:pPr>
      <w:pStyle w:val="Footer"/>
      <w:jc w:val="center"/>
    </w:pPr>
    <w:r>
      <w:rPr>
        <w:noProof/>
        <w:lang w:val="en-US"/>
      </w:rPr>
      <w:drawing>
        <wp:anchor distT="0" distB="0" distL="114300" distR="114300" simplePos="0" relativeHeight="251659776" behindDoc="1" locked="0" layoutInCell="1" allowOverlap="1">
          <wp:simplePos x="0" y="0"/>
          <wp:positionH relativeFrom="column">
            <wp:posOffset>4724400</wp:posOffset>
          </wp:positionH>
          <wp:positionV relativeFrom="paragraph">
            <wp:posOffset>-141979</wp:posOffset>
          </wp:positionV>
          <wp:extent cx="1685925" cy="755650"/>
          <wp:effectExtent l="0" t="0" r="952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_WORK\1_PR_Project Related\Ongoing\Branding\Brand_Study\Branding Files\TA Logos\TA Subsidiaries and Affiliates\Help Earth\Help_Earth_half2.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685925" cy="755650"/>
                  </a:xfrm>
                  <a:prstGeom prst="rect">
                    <a:avLst/>
                  </a:prstGeom>
                  <a:noFill/>
                  <a:ln>
                    <a:noFill/>
                  </a:ln>
                </pic:spPr>
              </pic:pic>
            </a:graphicData>
          </a:graphic>
        </wp:anchor>
      </w:drawing>
    </w:r>
    <w:r w:rsidR="00E66F62">
      <w:rPr>
        <w:noProof/>
        <w:lang w:val="en-US"/>
      </w:rPr>
      <w:pict>
        <v:shapetype id="_x0000_t202" coordsize="21600,21600" o:spt="202" path="m,l,21600r21600,l21600,xe">
          <v:stroke joinstyle="miter"/>
          <v:path gradientshapeok="t" o:connecttype="rect"/>
        </v:shapetype>
        <v:shape id="Text Box 2" o:spid="_x0000_s2049" type="#_x0000_t202" style="position:absolute;left:0;text-align:left;margin-left:-41.3pt;margin-top:-10.9pt;width:459.1pt;height:110.55pt;z-index:25165568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" filled="f" stroked="f">
          <v:textbox style="mso-fit-shape-to-text:t">
            <w:txbxContent>
              <w:p w:rsidR="00B81C9D" w:rsidRDefault="00B81C9D" w:rsidP="00EE44A4">
                <w:pPr>
                  <w:pStyle w:val="Footer"/>
                  <w:rPr>
                    <w:rFonts w:ascii="Copperplate Gothic Light" w:hAnsi="Copperplate Gothic Light" w:cs="Arial"/>
                    <w:b/>
                    <w:color w:val="404040" w:themeColor="text1" w:themeTint="BF"/>
                    <w:sz w:val="20"/>
                    <w:szCs w:val="20"/>
                  </w:rPr>
                </w:pPr>
              </w:p>
              <w:p w:rsidR="00B81C9D" w:rsidRPr="00B438FA" w:rsidRDefault="009243F0" w:rsidP="00F568F8">
                <w:pPr>
                  <w:pStyle w:val="Footer"/>
                  <w:spacing w:line="100" w:lineRule="atLeast"/>
                  <w:rPr>
                    <w:rFonts w:ascii="Copperplate Gothic Light" w:hAnsi="Copperplate Gothic Light" w:cs="Arial"/>
                    <w:color w:val="404040" w:themeColor="text1" w:themeTint="BF"/>
                    <w:sz w:val="18"/>
                    <w:szCs w:val="18"/>
                  </w:rPr>
                </w:pPr>
                <w:r w:rsidRPr="00B438FA">
                  <w:rPr>
                    <w:rFonts w:ascii="Copperplate Gothic Light" w:hAnsi="Copperplate Gothic Light" w:cs="Arial"/>
                    <w:color w:val="404040" w:themeColor="text1" w:themeTint="BF"/>
                    <w:sz w:val="18"/>
                    <w:szCs w:val="18"/>
                  </w:rPr>
                  <w:t>TRANS-ASIA OIL &amp; ENERGY DEVELOPMENT CORPORATION</w:t>
                </w:r>
              </w:p>
              <w:p w:rsidR="009243F0" w:rsidRPr="00B438FA" w:rsidRDefault="009243F0" w:rsidP="00F568F8">
                <w:pPr>
                  <w:spacing w:after="0" w:line="100" w:lineRule="atLeast"/>
                  <w:rPr>
                    <w:rFonts w:cstheme="minorHAnsi"/>
                    <w:b/>
                    <w:bCs/>
                    <w:color w:val="404040" w:themeColor="text1" w:themeTint="BF"/>
                    <w:sz w:val="14"/>
                    <w:szCs w:val="14"/>
                    <w:lang w:val="en-PH"/>
                  </w:rPr>
                </w:pPr>
                <w:r w:rsidRPr="00B438FA">
                  <w:rPr>
                    <w:rFonts w:cstheme="minorHAnsi"/>
                    <w:color w:val="404040" w:themeColor="text1" w:themeTint="BF"/>
                    <w:sz w:val="14"/>
                    <w:szCs w:val="14"/>
                    <w:lang w:val="en-PH"/>
                  </w:rPr>
                  <w:t>11/F PHINMA Plaza, 39 Plaza Drive, Rockwell Center, Makati City, Philippines 1200</w:t>
                </w:r>
              </w:p>
              <w:p w:rsidR="009243F0" w:rsidRPr="00B438FA" w:rsidRDefault="009243F0" w:rsidP="009243F0">
                <w:pPr>
                  <w:rPr>
                    <w:rFonts w:cstheme="minorHAnsi"/>
                    <w:color w:val="404040" w:themeColor="text1" w:themeTint="BF"/>
                    <w:sz w:val="14"/>
                    <w:szCs w:val="14"/>
                    <w:lang w:val="en-PH"/>
                  </w:rPr>
                </w:pPr>
                <w:r w:rsidRPr="00B438FA">
                  <w:rPr>
                    <w:rFonts w:cstheme="minorHAnsi"/>
                    <w:color w:val="404040" w:themeColor="text1" w:themeTint="BF"/>
                    <w:sz w:val="14"/>
                    <w:szCs w:val="14"/>
                    <w:lang w:val="en-PH"/>
                  </w:rPr>
                  <w:t xml:space="preserve">Tel. (632) 870-0100  Fax. No. (632) 870-0433  </w:t>
                </w:r>
                <w:hyperlink r:id="rId2" w:history="1">
                  <w:r w:rsidRPr="00B438FA">
                    <w:rPr>
                      <w:rStyle w:val="Hyperlink"/>
                      <w:rFonts w:cstheme="minorHAnsi"/>
                      <w:color w:val="404040" w:themeColor="text1" w:themeTint="BF"/>
                      <w:sz w:val="14"/>
                      <w:szCs w:val="14"/>
                      <w:u w:val="none"/>
                      <w:lang w:val="en-PH"/>
                    </w:rPr>
                    <w:t>www.transasia-energy.com</w:t>
                  </w:r>
                </w:hyperlink>
              </w:p>
              <w:p w:rsidR="00B808E8" w:rsidRPr="00F61EFC" w:rsidRDefault="00B808E8" w:rsidP="00EF5820">
                <w:pPr>
                  <w:pStyle w:val="Footer"/>
                  <w:rPr>
                    <w:rFonts w:ascii="Arial" w:hAnsi="Arial" w:cs="Arial"/>
                    <w:sz w:val="16"/>
                  </w:rPr>
                </w:pP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FC8" w:rsidRDefault="00CA6FC8" w:rsidP="005A48A8">
      <w:pPr>
        <w:spacing w:after="0" w:line="240" w:lineRule="auto"/>
      </w:pPr>
      <w:r>
        <w:separator/>
      </w:r>
    </w:p>
  </w:footnote>
  <w:footnote w:type="continuationSeparator" w:id="1">
    <w:p w:rsidR="00CA6FC8" w:rsidRDefault="00CA6FC8" w:rsidP="005A48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49"/>
      <w:gridCol w:w="3693"/>
    </w:tblGrid>
    <w:tr w:rsidR="005A48A8" w:rsidTr="003924F3">
      <w:trPr>
        <w:jc w:val="center"/>
      </w:trPr>
      <w:tc>
        <w:tcPr>
          <w:tcW w:w="5549" w:type="dxa"/>
        </w:tcPr>
        <w:p w:rsidR="005A48A8" w:rsidRDefault="005A48A8" w:rsidP="005A48A8">
          <w:pPr>
            <w:pStyle w:val="Header"/>
          </w:pPr>
        </w:p>
      </w:tc>
      <w:tc>
        <w:tcPr>
          <w:tcW w:w="3693" w:type="dxa"/>
        </w:tcPr>
        <w:p w:rsidR="00775520" w:rsidRDefault="00775520" w:rsidP="00775520">
          <w:pPr>
            <w:pStyle w:val="Header"/>
            <w:jc w:val="right"/>
          </w:pPr>
        </w:p>
      </w:tc>
    </w:tr>
  </w:tbl>
  <w:p w:rsidR="005A48A8" w:rsidRDefault="00A34C26" w:rsidP="00760213">
    <w:pPr>
      <w:pStyle w:val="Header"/>
    </w:pPr>
    <w:r>
      <w:rPr>
        <w:noProof/>
        <w:lang w:val="en-US"/>
      </w:rPr>
      <w:drawing>
        <wp:anchor distT="0" distB="0" distL="114300" distR="114300" simplePos="0" relativeHeight="251662336" behindDoc="1" locked="0" layoutInCell="1" allowOverlap="1">
          <wp:simplePos x="0" y="0"/>
          <wp:positionH relativeFrom="column">
            <wp:posOffset>-451485</wp:posOffset>
          </wp:positionH>
          <wp:positionV relativeFrom="paragraph">
            <wp:posOffset>-266065</wp:posOffset>
          </wp:positionV>
          <wp:extent cx="2743200" cy="783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ed TA 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0" cy="78359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A5F00"/>
    <w:multiLevelType w:val="hybridMultilevel"/>
    <w:tmpl w:val="10526EFE"/>
    <w:lvl w:ilvl="0" w:tplc="46DA9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F57127"/>
    <w:multiLevelType w:val="hybridMultilevel"/>
    <w:tmpl w:val="10526EFE"/>
    <w:lvl w:ilvl="0" w:tplc="46DA9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5A48A8"/>
    <w:rsid w:val="00020C60"/>
    <w:rsid w:val="000217B8"/>
    <w:rsid w:val="000220F8"/>
    <w:rsid w:val="001712D7"/>
    <w:rsid w:val="001C061A"/>
    <w:rsid w:val="00203639"/>
    <w:rsid w:val="0022735C"/>
    <w:rsid w:val="002417F4"/>
    <w:rsid w:val="00280BEF"/>
    <w:rsid w:val="002D7AEA"/>
    <w:rsid w:val="002F7E0B"/>
    <w:rsid w:val="00337FD8"/>
    <w:rsid w:val="0034753F"/>
    <w:rsid w:val="00380DEB"/>
    <w:rsid w:val="003924F3"/>
    <w:rsid w:val="00393F81"/>
    <w:rsid w:val="003F33B5"/>
    <w:rsid w:val="004160EB"/>
    <w:rsid w:val="00455537"/>
    <w:rsid w:val="00466B52"/>
    <w:rsid w:val="004850E4"/>
    <w:rsid w:val="00495182"/>
    <w:rsid w:val="004B5953"/>
    <w:rsid w:val="004D67BB"/>
    <w:rsid w:val="005061AF"/>
    <w:rsid w:val="0051091B"/>
    <w:rsid w:val="0053112D"/>
    <w:rsid w:val="00551CA2"/>
    <w:rsid w:val="0058404F"/>
    <w:rsid w:val="005A0B45"/>
    <w:rsid w:val="005A1FD1"/>
    <w:rsid w:val="005A48A8"/>
    <w:rsid w:val="005B63FD"/>
    <w:rsid w:val="005F64BF"/>
    <w:rsid w:val="006642A0"/>
    <w:rsid w:val="006B27FF"/>
    <w:rsid w:val="006C125F"/>
    <w:rsid w:val="006C6A00"/>
    <w:rsid w:val="0071227F"/>
    <w:rsid w:val="00757E6B"/>
    <w:rsid w:val="00760213"/>
    <w:rsid w:val="00770FF6"/>
    <w:rsid w:val="00775520"/>
    <w:rsid w:val="007A03BE"/>
    <w:rsid w:val="007A15D9"/>
    <w:rsid w:val="007D26E1"/>
    <w:rsid w:val="007D610D"/>
    <w:rsid w:val="007E3CE3"/>
    <w:rsid w:val="00806A15"/>
    <w:rsid w:val="0081543D"/>
    <w:rsid w:val="00821B62"/>
    <w:rsid w:val="00880099"/>
    <w:rsid w:val="00887F90"/>
    <w:rsid w:val="008922DB"/>
    <w:rsid w:val="00897E15"/>
    <w:rsid w:val="008B6EF3"/>
    <w:rsid w:val="009243F0"/>
    <w:rsid w:val="009410F1"/>
    <w:rsid w:val="00962295"/>
    <w:rsid w:val="009745D9"/>
    <w:rsid w:val="009A667F"/>
    <w:rsid w:val="009E270D"/>
    <w:rsid w:val="00A15EB4"/>
    <w:rsid w:val="00A34C26"/>
    <w:rsid w:val="00A362EA"/>
    <w:rsid w:val="00A44F5B"/>
    <w:rsid w:val="00A9368C"/>
    <w:rsid w:val="00AB5295"/>
    <w:rsid w:val="00B02D27"/>
    <w:rsid w:val="00B438FA"/>
    <w:rsid w:val="00B808E8"/>
    <w:rsid w:val="00B81C9D"/>
    <w:rsid w:val="00B83C17"/>
    <w:rsid w:val="00B9136D"/>
    <w:rsid w:val="00BA0AC5"/>
    <w:rsid w:val="00BC0C1C"/>
    <w:rsid w:val="00BD421A"/>
    <w:rsid w:val="00C1147A"/>
    <w:rsid w:val="00C274C2"/>
    <w:rsid w:val="00C67C4C"/>
    <w:rsid w:val="00C708A1"/>
    <w:rsid w:val="00C82CE0"/>
    <w:rsid w:val="00C94FAE"/>
    <w:rsid w:val="00CA6FC8"/>
    <w:rsid w:val="00D03EBD"/>
    <w:rsid w:val="00DC0DE1"/>
    <w:rsid w:val="00DF1A84"/>
    <w:rsid w:val="00E2509C"/>
    <w:rsid w:val="00E64DBB"/>
    <w:rsid w:val="00E66F62"/>
    <w:rsid w:val="00ED0991"/>
    <w:rsid w:val="00EE44A4"/>
    <w:rsid w:val="00EF5820"/>
    <w:rsid w:val="00F568F8"/>
    <w:rsid w:val="00F61EFC"/>
    <w:rsid w:val="00F67A29"/>
    <w:rsid w:val="00F85606"/>
    <w:rsid w:val="00FC2946"/>
    <w:rsid w:val="00FE70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E0B"/>
  </w:style>
  <w:style w:type="paragraph" w:styleId="Heading2">
    <w:name w:val="heading 2"/>
    <w:basedOn w:val="Normal"/>
    <w:next w:val="Normal"/>
    <w:link w:val="Heading2Char"/>
    <w:qFormat/>
    <w:rsid w:val="00887F90"/>
    <w:pPr>
      <w:keepNext/>
      <w:spacing w:after="0" w:line="240" w:lineRule="auto"/>
      <w:outlineLvl w:val="1"/>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8A8"/>
  </w:style>
  <w:style w:type="paragraph" w:styleId="Footer">
    <w:name w:val="footer"/>
    <w:basedOn w:val="Normal"/>
    <w:link w:val="FooterChar"/>
    <w:uiPriority w:val="99"/>
    <w:unhideWhenUsed/>
    <w:rsid w:val="005A4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8A8"/>
  </w:style>
  <w:style w:type="paragraph" w:styleId="BalloonText">
    <w:name w:val="Balloon Text"/>
    <w:basedOn w:val="Normal"/>
    <w:link w:val="BalloonTextChar"/>
    <w:uiPriority w:val="99"/>
    <w:semiHidden/>
    <w:unhideWhenUsed/>
    <w:rsid w:val="005A4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8A8"/>
    <w:rPr>
      <w:rFonts w:ascii="Tahoma" w:hAnsi="Tahoma" w:cs="Tahoma"/>
      <w:sz w:val="16"/>
      <w:szCs w:val="16"/>
    </w:rPr>
  </w:style>
  <w:style w:type="table" w:styleId="TableGrid">
    <w:name w:val="Table Grid"/>
    <w:basedOn w:val="TableNormal"/>
    <w:uiPriority w:val="59"/>
    <w:rsid w:val="005A4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243F0"/>
    <w:rPr>
      <w:color w:val="0000FF"/>
      <w:u w:val="single"/>
    </w:rPr>
  </w:style>
  <w:style w:type="character" w:customStyle="1" w:styleId="Heading2Char">
    <w:name w:val="Heading 2 Char"/>
    <w:basedOn w:val="DefaultParagraphFont"/>
    <w:link w:val="Heading2"/>
    <w:rsid w:val="00887F90"/>
    <w:rPr>
      <w:rFonts w:ascii="Times New Roman" w:eastAsia="Times New Roman" w:hAnsi="Times New Roman" w:cs="Times New Roman"/>
      <w:b/>
      <w:sz w:val="24"/>
      <w:szCs w:val="20"/>
      <w:lang w:val="en-US"/>
    </w:rPr>
  </w:style>
  <w:style w:type="paragraph" w:styleId="Title">
    <w:name w:val="Title"/>
    <w:basedOn w:val="Normal"/>
    <w:link w:val="TitleChar"/>
    <w:qFormat/>
    <w:rsid w:val="00887F90"/>
    <w:pPr>
      <w:spacing w:before="2520" w:after="0" w:line="240" w:lineRule="auto"/>
      <w:jc w:val="center"/>
    </w:pPr>
    <w:rPr>
      <w:rFonts w:ascii="Times New Roman" w:eastAsia="Times New Roman" w:hAnsi="Times New Roman" w:cs="Times New Roman"/>
      <w:b/>
      <w:caps/>
      <w:spacing w:val="60"/>
      <w:sz w:val="36"/>
      <w:szCs w:val="20"/>
      <w:lang w:val="en-US"/>
    </w:rPr>
  </w:style>
  <w:style w:type="character" w:customStyle="1" w:styleId="TitleChar">
    <w:name w:val="Title Char"/>
    <w:basedOn w:val="DefaultParagraphFont"/>
    <w:link w:val="Title"/>
    <w:rsid w:val="00887F90"/>
    <w:rPr>
      <w:rFonts w:ascii="Times New Roman" w:eastAsia="Times New Roman" w:hAnsi="Times New Roman" w:cs="Times New Roman"/>
      <w:b/>
      <w:caps/>
      <w:spacing w:val="60"/>
      <w:sz w:val="36"/>
      <w:szCs w:val="20"/>
      <w:lang w:val="en-US"/>
    </w:rPr>
  </w:style>
  <w:style w:type="paragraph" w:styleId="BodyText">
    <w:name w:val="Body Text"/>
    <w:basedOn w:val="Normal"/>
    <w:link w:val="BodyTextChar"/>
    <w:rsid w:val="00887F90"/>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887F90"/>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C94FAE"/>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87F90"/>
    <w:pPr>
      <w:keepNext/>
      <w:spacing w:after="0" w:line="240" w:lineRule="auto"/>
      <w:outlineLvl w:val="1"/>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8A8"/>
  </w:style>
  <w:style w:type="paragraph" w:styleId="Footer">
    <w:name w:val="footer"/>
    <w:basedOn w:val="Normal"/>
    <w:link w:val="FooterChar"/>
    <w:uiPriority w:val="99"/>
    <w:unhideWhenUsed/>
    <w:rsid w:val="005A4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8A8"/>
  </w:style>
  <w:style w:type="paragraph" w:styleId="BalloonText">
    <w:name w:val="Balloon Text"/>
    <w:basedOn w:val="Normal"/>
    <w:link w:val="BalloonTextChar"/>
    <w:uiPriority w:val="99"/>
    <w:semiHidden/>
    <w:unhideWhenUsed/>
    <w:rsid w:val="005A4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8A8"/>
    <w:rPr>
      <w:rFonts w:ascii="Tahoma" w:hAnsi="Tahoma" w:cs="Tahoma"/>
      <w:sz w:val="16"/>
      <w:szCs w:val="16"/>
    </w:rPr>
  </w:style>
  <w:style w:type="table" w:styleId="TableGrid">
    <w:name w:val="Table Grid"/>
    <w:basedOn w:val="TableNormal"/>
    <w:uiPriority w:val="59"/>
    <w:rsid w:val="005A4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243F0"/>
    <w:rPr>
      <w:color w:val="0000FF"/>
      <w:u w:val="single"/>
    </w:rPr>
  </w:style>
  <w:style w:type="character" w:customStyle="1" w:styleId="Heading2Char">
    <w:name w:val="Heading 2 Char"/>
    <w:basedOn w:val="DefaultParagraphFont"/>
    <w:link w:val="Heading2"/>
    <w:rsid w:val="00887F90"/>
    <w:rPr>
      <w:rFonts w:ascii="Times New Roman" w:eastAsia="Times New Roman" w:hAnsi="Times New Roman" w:cs="Times New Roman"/>
      <w:b/>
      <w:sz w:val="24"/>
      <w:szCs w:val="20"/>
      <w:lang w:val="en-US"/>
    </w:rPr>
  </w:style>
  <w:style w:type="paragraph" w:styleId="Title">
    <w:name w:val="Title"/>
    <w:basedOn w:val="Normal"/>
    <w:link w:val="TitleChar"/>
    <w:qFormat/>
    <w:rsid w:val="00887F90"/>
    <w:pPr>
      <w:spacing w:before="2520" w:after="0" w:line="240" w:lineRule="auto"/>
      <w:jc w:val="center"/>
    </w:pPr>
    <w:rPr>
      <w:rFonts w:ascii="Times New Roman" w:eastAsia="Times New Roman" w:hAnsi="Times New Roman" w:cs="Times New Roman"/>
      <w:b/>
      <w:caps/>
      <w:spacing w:val="60"/>
      <w:sz w:val="36"/>
      <w:szCs w:val="20"/>
      <w:lang w:val="en-US"/>
    </w:rPr>
  </w:style>
  <w:style w:type="character" w:customStyle="1" w:styleId="TitleChar">
    <w:name w:val="Title Char"/>
    <w:basedOn w:val="DefaultParagraphFont"/>
    <w:link w:val="Title"/>
    <w:rsid w:val="00887F90"/>
    <w:rPr>
      <w:rFonts w:ascii="Times New Roman" w:eastAsia="Times New Roman" w:hAnsi="Times New Roman" w:cs="Times New Roman"/>
      <w:b/>
      <w:caps/>
      <w:spacing w:val="60"/>
      <w:sz w:val="36"/>
      <w:szCs w:val="20"/>
      <w:lang w:val="en-US"/>
    </w:rPr>
  </w:style>
  <w:style w:type="paragraph" w:styleId="BodyText">
    <w:name w:val="Body Text"/>
    <w:basedOn w:val="Normal"/>
    <w:link w:val="BodyTextChar"/>
    <w:rsid w:val="00887F90"/>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887F90"/>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C94FAE"/>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hinma.com.ph/"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transasia-energy.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B. Timoteo</dc:creator>
  <cp:lastModifiedBy>mmcabahug</cp:lastModifiedBy>
  <cp:revision>2</cp:revision>
  <cp:lastPrinted>2015-03-17T07:09:00Z</cp:lastPrinted>
  <dcterms:created xsi:type="dcterms:W3CDTF">2015-03-25T08:52:00Z</dcterms:created>
  <dcterms:modified xsi:type="dcterms:W3CDTF">2015-03-25T08:52:00Z</dcterms:modified>
</cp:coreProperties>
</file>