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90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0"/>
        <w:jc w:val="center"/>
        <w:textAlignment w:val="auto"/>
        <w:rPr>
          <w:rFonts w:hint="default" w:ascii="Calibri" w:hAnsi="Calibri" w:eastAsia="微软雅黑" w:cs="Calibri"/>
          <w:sz w:val="28"/>
          <w:szCs w:val="28"/>
          <w:lang w:val="en-US" w:eastAsia="zh-CN"/>
        </w:rPr>
      </w:pPr>
      <w:r>
        <w:rPr>
          <w:rFonts w:hint="eastAsia" w:ascii="Times New Roman" w:hAnsi="Calibri" w:eastAsia="微软雅黑" w:cs="Calibri"/>
          <w:sz w:val="28"/>
          <w:szCs w:val="28"/>
          <w:lang w:val="en-US" w:eastAsia="zh-CN"/>
        </w:rPr>
        <w:t>王翠霞</w:t>
      </w:r>
    </w:p>
    <w:p w14:paraId="5A5F7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0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Calibri" w:eastAsia="微软雅黑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销售顾问/直播</w:t>
      </w:r>
      <w:bookmarkStart w:id="0" w:name="_GoBack"/>
      <w:bookmarkEnd w:id="0"/>
      <w:r>
        <w:rPr>
          <w:rFonts w:hint="eastAsia" w:ascii="Times New Roman" w:hAnsi="Calibri" w:eastAsia="微软雅黑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销售专员</w:t>
      </w:r>
    </w:p>
    <w:p w14:paraId="5FFAB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Calibri" w:eastAsia="微软雅黑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电子邮箱：123456@123456.com    电话：+123456789</w:t>
      </w:r>
    </w:p>
    <w:p w14:paraId="03535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13CB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专业摘要</w:t>
      </w:r>
    </w:p>
    <w:p w14:paraId="5E471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在高端汽车销售领域拥有卓越业绩，年销售业绩始终超额完成120%以上。精通电话及微信线索转化技巧，擅长与高净值客户及企业家建立深度关系。擅长大型活动策划与高压研讨会环境下的成交闭环。具备出色人际沟通能力，专注于顾问式销售与客户关系管理。对绩效激励机制充满热情，在快节奏竞争环境中游刃有余。</w:t>
      </w:r>
    </w:p>
    <w:p w14:paraId="1795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</w:p>
    <w:p w14:paraId="25B81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技能与能力</w:t>
      </w:r>
    </w:p>
    <w:p w14:paraId="2D8A7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技能：高端成交技巧、电话营销与潜在客户筛选、微信社交销售、公众演讲、客户关系管理。</w:t>
      </w:r>
    </w:p>
    <w:p w14:paraId="0CC23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专业领域：汽车行业、高端客户服务、活动营销、销售心理学。</w:t>
      </w:r>
    </w:p>
    <w:p w14:paraId="60EA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语言：英语（CET 6）、普通话（母语）</w:t>
      </w:r>
    </w:p>
    <w:p w14:paraId="16037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</w:p>
    <w:p w14:paraId="6961F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专业经验</w:t>
      </w:r>
    </w:p>
    <w:p w14:paraId="6AA8E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ABC汽车贸易有限公司</w:t>
      </w: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 xml:space="preserve"> | 2020年1月至今 | 中国广州</w:t>
      </w:r>
    </w:p>
    <w:p w14:paraId="2E302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销售主管</w:t>
      </w:r>
    </w:p>
    <w:p w14:paraId="3DC2C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角色概述：</w:t>
      </w: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管理一支15人的销售顾问团队，专注于豪华汽车销售（平均单价：50万至150万元人民币）。全面负责销售漏斗全流程，涵盖从数字化线索生成到最终签约，以及售后服务客户忠诚度计划的实施。</w:t>
      </w:r>
    </w:p>
    <w:p w14:paraId="3BB4E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高净值客户获取计划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  角色：</w:t>
      </w: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销售主管</w:t>
      </w:r>
    </w:p>
    <w:p w14:paraId="317582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挑战：在市场低迷期间提高在线营销活动中产生的冷线索转化率。</w:t>
      </w:r>
    </w:p>
    <w:p w14:paraId="0FED5C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举措：推行“价值优先”的微信客户培育策略，在向潜在客户推介前提供个性化市场洞察。主导为企业家举办一对一私密观摩活动。</w:t>
      </w:r>
    </w:p>
    <w:p w14:paraId="6EE6E6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结果:提高了45%的试驾转化率，在6个月内个人成交1200万元。</w:t>
      </w:r>
    </w:p>
    <w:p w14:paraId="47A6A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大型区域发射活动闭幕式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  角色：</w:t>
      </w: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销售主管</w:t>
      </w:r>
    </w:p>
    <w:p w14:paraId="30D117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挑战：要在周末举办的发布会（预计吸引300余人）中，为新款车型成功促成50笔以上的订单。</w:t>
      </w:r>
    </w:p>
    <w:p w14:paraId="025077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行动：设计了分层激励机制以促进现场预订，并在舞台上担任主导者，处理团体异议并营造紧迫感。</w:t>
      </w:r>
    </w:p>
    <w:p w14:paraId="15A92B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结果：成功收取68笔不可退还押金，创下该地区单日最高销售量纪录。</w:t>
      </w:r>
    </w:p>
    <w:p w14:paraId="34630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销售流程优化岗位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  角色：</w:t>
      </w: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销售</w:t>
      </w:r>
    </w:p>
    <w:p w14:paraId="4527A2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挑战：低效的随访流程导致“邀请参观展厅”阶段的流失率高达30%。</w:t>
      </w:r>
    </w:p>
    <w:p w14:paraId="4B2899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措施：制定标准化的“7步电话脚本”，并培训团队掌握心理锚定技术以提高出勤率。</w:t>
      </w:r>
    </w:p>
    <w:p w14:paraId="5511F7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结果:提高了25%的展厅到访率，将平均销售周期从21天缩短到14天。</w:t>
      </w:r>
    </w:p>
    <w:p w14:paraId="233CAA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eastAsia="微软雅黑" w:cs="Calibri" w:asciiTheme="minorAscii" w:hAnsiTheme="minorAscii"/>
          <w:sz w:val="21"/>
          <w:szCs w:val="21"/>
          <w:lang w:val="en-US" w:eastAsia="zh-CN"/>
        </w:rPr>
      </w:pPr>
    </w:p>
    <w:p w14:paraId="754D5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CDE 汽车集团</w:t>
      </w: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 xml:space="preserve"> | 2018年6月 – 2019年12月 | 中国广州</w:t>
      </w:r>
    </w:p>
    <w:p w14:paraId="19841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eastAsia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营业主任</w:t>
      </w:r>
    </w:p>
    <w:p w14:paraId="36D6B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eastAsia" w:eastAsia="微软雅黑" w:cs="Calibri" w:asciiTheme="minorAscii" w:hAnsiTheme="minorAscii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角色概述：</w:t>
      </w: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在高客流量经销商中负责个人销售目标及初级员工指导工作，重点开展B2B车队销售与企业家人脉拓展。</w:t>
      </w:r>
    </w:p>
    <w:p w14:paraId="595EF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企业家网络策略角色:销售</w:t>
      </w:r>
    </w:p>
    <w:p w14:paraId="3CD9E5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 w:val="0"/>
          <w:bCs w:val="0"/>
          <w:sz w:val="21"/>
          <w:szCs w:val="21"/>
          <w:lang w:val="en-US" w:eastAsia="zh-CN"/>
        </w:rPr>
        <w:t>挑战：传统展厅客流量不足以支撑激进的年终增长目标。</w:t>
      </w:r>
    </w:p>
    <w:p w14:paraId="609144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 w:val="0"/>
          <w:bCs w:val="0"/>
          <w:sz w:val="21"/>
          <w:szCs w:val="21"/>
          <w:lang w:val="en-US" w:eastAsia="zh-CN"/>
        </w:rPr>
        <w:t>行动：主动加入当地商会，专门为小企业主和CEO组织了“高管试驾”周末活动。</w:t>
      </w:r>
    </w:p>
    <w:p w14:paraId="099273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sz w:val="21"/>
          <w:szCs w:val="21"/>
        </w:rPr>
      </w:pPr>
      <w:r>
        <w:rPr>
          <w:rFonts w:hint="eastAsia" w:ascii="Times New Roman" w:eastAsia="微软雅黑" w:cs="Calibri" w:hAnsiTheme="minorAscii"/>
          <w:b w:val="0"/>
          <w:bCs w:val="0"/>
          <w:sz w:val="21"/>
          <w:szCs w:val="21"/>
          <w:lang w:val="en-US" w:eastAsia="zh-CN"/>
        </w:rPr>
        <w:t>结果：通过推荐网络和直接B2B外联渠道，产生了总分支机构收入的35%。</w:t>
      </w:r>
    </w:p>
    <w:p w14:paraId="6D4A2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异议处理卓越角色：销售</w:t>
      </w:r>
    </w:p>
    <w:p w14:paraId="297FB7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 w:val="0"/>
          <w:bCs w:val="0"/>
          <w:sz w:val="21"/>
          <w:szCs w:val="21"/>
          <w:lang w:val="en-US" w:eastAsia="zh-CN"/>
        </w:rPr>
        <w:t>挑战：在年终清仓期间面临来自竞争对手品牌的激烈价格竞争。</w:t>
      </w:r>
    </w:p>
    <w:p w14:paraId="65D1B9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 w:val="0"/>
          <w:bCs w:val="0"/>
          <w:sz w:val="21"/>
          <w:szCs w:val="21"/>
          <w:lang w:val="en-US" w:eastAsia="zh-CN"/>
        </w:rPr>
        <w:t>举措：将销售策略从‘价格’转向‘全生命周期成本与服务价值’，依托公司高端支持生态系统实现转型。</w:t>
      </w:r>
    </w:p>
    <w:p w14:paraId="1948E6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 w:val="0"/>
          <w:bCs w:val="0"/>
          <w:sz w:val="21"/>
          <w:szCs w:val="21"/>
          <w:lang w:val="en-US" w:eastAsia="zh-CN"/>
        </w:rPr>
        <w:t>业绩表现：利润率较行业平均水平高出5%，同时仍实现销售目标。</w:t>
      </w:r>
    </w:p>
    <w:p w14:paraId="00DE2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1"/>
          <w:szCs w:val="21"/>
        </w:rPr>
      </w:pPr>
    </w:p>
    <w:p w14:paraId="625E8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教育</w:t>
      </w:r>
    </w:p>
    <w:p w14:paraId="4D44A6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中山大学| 生态科学硕士 | 2015 - 2018</w:t>
      </w:r>
    </w:p>
    <w:p w14:paraId="6E21E3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sz w:val="21"/>
          <w:szCs w:val="21"/>
          <w:lang w:val="en-US" w:eastAsia="zh-CN"/>
        </w:rPr>
        <w:t>华南理工大学 | 生态材料工程学士 | 2011 - 2015</w:t>
      </w:r>
    </w:p>
    <w:p w14:paraId="2F95F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</w:p>
    <w:p w14:paraId="10F76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ascii="Times New Roman" w:eastAsia="微软雅黑" w:cs="Calibri" w:hAnsiTheme="minorAscii"/>
          <w:b/>
          <w:bCs/>
          <w:sz w:val="21"/>
          <w:szCs w:val="21"/>
          <w:lang w:val="en-US" w:eastAsia="zh-CN"/>
        </w:rPr>
        <w:t>荣誉</w:t>
      </w:r>
    </w:p>
    <w:p w14:paraId="38F22E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年度最佳销售</w:t>
      </w:r>
      <w:r>
        <w:rPr>
          <w:rFonts w:hint="eastAsia" w:ascii="Times New Roman" w:eastAsia="微软雅黑" w:cs="Calibri" w:hAnsiTheme="minorAscii"/>
          <w:b w:val="0"/>
          <w:bCs w:val="0"/>
          <w:sz w:val="21"/>
          <w:szCs w:val="21"/>
          <w:lang w:val="en-US" w:eastAsia="zh-CN"/>
        </w:rPr>
        <w:t>（2023年ABC公司）</w:t>
      </w:r>
    </w:p>
    <w:p w14:paraId="2F2A2C79"/>
    <w:sectPr>
      <w:pgSz w:w="11906" w:h="16838"/>
      <w:pgMar w:top="680" w:right="1020" w:bottom="680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51648"/>
    <w:multiLevelType w:val="singleLevel"/>
    <w:tmpl w:val="14F516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dit="readOnly"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F8E0754"/>
    <w:rsid w:val="34614CD5"/>
    <w:rsid w:val="4A39438B"/>
    <w:rsid w:val="4FC752B4"/>
    <w:rsid w:val="512366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1097</Words>
  <Characters>1186</Characters>
  <TotalTime>0</TotalTime>
  <ScaleCrop>false</ScaleCrop>
  <LinksUpToDate>false</LinksUpToDate>
  <CharactersWithSpaces>1222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2026-02-23T07:46:00Z</dcterms:created>
  <dc:creator>Un-named</dc:creator>
  <cp:lastModifiedBy>大芒果</cp:lastModifiedBy>
  <dcterms:modified xsi:type="dcterms:W3CDTF">2026-02-26T13:24:26Z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eyJoZGlkIjoiYzdmNjZiOGMxYjNlMWFjNDgwNDE4NjEyOTZhMWQ2ZGEiLCJ1c2VySWQiOiI0NDk3MDQzNjEifQ==</vt:lpwstr>
  </property>
  <property fmtid="{D5CDD505-2E9C-101B-9397-08002B2CF9AE}" pid="3" name="KSOProductBuildVer">
    <vt:lpwstr>2052-12.1.0.25222</vt:lpwstr>
  </property>
  <property fmtid="{D5CDD505-2E9C-101B-9397-08002B2CF9AE}" pid="4" name="ICV">
    <vt:lpwstr>453C8FE577304561A06D377FE8243388_12</vt:lpwstr>
  </property>
</Properties>
</file>