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25F1">
      <w:pPr>
        <w:rPr>
          <w:rFonts w:ascii="仿宋" w:hAnsi="仿宋" w:eastAsia="仿宋"/>
          <w:kern w:val="20"/>
          <w:sz w:val="32"/>
          <w:szCs w:val="32"/>
        </w:rPr>
      </w:pPr>
      <w:r>
        <w:rPr>
          <w:rFonts w:hint="eastAsia" w:ascii="仿宋" w:hAnsi="仿宋" w:eastAsia="仿宋"/>
          <w:kern w:val="20"/>
          <w:sz w:val="32"/>
          <w:szCs w:val="32"/>
        </w:rPr>
        <w:t>1、补充管线占用河道及河道管理范围面积情况（长度按堤脚线外10米算起，宽度岸电力管线保护范围宽度）。</w:t>
      </w:r>
    </w:p>
    <w:p w14:paraId="2A1BF32B">
      <w:pPr>
        <w:rPr>
          <w:rFonts w:ascii="仿宋" w:hAnsi="仿宋" w:eastAsia="仿宋"/>
          <w:kern w:val="20"/>
          <w:sz w:val="32"/>
          <w:szCs w:val="32"/>
        </w:rPr>
      </w:pPr>
      <w:r>
        <w:rPr>
          <w:rFonts w:hint="eastAsia" w:ascii="仿宋" w:hAnsi="仿宋" w:eastAsia="仿宋"/>
          <w:kern w:val="20"/>
          <w:sz w:val="32"/>
          <w:szCs w:val="32"/>
        </w:rPr>
        <w:t>2、补充锡澄运河两侧圩区西漳大联圩及石塘湾大联圩的水情调度方案。</w:t>
      </w:r>
    </w:p>
    <w:p w14:paraId="0F1B170D">
      <w:pPr>
        <w:rPr>
          <w:rFonts w:ascii="仿宋" w:hAnsi="仿宋" w:eastAsia="仿宋"/>
          <w:kern w:val="20"/>
          <w:sz w:val="32"/>
          <w:szCs w:val="32"/>
        </w:rPr>
      </w:pPr>
      <w:r>
        <w:rPr>
          <w:rFonts w:hint="eastAsia" w:ascii="仿宋" w:hAnsi="仿宋" w:eastAsia="仿宋"/>
          <w:kern w:val="20"/>
          <w:sz w:val="32"/>
          <w:szCs w:val="32"/>
        </w:rPr>
        <w:t>3、复核电力管线穿锡澄运河处的防洪标准、防洪水位及东、西岸的堤防等级。</w:t>
      </w:r>
    </w:p>
    <w:p w14:paraId="0F415339">
      <w:pPr>
        <w:numPr>
          <w:numId w:val="0"/>
        </w:numPr>
        <w:rPr>
          <w:rFonts w:hint="eastAsia" w:ascii="仿宋" w:hAnsi="仿宋" w:eastAsia="仿宋"/>
          <w:kern w:val="20"/>
          <w:sz w:val="32"/>
          <w:szCs w:val="32"/>
        </w:rPr>
      </w:pPr>
      <w:r>
        <w:rPr>
          <w:rFonts w:hint="eastAsia" w:ascii="仿宋" w:hAnsi="仿宋" w:eastAsia="仿宋"/>
          <w:kern w:val="20"/>
          <w:sz w:val="32"/>
          <w:szCs w:val="32"/>
        </w:rPr>
        <w:t>4、补充锡澄运河新建堤防对点力管线的影响评价（从电力管线保护条例和定向钻施工误差的角度来分析）。</w:t>
      </w:r>
    </w:p>
    <w:p w14:paraId="6D186583">
      <w:pPr>
        <w:numPr>
          <w:numId w:val="0"/>
        </w:numPr>
        <w:rPr>
          <w:rFonts w:hint="default" w:ascii="仿宋" w:hAnsi="仿宋" w:eastAsia="仿宋"/>
          <w:kern w:val="2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kern w:val="20"/>
          <w:sz w:val="32"/>
          <w:szCs w:val="32"/>
          <w:lang w:val="en-US" w:eastAsia="zh-CN"/>
        </w:rPr>
        <w:t>5</w:t>
      </w:r>
      <w:r>
        <w:rPr>
          <w:rFonts w:hint="default" w:ascii="仿宋" w:hAnsi="仿宋" w:eastAsia="仿宋"/>
          <w:kern w:val="20"/>
          <w:sz w:val="32"/>
          <w:szCs w:val="32"/>
          <w:lang w:val="en-US" w:eastAsia="zh-CN"/>
        </w:rPr>
        <w:t>、复核占用河湖空间情况；</w:t>
      </w:r>
    </w:p>
    <w:p w14:paraId="047FDF93">
      <w:pPr>
        <w:numPr>
          <w:numId w:val="0"/>
        </w:numPr>
        <w:rPr>
          <w:rFonts w:hint="default" w:ascii="仿宋" w:hAnsi="仿宋" w:eastAsia="仿宋"/>
          <w:kern w:val="2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kern w:val="20"/>
          <w:sz w:val="32"/>
          <w:szCs w:val="32"/>
          <w:lang w:val="en-US" w:eastAsia="zh-CN"/>
        </w:rPr>
        <w:t>6</w:t>
      </w:r>
      <w:r>
        <w:rPr>
          <w:rFonts w:hint="default" w:ascii="仿宋" w:hAnsi="仿宋" w:eastAsia="仿宋"/>
          <w:kern w:val="20"/>
          <w:sz w:val="32"/>
          <w:szCs w:val="32"/>
          <w:lang w:val="en-US" w:eastAsia="zh-CN"/>
        </w:rPr>
        <w:t>、完善编制依据；</w:t>
      </w:r>
    </w:p>
    <w:p w14:paraId="06C07E85">
      <w:pPr>
        <w:numPr>
          <w:numId w:val="0"/>
        </w:numPr>
        <w:rPr>
          <w:rFonts w:hint="default" w:ascii="仿宋" w:hAnsi="仿宋" w:eastAsia="仿宋"/>
          <w:kern w:val="2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kern w:val="20"/>
          <w:sz w:val="32"/>
          <w:szCs w:val="32"/>
          <w:lang w:val="en-US" w:eastAsia="zh-CN"/>
        </w:rPr>
        <w:t>7</w:t>
      </w:r>
      <w:r>
        <w:rPr>
          <w:rFonts w:hint="default" w:ascii="仿宋" w:hAnsi="仿宋" w:eastAsia="仿宋"/>
          <w:kern w:val="20"/>
          <w:sz w:val="32"/>
          <w:szCs w:val="32"/>
          <w:lang w:val="en-US" w:eastAsia="zh-CN"/>
        </w:rPr>
        <w:t>、复核高程系统转换系数；</w:t>
      </w:r>
    </w:p>
    <w:p w14:paraId="02D46282">
      <w:pPr>
        <w:numPr>
          <w:numId w:val="0"/>
        </w:numPr>
        <w:rPr>
          <w:rFonts w:hint="default" w:ascii="仿宋" w:hAnsi="仿宋" w:eastAsia="仿宋"/>
          <w:kern w:val="2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kern w:val="20"/>
          <w:sz w:val="32"/>
          <w:szCs w:val="32"/>
          <w:lang w:val="en-US" w:eastAsia="zh-CN"/>
        </w:rPr>
        <w:t>8</w:t>
      </w:r>
      <w:r>
        <w:rPr>
          <w:rFonts w:hint="default" w:ascii="仿宋" w:hAnsi="仿宋" w:eastAsia="仿宋"/>
          <w:kern w:val="20"/>
          <w:sz w:val="32"/>
          <w:szCs w:val="32"/>
          <w:lang w:val="en-US" w:eastAsia="zh-CN"/>
        </w:rPr>
        <w:t>、项目为已完工项目，明确电力保护范围线内后期是否涉及水利建设内容。</w:t>
      </w:r>
    </w:p>
    <w:p w14:paraId="6E3DFE2A">
      <w:pPr>
        <w:numPr>
          <w:numId w:val="0"/>
        </w:numPr>
        <w:rPr>
          <w:rFonts w:hint="default" w:ascii="仿宋" w:hAnsi="仿宋" w:eastAsia="仿宋"/>
          <w:kern w:val="2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kern w:val="20"/>
          <w:sz w:val="32"/>
          <w:szCs w:val="32"/>
          <w:lang w:val="en-US" w:eastAsia="zh-CN"/>
        </w:rPr>
        <w:t>9</w:t>
      </w:r>
      <w:r>
        <w:rPr>
          <w:rFonts w:hint="default" w:ascii="仿宋" w:hAnsi="仿宋" w:eastAsia="仿宋"/>
          <w:kern w:val="20"/>
          <w:sz w:val="32"/>
          <w:szCs w:val="32"/>
          <w:lang w:val="en-US" w:eastAsia="zh-CN"/>
        </w:rPr>
        <w:t>、完善工作井坐标标注。</w:t>
      </w:r>
    </w:p>
    <w:p w14:paraId="37612299">
      <w:pPr>
        <w:numPr>
          <w:numId w:val="0"/>
        </w:numPr>
        <w:rPr>
          <w:rFonts w:hint="default" w:ascii="仿宋" w:hAnsi="仿宋" w:eastAsia="仿宋"/>
          <w:kern w:val="2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kern w:val="20"/>
          <w:sz w:val="32"/>
          <w:szCs w:val="32"/>
          <w:lang w:val="en-US" w:eastAsia="zh-CN"/>
        </w:rPr>
        <w:t>10</w:t>
      </w:r>
      <w:bookmarkStart w:id="0" w:name="_GoBack"/>
      <w:bookmarkEnd w:id="0"/>
      <w:r>
        <w:rPr>
          <w:rFonts w:hint="default" w:ascii="仿宋" w:hAnsi="仿宋" w:eastAsia="仿宋"/>
          <w:kern w:val="20"/>
          <w:sz w:val="32"/>
          <w:szCs w:val="32"/>
          <w:lang w:val="en-US" w:eastAsia="zh-CN"/>
        </w:rPr>
        <w:t>、最后一张附图中从工作井中心线起标的尺寸，建议增加从最靠近河道结构处起标到堤防内坡脚（东岸可以采用堤防虚拟断面内坡脚）尺寸。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91863"/>
    <w:multiLevelType w:val="multilevel"/>
    <w:tmpl w:val="9B19186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05734"/>
    <w:rsid w:val="489F2C03"/>
    <w:rsid w:val="7B56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semiHidden/>
    <w:unhideWhenUsed/>
    <w:qFormat/>
    <w:uiPriority w:val="0"/>
    <w:pPr>
      <w:keepNext/>
      <w:keepLines/>
      <w:numPr>
        <w:ilvl w:val="1"/>
        <w:numId w:val="1"/>
      </w:numPr>
      <w:spacing w:before="40"/>
      <w:ind w:left="0" w:firstLine="0" w:firstLineChars="0"/>
      <w:outlineLvl w:val="1"/>
    </w:pPr>
    <w:rPr>
      <w:rFonts w:ascii="Times New Roman" w:hAnsi="Times New Roman" w:eastAsia="宋体" w:cstheme="majorBidi"/>
      <w:b/>
      <w:sz w:val="26"/>
      <w:szCs w:val="26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numPr>
        <w:ilvl w:val="2"/>
        <w:numId w:val="1"/>
      </w:numPr>
      <w:adjustRightInd w:val="0"/>
      <w:spacing w:before="40"/>
      <w:ind w:left="720" w:hanging="720" w:firstLineChars="0"/>
      <w:outlineLvl w:val="2"/>
    </w:pPr>
    <w:rPr>
      <w:rFonts w:ascii="Times New Roman" w:hAnsi="Times New Roman" w:eastAsiaTheme="majorEastAsia" w:cstheme="majorBidi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Heading 3 Char"/>
    <w:basedOn w:val="13"/>
    <w:link w:val="4"/>
    <w:qFormat/>
    <w:uiPriority w:val="0"/>
    <w:rPr>
      <w:rFonts w:ascii="Times New Roman" w:hAnsi="Times New Roman" w:eastAsiaTheme="majorEastAsia" w:cstheme="majorBidi"/>
      <w:b/>
      <w:kern w:val="2"/>
      <w:sz w:val="24"/>
      <w:szCs w:val="24"/>
      <w:lang w:val="en-US"/>
    </w:rPr>
  </w:style>
  <w:style w:type="character" w:customStyle="1" w:styleId="15">
    <w:name w:val="Heading 2 Char"/>
    <w:basedOn w:val="13"/>
    <w:link w:val="3"/>
    <w:qFormat/>
    <w:uiPriority w:val="0"/>
    <w:rPr>
      <w:rFonts w:ascii="Times New Roman" w:hAnsi="Times New Roman" w:eastAsia="宋体" w:cstheme="majorBidi"/>
      <w:b/>
      <w:kern w:val="2"/>
      <w:sz w:val="26"/>
      <w:szCs w:val="2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2025-08-22T00:45:00Z</dcterms:created>
  <dc:creator>Administrator</dc:creator>
  <cp:lastModifiedBy>大芒果</cp:lastModifiedBy>
  <dcterms:modified xsi:type="dcterms:W3CDTF">2025-12-03T06:55:48Z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AF86116F1C40479FBA618997F82BAA74_12</vt:lpwstr>
  </property>
  <property fmtid="{D5CDD505-2E9C-101B-9397-08002B2CF9AE}" pid="4" name="KSOTemplateDocerSaveRecord">
    <vt:lpwstr>eyJoZGlkIjoiYzdmNjZiOGMxYjNlMWFjNDgwNDE4NjEyOTZhMWQ2ZGEiLCJ1c2VySWQiOiI0NDk3MDQzNjEifQ==</vt:lpwstr>
  </property>
</Properties>
</file>