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2A8C0">
      <w:pPr>
        <w:pStyle w:val="11"/>
        <w:spacing w:before="236" w:line="178" w:lineRule="auto"/>
        <w:rPr>
          <w:rFonts w:ascii="微软雅黑" w:hAnsi="微软雅黑" w:eastAsia="微软雅黑" w:cs="微软雅黑"/>
          <w:sz w:val="19"/>
          <w:szCs w:val="19"/>
        </w:rPr>
      </w:pPr>
      <w:r>
        <w:rPr>
          <w:spacing w:val="3"/>
          <w:position w:val="-1"/>
          <w:sz w:val="19"/>
          <w:szCs w:val="19"/>
        </w:rPr>
        <w:t>7</w:t>
      </w:r>
      <w:r>
        <w:rPr>
          <w:spacing w:val="-6"/>
          <w:position w:val="-1"/>
          <w:sz w:val="19"/>
          <w:szCs w:val="19"/>
        </w:rPr>
        <w:t xml:space="preserve"> </w:t>
      </w:r>
      <w:r>
        <w:rPr>
          <w:spacing w:val="3"/>
          <w:position w:val="-1"/>
          <w:sz w:val="19"/>
          <w:szCs w:val="19"/>
        </w:rPr>
        <w:t xml:space="preserve">. 1 . 1    </w:t>
      </w:r>
      <w:r>
        <w:rPr>
          <w:rFonts w:ascii="微软雅黑" w:hAnsi="微软雅黑" w:eastAsia="微软雅黑" w:cs="微软雅黑"/>
          <w:spacing w:val="3"/>
          <w:sz w:val="19"/>
          <w:szCs w:val="19"/>
        </w:rPr>
        <w:t>穿河(堤)建设项目是指在河底或堤基穿越的建设项 目 ,包括管道</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、涵洞</w:t>
      </w:r>
      <w:r>
        <w:rPr>
          <w:rFonts w:ascii="微软雅黑" w:hAnsi="微软雅黑" w:eastAsia="微软雅黑" w:cs="微软雅黑"/>
          <w:spacing w:val="-27"/>
          <w:sz w:val="19"/>
          <w:szCs w:val="19"/>
        </w:rPr>
        <w:t xml:space="preserve"> </w:t>
      </w:r>
      <w:r>
        <w:rPr>
          <w:rFonts w:ascii="微软雅黑" w:hAnsi="微软雅黑" w:eastAsia="微软雅黑" w:cs="微软雅黑"/>
          <w:spacing w:val="3"/>
          <w:sz w:val="19"/>
          <w:szCs w:val="19"/>
        </w:rPr>
        <w:t>、隧洞</w:t>
      </w:r>
      <w:r>
        <w:rPr>
          <w:rFonts w:ascii="微软雅黑" w:hAnsi="微软雅黑" w:eastAsia="微软雅黑" w:cs="微软雅黑"/>
          <w:spacing w:val="-28"/>
          <w:sz w:val="19"/>
          <w:szCs w:val="19"/>
        </w:rPr>
        <w:t xml:space="preserve"> </w:t>
      </w:r>
      <w:r>
        <w:rPr>
          <w:rFonts w:ascii="微软雅黑" w:hAnsi="微软雅黑" w:eastAsia="微软雅黑" w:cs="微软雅黑"/>
          <w:spacing w:val="3"/>
          <w:sz w:val="19"/>
          <w:szCs w:val="19"/>
        </w:rPr>
        <w:t>、穿河缆线等</w:t>
      </w:r>
      <w:r>
        <w:rPr>
          <w:rFonts w:ascii="微软雅黑" w:hAnsi="微软雅黑" w:eastAsia="微软雅黑" w:cs="微软雅黑"/>
          <w:spacing w:val="-26"/>
          <w:sz w:val="19"/>
          <w:szCs w:val="19"/>
        </w:rPr>
        <w:t xml:space="preserve"> </w:t>
      </w:r>
      <w:r>
        <w:rPr>
          <w:rFonts w:ascii="微软雅黑" w:hAnsi="微软雅黑" w:eastAsia="微软雅黑" w:cs="微软雅黑"/>
          <w:spacing w:val="3"/>
          <w:sz w:val="19"/>
          <w:szCs w:val="19"/>
        </w:rPr>
        <w:t>。</w:t>
      </w:r>
    </w:p>
    <w:p w14:paraId="0C90325F">
      <w:pPr>
        <w:pStyle w:val="11"/>
        <w:spacing w:before="309" w:line="211" w:lineRule="auto"/>
        <w:ind w:left="2" w:hanging="2"/>
        <w:rPr>
          <w:rFonts w:ascii="微软雅黑" w:hAnsi="微软雅黑" w:eastAsia="微软雅黑" w:cs="微软雅黑"/>
          <w:sz w:val="19"/>
          <w:szCs w:val="19"/>
        </w:rPr>
      </w:pPr>
      <w:bookmarkStart w:id="0" w:name="bookmark15"/>
      <w:bookmarkEnd w:id="0"/>
      <w:r>
        <w:rPr>
          <w:spacing w:val="13"/>
          <w:position w:val="-1"/>
          <w:sz w:val="19"/>
          <w:szCs w:val="19"/>
        </w:rPr>
        <w:t>7</w:t>
      </w:r>
      <w:r>
        <w:rPr>
          <w:spacing w:val="-23"/>
          <w:position w:val="-1"/>
          <w:sz w:val="19"/>
          <w:szCs w:val="19"/>
        </w:rPr>
        <w:t xml:space="preserve"> </w:t>
      </w:r>
      <w:r>
        <w:rPr>
          <w:spacing w:val="13"/>
          <w:position w:val="-1"/>
          <w:sz w:val="19"/>
          <w:szCs w:val="19"/>
        </w:rPr>
        <w:t>. 1 .</w:t>
      </w:r>
      <w:r>
        <w:rPr>
          <w:spacing w:val="-22"/>
          <w:position w:val="-1"/>
          <w:sz w:val="19"/>
          <w:szCs w:val="19"/>
        </w:rPr>
        <w:t xml:space="preserve"> </w:t>
      </w:r>
      <w:r>
        <w:rPr>
          <w:spacing w:val="13"/>
          <w:position w:val="-1"/>
          <w:sz w:val="19"/>
          <w:szCs w:val="19"/>
        </w:rPr>
        <w:t xml:space="preserve">2    </w:t>
      </w:r>
      <w:r>
        <w:rPr>
          <w:rFonts w:ascii="微软雅黑" w:hAnsi="微软雅黑" w:eastAsia="微软雅黑" w:cs="微软雅黑"/>
          <w:spacing w:val="13"/>
          <w:sz w:val="19"/>
          <w:szCs w:val="19"/>
        </w:rPr>
        <w:t>与堤防交叉的各类建筑物应优</w:t>
      </w:r>
      <w:r>
        <w:rPr>
          <w:rFonts w:ascii="微软雅黑" w:hAnsi="微软雅黑" w:eastAsia="微软雅黑" w:cs="微软雅黑"/>
          <w:spacing w:val="12"/>
          <w:sz w:val="19"/>
          <w:szCs w:val="19"/>
        </w:rPr>
        <w:t>先选用跨越的型式。</w:t>
      </w:r>
      <w:r>
        <w:rPr>
          <w:rFonts w:ascii="微软雅黑" w:hAnsi="微软雅黑" w:eastAsia="微软雅黑" w:cs="微软雅黑"/>
          <w:spacing w:val="-12"/>
          <w:sz w:val="19"/>
          <w:szCs w:val="19"/>
        </w:rPr>
        <w:t xml:space="preserve"> </w:t>
      </w:r>
      <w:r>
        <w:rPr>
          <w:rFonts w:ascii="微软雅黑" w:hAnsi="微软雅黑" w:eastAsia="微软雅黑" w:cs="微软雅黑"/>
          <w:spacing w:val="12"/>
          <w:sz w:val="19"/>
          <w:szCs w:val="19"/>
        </w:rPr>
        <w:t>确需穿河(堤)的建设项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12"/>
          <w:sz w:val="19"/>
          <w:szCs w:val="19"/>
        </w:rPr>
        <w:t>,宜采用正交方式</w:t>
      </w:r>
      <w:r>
        <w:rPr>
          <w:rFonts w:ascii="微软雅黑" w:hAnsi="微软雅黑" w:eastAsia="微软雅黑" w:cs="微软雅黑"/>
          <w:spacing w:val="16"/>
          <w:sz w:val="19"/>
          <w:szCs w:val="19"/>
        </w:rPr>
        <w:t>下穿河道;如确需斜交的,交角不宜小于</w:t>
      </w:r>
      <w:r>
        <w:rPr>
          <w:rFonts w:ascii="微软雅黑" w:hAnsi="微软雅黑" w:eastAsia="微软雅黑" w:cs="微软雅黑"/>
          <w:spacing w:val="32"/>
          <w:sz w:val="19"/>
          <w:szCs w:val="19"/>
        </w:rPr>
        <w:t xml:space="preserve"> </w:t>
      </w:r>
      <w:r>
        <w:rPr>
          <w:spacing w:val="16"/>
          <w:position w:val="-1"/>
          <w:sz w:val="19"/>
          <w:szCs w:val="19"/>
        </w:rPr>
        <w:t>60</w:t>
      </w:r>
      <w:r>
        <w:rPr>
          <w:spacing w:val="-26"/>
          <w:position w:val="-1"/>
          <w:sz w:val="19"/>
          <w:szCs w:val="19"/>
        </w:rPr>
        <w:t xml:space="preserve"> </w:t>
      </w:r>
      <w:r>
        <w:rPr>
          <w:spacing w:val="16"/>
          <w:position w:val="-1"/>
          <w:sz w:val="19"/>
          <w:szCs w:val="19"/>
        </w:rPr>
        <w:t xml:space="preserve">o </w:t>
      </w:r>
      <w:r>
        <w:rPr>
          <w:rFonts w:ascii="微软雅黑" w:hAnsi="微软雅黑" w:eastAsia="微软雅黑" w:cs="微软雅黑"/>
          <w:spacing w:val="16"/>
          <w:sz w:val="19"/>
          <w:szCs w:val="19"/>
        </w:rPr>
        <w:t>,并应在河道管理范围内设置永久性警示标识。</w:t>
      </w:r>
    </w:p>
    <w:p w14:paraId="05544BEA">
      <w:pPr>
        <w:pStyle w:val="11"/>
        <w:spacing w:before="80" w:line="208" w:lineRule="auto"/>
        <w:ind w:left="5" w:hanging="5"/>
        <w:rPr>
          <w:rFonts w:ascii="微软雅黑" w:hAnsi="微软雅黑" w:eastAsia="微软雅黑" w:cs="微软雅黑"/>
          <w:spacing w:val="9"/>
          <w:position w:val="1"/>
          <w:sz w:val="19"/>
          <w:szCs w:val="19"/>
        </w:rPr>
      </w:pPr>
      <w:r>
        <w:rPr>
          <w:spacing w:val="16"/>
          <w:position w:val="-1"/>
          <w:sz w:val="19"/>
          <w:szCs w:val="19"/>
        </w:rPr>
        <w:t>7</w:t>
      </w:r>
      <w:r>
        <w:rPr>
          <w:spacing w:val="-23"/>
          <w:position w:val="-1"/>
          <w:sz w:val="19"/>
          <w:szCs w:val="19"/>
        </w:rPr>
        <w:t xml:space="preserve"> </w:t>
      </w:r>
      <w:r>
        <w:rPr>
          <w:spacing w:val="16"/>
          <w:position w:val="-1"/>
          <w:sz w:val="19"/>
          <w:szCs w:val="19"/>
        </w:rPr>
        <w:t>. 1 .</w:t>
      </w:r>
      <w:r>
        <w:rPr>
          <w:spacing w:val="-21"/>
          <w:position w:val="-1"/>
          <w:sz w:val="19"/>
          <w:szCs w:val="19"/>
        </w:rPr>
        <w:t xml:space="preserve"> </w:t>
      </w:r>
      <w:r>
        <w:rPr>
          <w:spacing w:val="16"/>
          <w:position w:val="-1"/>
          <w:sz w:val="19"/>
          <w:szCs w:val="19"/>
        </w:rPr>
        <w:t xml:space="preserve">3    </w:t>
      </w:r>
      <w:r>
        <w:rPr>
          <w:rFonts w:ascii="微软雅黑" w:hAnsi="微软雅黑" w:eastAsia="微软雅黑" w:cs="微软雅黑"/>
          <w:spacing w:val="16"/>
          <w:sz w:val="19"/>
          <w:szCs w:val="19"/>
        </w:rPr>
        <w:t>位于堤防管理范围内的穿河(堤)建设项 目</w:t>
      </w:r>
      <w:r>
        <w:rPr>
          <w:rFonts w:ascii="微软雅黑" w:hAnsi="微软雅黑" w:eastAsia="微软雅黑" w:cs="微软雅黑"/>
          <w:spacing w:val="-8"/>
          <w:sz w:val="19"/>
          <w:szCs w:val="19"/>
        </w:rPr>
        <w:t xml:space="preserve"> </w:t>
      </w:r>
      <w:r>
        <w:rPr>
          <w:rFonts w:ascii="微软雅黑" w:hAnsi="微软雅黑" w:eastAsia="微软雅黑" w:cs="微软雅黑"/>
          <w:spacing w:val="16"/>
          <w:sz w:val="19"/>
          <w:szCs w:val="19"/>
        </w:rPr>
        <w:t>,应结合施工方法,重点分析堤防的渗流</w:t>
      </w:r>
      <w:r>
        <w:rPr>
          <w:rFonts w:ascii="微软雅黑" w:hAnsi="微软雅黑" w:eastAsia="微软雅黑" w:cs="微软雅黑"/>
          <w:spacing w:val="15"/>
          <w:sz w:val="19"/>
          <w:szCs w:val="19"/>
        </w:rPr>
        <w:t>稳定性和抗</w:t>
      </w:r>
      <w:r>
        <w:rPr>
          <w:rFonts w:ascii="微软雅黑" w:hAnsi="微软雅黑" w:eastAsia="微软雅黑" w:cs="微软雅黑"/>
          <w:spacing w:val="9"/>
          <w:sz w:val="19"/>
          <w:szCs w:val="19"/>
        </w:rPr>
        <w:t>滑稳定性</w:t>
      </w:r>
      <w:r>
        <w:rPr>
          <w:rFonts w:ascii="微软雅黑" w:hAnsi="微软雅黑" w:eastAsia="微软雅黑" w:cs="微软雅黑"/>
          <w:spacing w:val="9"/>
          <w:position w:val="1"/>
          <w:sz w:val="19"/>
          <w:szCs w:val="19"/>
        </w:rPr>
        <w:t>。</w:t>
      </w:r>
      <w:r>
        <w:rPr>
          <w:rFonts w:ascii="微软雅黑" w:hAnsi="微软雅黑" w:eastAsia="微软雅黑" w:cs="微软雅黑"/>
          <w:position w:val="1"/>
          <w:sz w:val="19"/>
          <w:szCs w:val="19"/>
        </w:rPr>
        <w:t xml:space="preserve"> </w:t>
      </w:r>
      <w:r>
        <w:rPr>
          <w:rFonts w:ascii="微软雅黑" w:hAnsi="微软雅黑" w:eastAsia="微软雅黑" w:cs="微软雅黑"/>
          <w:spacing w:val="9"/>
          <w:sz w:val="19"/>
          <w:szCs w:val="19"/>
        </w:rPr>
        <w:t xml:space="preserve">堤防稳定计算应符合 </w:t>
      </w:r>
      <w:r>
        <w:rPr>
          <w:position w:val="-1"/>
          <w:sz w:val="19"/>
          <w:szCs w:val="19"/>
        </w:rPr>
        <w:t>GB</w:t>
      </w:r>
      <w:r>
        <w:rPr>
          <w:spacing w:val="9"/>
          <w:position w:val="-1"/>
          <w:sz w:val="19"/>
          <w:szCs w:val="19"/>
        </w:rPr>
        <w:t xml:space="preserve"> 50286</w:t>
      </w:r>
      <w:r>
        <w:rPr>
          <w:spacing w:val="44"/>
          <w:w w:val="101"/>
          <w:position w:val="-1"/>
          <w:sz w:val="19"/>
          <w:szCs w:val="19"/>
        </w:rPr>
        <w:t xml:space="preserve"> </w:t>
      </w:r>
      <w:r>
        <w:rPr>
          <w:rFonts w:ascii="微软雅黑" w:hAnsi="微软雅黑" w:eastAsia="微软雅黑" w:cs="微软雅黑"/>
          <w:spacing w:val="9"/>
          <w:sz w:val="19"/>
          <w:szCs w:val="19"/>
        </w:rPr>
        <w:t>的要求</w:t>
      </w:r>
      <w:r>
        <w:rPr>
          <w:rFonts w:ascii="微软雅黑" w:hAnsi="微软雅黑" w:eastAsia="微软雅黑" w:cs="微软雅黑"/>
          <w:spacing w:val="9"/>
          <w:position w:val="1"/>
          <w:sz w:val="19"/>
          <w:szCs w:val="19"/>
        </w:rPr>
        <w:t>。</w:t>
      </w:r>
    </w:p>
    <w:p w14:paraId="1F10BCBC">
      <w:pPr>
        <w:pStyle w:val="11"/>
        <w:spacing w:before="237" w:line="208" w:lineRule="auto"/>
        <w:rPr>
          <w:rFonts w:ascii="微软雅黑" w:hAnsi="微软雅黑" w:eastAsia="微软雅黑" w:cs="微软雅黑"/>
          <w:sz w:val="19"/>
          <w:szCs w:val="19"/>
        </w:rPr>
      </w:pPr>
      <w:r>
        <w:rPr>
          <w:spacing w:val="8"/>
          <w:position w:val="-1"/>
          <w:sz w:val="19"/>
          <w:szCs w:val="19"/>
        </w:rPr>
        <w:t>7</w:t>
      </w:r>
      <w:r>
        <w:rPr>
          <w:spacing w:val="-22"/>
          <w:position w:val="-1"/>
          <w:sz w:val="19"/>
          <w:szCs w:val="19"/>
        </w:rPr>
        <w:t xml:space="preserve"> </w:t>
      </w:r>
      <w:r>
        <w:rPr>
          <w:spacing w:val="8"/>
          <w:position w:val="-1"/>
          <w:sz w:val="19"/>
          <w:szCs w:val="19"/>
        </w:rPr>
        <w:t>.</w:t>
      </w:r>
      <w:r>
        <w:rPr>
          <w:spacing w:val="-23"/>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xml:space="preserve">. 1 . 1    </w:t>
      </w:r>
      <w:r>
        <w:rPr>
          <w:rFonts w:ascii="微软雅黑" w:hAnsi="微软雅黑" w:eastAsia="微软雅黑" w:cs="微软雅黑"/>
          <w:spacing w:val="8"/>
          <w:sz w:val="19"/>
          <w:szCs w:val="19"/>
        </w:rPr>
        <w:t>压力管道</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热力管道和各类易燃</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易</w:t>
      </w:r>
      <w:r>
        <w:rPr>
          <w:rFonts w:ascii="微软雅黑" w:hAnsi="微软雅黑" w:eastAsia="微软雅黑" w:cs="微软雅黑"/>
          <w:spacing w:val="7"/>
          <w:sz w:val="19"/>
          <w:szCs w:val="19"/>
        </w:rPr>
        <w:t>爆管道宜跨堤布设</w:t>
      </w:r>
      <w:r>
        <w:rPr>
          <w:rFonts w:ascii="微软雅黑" w:hAnsi="微软雅黑" w:eastAsia="微软雅黑" w:cs="微软雅黑"/>
          <w:spacing w:val="7"/>
          <w:position w:val="1"/>
          <w:sz w:val="19"/>
          <w:szCs w:val="19"/>
        </w:rPr>
        <w:t>。</w:t>
      </w:r>
      <w:r>
        <w:rPr>
          <w:rFonts w:ascii="微软雅黑" w:hAnsi="微软雅黑" w:eastAsia="微软雅黑" w:cs="微软雅黑"/>
          <w:spacing w:val="-11"/>
          <w:position w:val="1"/>
          <w:sz w:val="19"/>
          <w:szCs w:val="19"/>
        </w:rPr>
        <w:t xml:space="preserve"> </w:t>
      </w:r>
      <w:r>
        <w:rPr>
          <w:rFonts w:ascii="微软雅黑" w:hAnsi="微软雅黑" w:eastAsia="微软雅黑" w:cs="微软雅黑"/>
          <w:spacing w:val="7"/>
          <w:sz w:val="19"/>
          <w:szCs w:val="19"/>
        </w:rPr>
        <w:t>确需穿越堤防时,两侧出入土点附近</w:t>
      </w:r>
      <w:r>
        <w:rPr>
          <w:rFonts w:ascii="微软雅黑" w:hAnsi="微软雅黑" w:eastAsia="微软雅黑" w:cs="微软雅黑"/>
          <w:spacing w:val="19"/>
          <w:sz w:val="19"/>
          <w:szCs w:val="19"/>
        </w:rPr>
        <w:t>应设置控制闸阀,并采取相应安全管理和防护措施。</w:t>
      </w:r>
    </w:p>
    <w:p w14:paraId="1FB74BC8">
      <w:pPr>
        <w:pStyle w:val="11"/>
        <w:spacing w:before="80" w:line="212" w:lineRule="auto"/>
        <w:ind w:left="3" w:hanging="3"/>
        <w:rPr>
          <w:rFonts w:ascii="微软雅黑" w:hAnsi="微软雅黑" w:eastAsia="微软雅黑" w:cs="微软雅黑"/>
          <w:sz w:val="19"/>
          <w:szCs w:val="19"/>
        </w:rPr>
      </w:pPr>
      <w:r>
        <w:rPr>
          <w:spacing w:val="14"/>
          <w:position w:val="-1"/>
          <w:sz w:val="19"/>
          <w:szCs w:val="19"/>
        </w:rPr>
        <w:t>7</w:t>
      </w:r>
      <w:r>
        <w:rPr>
          <w:spacing w:val="-23"/>
          <w:position w:val="-1"/>
          <w:sz w:val="19"/>
          <w:szCs w:val="19"/>
        </w:rPr>
        <w:t xml:space="preserve"> </w:t>
      </w:r>
      <w:r>
        <w:rPr>
          <w:spacing w:val="14"/>
          <w:position w:val="-1"/>
          <w:sz w:val="19"/>
          <w:szCs w:val="19"/>
        </w:rPr>
        <w:t>.</w:t>
      </w:r>
      <w:r>
        <w:rPr>
          <w:spacing w:val="-22"/>
          <w:position w:val="-1"/>
          <w:sz w:val="19"/>
          <w:szCs w:val="19"/>
        </w:rPr>
        <w:t xml:space="preserve"> </w:t>
      </w:r>
      <w:r>
        <w:rPr>
          <w:spacing w:val="14"/>
          <w:position w:val="-1"/>
          <w:sz w:val="19"/>
          <w:szCs w:val="19"/>
        </w:rPr>
        <w:t>2</w:t>
      </w:r>
      <w:r>
        <w:rPr>
          <w:spacing w:val="-23"/>
          <w:position w:val="-1"/>
          <w:sz w:val="19"/>
          <w:szCs w:val="19"/>
        </w:rPr>
        <w:t xml:space="preserve"> </w:t>
      </w:r>
      <w:r>
        <w:rPr>
          <w:spacing w:val="14"/>
          <w:position w:val="-1"/>
          <w:sz w:val="19"/>
          <w:szCs w:val="19"/>
        </w:rPr>
        <w:t>. 1 .</w:t>
      </w:r>
      <w:r>
        <w:rPr>
          <w:spacing w:val="-23"/>
          <w:position w:val="-1"/>
          <w:sz w:val="19"/>
          <w:szCs w:val="19"/>
        </w:rPr>
        <w:t xml:space="preserve"> </w:t>
      </w:r>
      <w:r>
        <w:rPr>
          <w:spacing w:val="14"/>
          <w:position w:val="-1"/>
          <w:sz w:val="19"/>
          <w:szCs w:val="19"/>
        </w:rPr>
        <w:t xml:space="preserve">2    </w:t>
      </w:r>
      <w:r>
        <w:rPr>
          <w:rFonts w:ascii="微软雅黑" w:hAnsi="微软雅黑" w:eastAsia="微软雅黑" w:cs="微软雅黑"/>
          <w:spacing w:val="14"/>
          <w:sz w:val="19"/>
          <w:szCs w:val="19"/>
        </w:rPr>
        <w:t>管线顶部与河底的最小垂直距离应大于规划河底的冲刷深度,</w:t>
      </w:r>
      <w:r>
        <w:rPr>
          <w:rFonts w:ascii="微软雅黑" w:hAnsi="微软雅黑" w:eastAsia="微软雅黑" w:cs="微软雅黑"/>
          <w:spacing w:val="13"/>
          <w:sz w:val="19"/>
          <w:szCs w:val="19"/>
        </w:rPr>
        <w:t>并满足相关行业技术标准和管</w:t>
      </w:r>
      <w:r>
        <w:rPr>
          <w:rFonts w:ascii="微软雅黑" w:hAnsi="微软雅黑" w:eastAsia="微软雅黑" w:cs="微软雅黑"/>
          <w:spacing w:val="20"/>
          <w:sz w:val="19"/>
          <w:szCs w:val="19"/>
        </w:rPr>
        <w:t>理规定;管线与其他涉河工程的最小安全距离应根据</w:t>
      </w:r>
      <w:r>
        <w:rPr>
          <w:rFonts w:ascii="微软雅黑" w:hAnsi="微软雅黑" w:eastAsia="微软雅黑" w:cs="微软雅黑"/>
          <w:spacing w:val="19"/>
          <w:sz w:val="19"/>
          <w:szCs w:val="19"/>
        </w:rPr>
        <w:t>工程安全保护范围和穿河施工方式合理确定。</w:t>
      </w:r>
    </w:p>
    <w:p w14:paraId="79529644">
      <w:pPr>
        <w:pStyle w:val="11"/>
        <w:spacing w:before="78" w:line="208" w:lineRule="auto"/>
        <w:ind w:right="25"/>
        <w:rPr>
          <w:rFonts w:ascii="微软雅黑" w:hAnsi="微软雅黑" w:eastAsia="微软雅黑" w:cs="微软雅黑"/>
          <w:sz w:val="19"/>
          <w:szCs w:val="19"/>
        </w:rPr>
      </w:pPr>
      <w:r>
        <w:rPr>
          <w:spacing w:val="8"/>
          <w:position w:val="-1"/>
          <w:sz w:val="19"/>
          <w:szCs w:val="19"/>
        </w:rPr>
        <w:t>7</w:t>
      </w:r>
      <w:r>
        <w:rPr>
          <w:spacing w:val="-23"/>
          <w:position w:val="-1"/>
          <w:sz w:val="19"/>
          <w:szCs w:val="19"/>
        </w:rPr>
        <w:t xml:space="preserve"> </w:t>
      </w:r>
      <w:r>
        <w:rPr>
          <w:spacing w:val="8"/>
          <w:position w:val="-1"/>
          <w:sz w:val="19"/>
          <w:szCs w:val="19"/>
        </w:rPr>
        <w:t>.</w:t>
      </w:r>
      <w:r>
        <w:rPr>
          <w:spacing w:val="-25"/>
          <w:position w:val="-1"/>
          <w:sz w:val="19"/>
          <w:szCs w:val="19"/>
        </w:rPr>
        <w:t xml:space="preserve"> </w:t>
      </w:r>
      <w:r>
        <w:rPr>
          <w:spacing w:val="8"/>
          <w:position w:val="-1"/>
          <w:sz w:val="19"/>
          <w:szCs w:val="19"/>
        </w:rPr>
        <w:t>2</w:t>
      </w:r>
      <w:r>
        <w:rPr>
          <w:spacing w:val="-23"/>
          <w:position w:val="-1"/>
          <w:sz w:val="19"/>
          <w:szCs w:val="19"/>
        </w:rPr>
        <w:t xml:space="preserve"> </w:t>
      </w:r>
      <w:r>
        <w:rPr>
          <w:spacing w:val="8"/>
          <w:position w:val="-1"/>
          <w:sz w:val="19"/>
          <w:szCs w:val="19"/>
        </w:rPr>
        <w:t>. 1 .</w:t>
      </w:r>
      <w:r>
        <w:rPr>
          <w:spacing w:val="-20"/>
          <w:position w:val="-1"/>
          <w:sz w:val="19"/>
          <w:szCs w:val="19"/>
        </w:rPr>
        <w:t xml:space="preserve"> </w:t>
      </w:r>
      <w:r>
        <w:rPr>
          <w:spacing w:val="8"/>
          <w:position w:val="-1"/>
          <w:sz w:val="19"/>
          <w:szCs w:val="19"/>
        </w:rPr>
        <w:t xml:space="preserve">3    </w:t>
      </w:r>
      <w:r>
        <w:rPr>
          <w:rFonts w:ascii="微软雅黑" w:hAnsi="微软雅黑" w:eastAsia="微软雅黑" w:cs="微软雅黑"/>
          <w:spacing w:val="8"/>
          <w:sz w:val="19"/>
          <w:szCs w:val="19"/>
        </w:rPr>
        <w:t xml:space="preserve">穿河管线的阀井(室)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截流控制设施</w:t>
      </w:r>
      <w:r>
        <w:rPr>
          <w:rFonts w:ascii="微软雅黑" w:hAnsi="微软雅黑" w:eastAsia="微软雅黑" w:cs="微软雅黑"/>
          <w:spacing w:val="-28"/>
          <w:sz w:val="19"/>
          <w:szCs w:val="19"/>
        </w:rPr>
        <w:t xml:space="preserve"> </w:t>
      </w:r>
      <w:r>
        <w:rPr>
          <w:rFonts w:ascii="微软雅黑" w:hAnsi="微软雅黑" w:eastAsia="微软雅黑" w:cs="微软雅黑"/>
          <w:spacing w:val="8"/>
          <w:position w:val="1"/>
          <w:sz w:val="19"/>
          <w:szCs w:val="19"/>
        </w:rPr>
        <w:t>、</w:t>
      </w:r>
      <w:r>
        <w:rPr>
          <w:rFonts w:ascii="微软雅黑" w:hAnsi="微软雅黑" w:eastAsia="微软雅黑" w:cs="微软雅黑"/>
          <w:spacing w:val="8"/>
          <w:sz w:val="19"/>
          <w:szCs w:val="19"/>
        </w:rPr>
        <w:t>临时性工作井等附</w:t>
      </w:r>
      <w:bookmarkStart w:id="1" w:name="_GoBack"/>
      <w:bookmarkEnd w:id="1"/>
      <w:r>
        <w:rPr>
          <w:rFonts w:ascii="微软雅黑" w:hAnsi="微软雅黑" w:eastAsia="微软雅黑" w:cs="微软雅黑"/>
          <w:spacing w:val="8"/>
          <w:sz w:val="19"/>
          <w:szCs w:val="19"/>
        </w:rPr>
        <w:t>属设施,不宜布置</w:t>
      </w:r>
      <w:r>
        <w:rPr>
          <w:rFonts w:ascii="微软雅黑" w:hAnsi="微软雅黑" w:eastAsia="微软雅黑" w:cs="微软雅黑"/>
          <w:spacing w:val="7"/>
          <w:sz w:val="19"/>
          <w:szCs w:val="19"/>
        </w:rPr>
        <w:t>在河道管理范围内</w:t>
      </w:r>
      <w:r>
        <w:rPr>
          <w:rFonts w:ascii="微软雅黑" w:hAnsi="微软雅黑" w:eastAsia="微软雅黑" w:cs="微软雅黑"/>
          <w:spacing w:val="7"/>
          <w:position w:val="1"/>
          <w:sz w:val="19"/>
          <w:szCs w:val="19"/>
        </w:rPr>
        <w:t>,</w:t>
      </w:r>
      <w:r>
        <w:rPr>
          <w:rFonts w:ascii="微软雅黑" w:hAnsi="微软雅黑" w:eastAsia="微软雅黑" w:cs="微软雅黑"/>
          <w:spacing w:val="18"/>
          <w:sz w:val="19"/>
          <w:szCs w:val="19"/>
        </w:rPr>
        <w:t>且不应影响堤防安全。</w:t>
      </w:r>
      <w:r>
        <w:rPr>
          <w:rFonts w:ascii="微软雅黑" w:hAnsi="微软雅黑" w:eastAsia="微软雅黑" w:cs="微软雅黑"/>
          <w:spacing w:val="-4"/>
          <w:sz w:val="19"/>
          <w:szCs w:val="19"/>
        </w:rPr>
        <w:t xml:space="preserve"> </w:t>
      </w:r>
      <w:r>
        <w:rPr>
          <w:rFonts w:ascii="微软雅黑" w:hAnsi="微软雅黑" w:eastAsia="微软雅黑" w:cs="微软雅黑"/>
          <w:spacing w:val="18"/>
          <w:sz w:val="19"/>
          <w:szCs w:val="19"/>
        </w:rPr>
        <w:t>其中,顶管及定向钻的临时工作井距离背水侧堤脚的安全距离应满足以下要求</w:t>
      </w:r>
      <w:r>
        <w:rPr>
          <w:rFonts w:ascii="微软雅黑" w:hAnsi="微软雅黑" w:eastAsia="微软雅黑" w:cs="微软雅黑"/>
          <w:spacing w:val="-6"/>
          <w:sz w:val="19"/>
          <w:szCs w:val="19"/>
        </w:rPr>
        <w:t xml:space="preserve"> </w:t>
      </w:r>
      <w:r>
        <w:rPr>
          <w:rFonts w:ascii="微软雅黑" w:hAnsi="微软雅黑" w:eastAsia="微软雅黑" w:cs="微软雅黑"/>
          <w:spacing w:val="18"/>
          <w:sz w:val="19"/>
          <w:szCs w:val="19"/>
        </w:rPr>
        <w:t>:</w:t>
      </w:r>
    </w:p>
    <w:p w14:paraId="714F6DC6">
      <w:pPr>
        <w:pStyle w:val="11"/>
        <w:spacing w:before="82" w:line="170" w:lineRule="auto"/>
        <w:ind w:left="422"/>
        <w:rPr>
          <w:rFonts w:ascii="微软雅黑" w:hAnsi="微软雅黑" w:eastAsia="微软雅黑" w:cs="微软雅黑"/>
          <w:sz w:val="19"/>
          <w:szCs w:val="19"/>
        </w:rPr>
      </w:pPr>
      <w:r>
        <w:rPr>
          <w:spacing w:val="2"/>
          <w:sz w:val="19"/>
          <w:szCs w:val="19"/>
        </w:rPr>
        <w:t>a</w:t>
      </w:r>
      <w:r>
        <w:rPr>
          <w:rFonts w:ascii="微软雅黑" w:hAnsi="微软雅黑" w:eastAsia="微软雅黑" w:cs="微软雅黑"/>
          <w:spacing w:val="2"/>
          <w:sz w:val="19"/>
          <w:szCs w:val="19"/>
        </w:rPr>
        <w:t xml:space="preserve">)     </w:t>
      </w:r>
      <w:r>
        <w:rPr>
          <w:rFonts w:ascii="微软雅黑" w:hAnsi="微软雅黑" w:eastAsia="微软雅黑" w:cs="微软雅黑"/>
          <w:spacing w:val="2"/>
          <w:position w:val="-2"/>
          <w:sz w:val="19"/>
          <w:szCs w:val="19"/>
        </w:rPr>
        <w:t>I</w:t>
      </w:r>
      <w:r>
        <w:rPr>
          <w:rFonts w:ascii="微软雅黑" w:hAnsi="微软雅黑" w:eastAsia="微软雅黑" w:cs="微软雅黑"/>
          <w:spacing w:val="38"/>
          <w:position w:val="-2"/>
          <w:sz w:val="19"/>
          <w:szCs w:val="19"/>
        </w:rPr>
        <w:t xml:space="preserve"> </w:t>
      </w:r>
      <w:r>
        <w:rPr>
          <w:rFonts w:ascii="微软雅黑" w:hAnsi="微软雅黑" w:eastAsia="微软雅黑" w:cs="微软雅黑"/>
          <w:spacing w:val="2"/>
          <w:position w:val="1"/>
          <w:sz w:val="19"/>
          <w:szCs w:val="19"/>
        </w:rPr>
        <w:t>、</w:t>
      </w:r>
      <w:r>
        <w:rPr>
          <w:rFonts w:ascii="微软雅黑" w:hAnsi="微软雅黑" w:eastAsia="微软雅黑" w:cs="微软雅黑"/>
          <w:spacing w:val="2"/>
          <w:sz w:val="19"/>
          <w:szCs w:val="19"/>
        </w:rPr>
        <w:t>Ⅱ级堤防应大于或等于</w:t>
      </w:r>
      <w:r>
        <w:rPr>
          <w:rFonts w:ascii="微软雅黑" w:hAnsi="微软雅黑" w:eastAsia="微软雅黑" w:cs="微软雅黑"/>
          <w:spacing w:val="22"/>
          <w:sz w:val="19"/>
          <w:szCs w:val="19"/>
        </w:rPr>
        <w:t xml:space="preserve"> </w:t>
      </w:r>
      <w:r>
        <w:rPr>
          <w:spacing w:val="2"/>
          <w:position w:val="-1"/>
          <w:sz w:val="19"/>
          <w:szCs w:val="19"/>
        </w:rPr>
        <w:t xml:space="preserve">100  m </w:t>
      </w:r>
      <w:r>
        <w:rPr>
          <w:rFonts w:ascii="微软雅黑" w:hAnsi="微软雅黑" w:eastAsia="微软雅黑" w:cs="微软雅黑"/>
          <w:spacing w:val="2"/>
          <w:position w:val="1"/>
          <w:sz w:val="19"/>
          <w:szCs w:val="19"/>
        </w:rPr>
        <w:t>;</w:t>
      </w:r>
    </w:p>
    <w:p w14:paraId="728D04DC">
      <w:pPr>
        <w:pStyle w:val="11"/>
        <w:spacing w:before="65" w:line="170" w:lineRule="auto"/>
        <w:ind w:left="423"/>
        <w:rPr>
          <w:rFonts w:ascii="微软雅黑" w:hAnsi="微软雅黑" w:eastAsia="微软雅黑" w:cs="微软雅黑"/>
          <w:sz w:val="19"/>
          <w:szCs w:val="19"/>
        </w:rPr>
      </w:pPr>
      <w:r>
        <w:rPr>
          <w:spacing w:val="8"/>
          <w:sz w:val="19"/>
          <w:szCs w:val="19"/>
        </w:rPr>
        <w:t>b</w:t>
      </w:r>
      <w:r>
        <w:rPr>
          <w:rFonts w:ascii="微软雅黑" w:hAnsi="微软雅黑" w:eastAsia="微软雅黑" w:cs="微软雅黑"/>
          <w:spacing w:val="8"/>
          <w:sz w:val="19"/>
          <w:szCs w:val="19"/>
        </w:rPr>
        <w:t>)    Ⅲ级及以下等级堤防应大于或等于</w:t>
      </w:r>
      <w:r>
        <w:rPr>
          <w:rFonts w:ascii="微软雅黑" w:hAnsi="微软雅黑" w:eastAsia="微软雅黑" w:cs="微软雅黑"/>
          <w:spacing w:val="32"/>
          <w:sz w:val="19"/>
          <w:szCs w:val="19"/>
        </w:rPr>
        <w:t xml:space="preserve"> </w:t>
      </w:r>
      <w:r>
        <w:rPr>
          <w:spacing w:val="8"/>
          <w:position w:val="-1"/>
          <w:sz w:val="19"/>
          <w:szCs w:val="19"/>
        </w:rPr>
        <w:t xml:space="preserve">60  m </w:t>
      </w:r>
      <w:r>
        <w:rPr>
          <w:rFonts w:ascii="微软雅黑" w:hAnsi="微软雅黑" w:eastAsia="微软雅黑" w:cs="微软雅黑"/>
          <w:spacing w:val="8"/>
          <w:position w:val="1"/>
          <w:sz w:val="19"/>
          <w:szCs w:val="19"/>
        </w:rPr>
        <w:t>;</w:t>
      </w:r>
    </w:p>
    <w:p w14:paraId="73DDA278">
      <w:pPr>
        <w:pStyle w:val="11"/>
        <w:spacing w:before="86" w:line="178" w:lineRule="auto"/>
        <w:ind w:left="425"/>
        <w:rPr>
          <w:rFonts w:ascii="微软雅黑" w:hAnsi="微软雅黑" w:eastAsia="微软雅黑" w:cs="微软雅黑"/>
          <w:sz w:val="19"/>
          <w:szCs w:val="19"/>
        </w:rPr>
      </w:pPr>
      <w:r>
        <w:rPr>
          <w:spacing w:val="16"/>
          <w:sz w:val="19"/>
          <w:szCs w:val="19"/>
        </w:rPr>
        <w:t>c</w:t>
      </w:r>
      <w:r>
        <w:rPr>
          <w:rFonts w:ascii="微软雅黑" w:hAnsi="微软雅黑" w:eastAsia="微软雅黑" w:cs="微软雅黑"/>
          <w:spacing w:val="16"/>
          <w:sz w:val="19"/>
          <w:szCs w:val="19"/>
        </w:rPr>
        <w:t>)    若条件限制无法满足要求,应进行充分</w:t>
      </w:r>
      <w:r>
        <w:rPr>
          <w:rFonts w:ascii="微软雅黑" w:hAnsi="微软雅黑" w:eastAsia="微软雅黑" w:cs="微软雅黑"/>
          <w:spacing w:val="15"/>
          <w:sz w:val="19"/>
          <w:szCs w:val="19"/>
        </w:rPr>
        <w:t>论证</w:t>
      </w:r>
      <w:r>
        <w:rPr>
          <w:rFonts w:ascii="微软雅黑" w:hAnsi="微软雅黑" w:eastAsia="微软雅黑" w:cs="微软雅黑"/>
          <w:spacing w:val="-9"/>
          <w:sz w:val="19"/>
          <w:szCs w:val="19"/>
        </w:rPr>
        <w:t xml:space="preserve"> </w:t>
      </w:r>
      <w:r>
        <w:rPr>
          <w:rFonts w:ascii="微软雅黑" w:hAnsi="微软雅黑" w:eastAsia="微软雅黑" w:cs="微软雅黑"/>
          <w:spacing w:val="15"/>
          <w:sz w:val="19"/>
          <w:szCs w:val="19"/>
        </w:rPr>
        <w:t>;</w:t>
      </w:r>
    </w:p>
    <w:p w14:paraId="3D256E12">
      <w:pPr>
        <w:pStyle w:val="11"/>
        <w:spacing w:before="87" w:line="170" w:lineRule="auto"/>
        <w:ind w:left="424"/>
        <w:rPr>
          <w:rFonts w:ascii="微软雅黑" w:hAnsi="微软雅黑" w:eastAsia="微软雅黑" w:cs="微软雅黑"/>
          <w:spacing w:val="9"/>
          <w:position w:val="1"/>
          <w:sz w:val="19"/>
          <w:szCs w:val="19"/>
        </w:rPr>
      </w:pPr>
      <w:r>
        <w:rPr>
          <w:spacing w:val="16"/>
          <w:sz w:val="19"/>
          <w:szCs w:val="19"/>
        </w:rPr>
        <w:t>d</w:t>
      </w:r>
      <w:r>
        <w:rPr>
          <w:rFonts w:ascii="微软雅黑" w:hAnsi="微软雅黑" w:eastAsia="微软雅黑" w:cs="微软雅黑"/>
          <w:spacing w:val="16"/>
          <w:sz w:val="19"/>
          <w:szCs w:val="19"/>
        </w:rPr>
        <w:t>)</w:t>
      </w:r>
      <w:r>
        <w:rPr>
          <w:rFonts w:ascii="微软雅黑" w:hAnsi="微软雅黑" w:eastAsia="微软雅黑" w:cs="微软雅黑"/>
          <w:spacing w:val="3"/>
          <w:sz w:val="19"/>
          <w:szCs w:val="19"/>
        </w:rPr>
        <w:t xml:space="preserve">    </w:t>
      </w:r>
      <w:r>
        <w:rPr>
          <w:rFonts w:ascii="微软雅黑" w:hAnsi="微软雅黑" w:eastAsia="微软雅黑" w:cs="微软雅黑"/>
          <w:spacing w:val="16"/>
          <w:sz w:val="19"/>
          <w:szCs w:val="19"/>
        </w:rPr>
        <w:t>采用分段穿越方案,出入土点距离迎水坡堤脚的安全距离应大于</w:t>
      </w:r>
      <w:r>
        <w:rPr>
          <w:rFonts w:ascii="微软雅黑" w:hAnsi="微软雅黑" w:eastAsia="微软雅黑" w:cs="微软雅黑"/>
          <w:spacing w:val="15"/>
          <w:sz w:val="19"/>
          <w:szCs w:val="19"/>
        </w:rPr>
        <w:t>或等于</w:t>
      </w:r>
      <w:r>
        <w:rPr>
          <w:rFonts w:ascii="微软雅黑" w:hAnsi="微软雅黑" w:eastAsia="微软雅黑" w:cs="微软雅黑"/>
          <w:spacing w:val="22"/>
          <w:sz w:val="19"/>
          <w:szCs w:val="19"/>
        </w:rPr>
        <w:t xml:space="preserve"> </w:t>
      </w:r>
      <w:r>
        <w:rPr>
          <w:spacing w:val="15"/>
          <w:position w:val="-1"/>
          <w:sz w:val="19"/>
          <w:szCs w:val="19"/>
        </w:rPr>
        <w:t>60</w:t>
      </w:r>
      <w:r>
        <w:rPr>
          <w:spacing w:val="47"/>
          <w:w w:val="101"/>
          <w:position w:val="-1"/>
          <w:sz w:val="19"/>
          <w:szCs w:val="19"/>
        </w:rPr>
        <w:t xml:space="preserve"> </w:t>
      </w:r>
      <w:r>
        <w:rPr>
          <w:spacing w:val="15"/>
          <w:position w:val="-1"/>
          <w:sz w:val="19"/>
          <w:szCs w:val="19"/>
        </w:rPr>
        <w:t>m</w:t>
      </w:r>
      <w:r>
        <w:rPr>
          <w:spacing w:val="-23"/>
          <w:position w:val="-1"/>
          <w:sz w:val="19"/>
          <w:szCs w:val="19"/>
        </w:rPr>
        <w:t xml:space="preserve"> </w:t>
      </w:r>
      <w:r>
        <w:rPr>
          <w:rFonts w:ascii="微软雅黑" w:hAnsi="微软雅黑" w:eastAsia="微软雅黑" w:cs="微软雅黑"/>
          <w:spacing w:val="15"/>
          <w:position w:val="1"/>
          <w:sz w:val="19"/>
          <w:szCs w:val="19"/>
        </w:rPr>
        <w:t>。</w:t>
      </w:r>
    </w:p>
    <w:p w14:paraId="0A0E35D8">
      <w:pPr>
        <w:pStyle w:val="11"/>
        <w:spacing w:before="80" w:line="208" w:lineRule="auto"/>
        <w:rPr>
          <w:rFonts w:ascii="微软雅黑" w:hAnsi="微软雅黑" w:eastAsia="微软雅黑" w:cs="微软雅黑"/>
          <w:spacing w:val="9"/>
          <w:position w:val="1"/>
          <w:sz w:val="19"/>
          <w:szCs w:val="19"/>
        </w:rPr>
      </w:pPr>
    </w:p>
    <w:p w14:paraId="66752968">
      <w:pPr>
        <w:pStyle w:val="11"/>
        <w:spacing w:before="80" w:line="208" w:lineRule="auto"/>
        <w:ind w:left="5" w:hanging="5"/>
        <w:rPr>
          <w:rFonts w:hint="eastAsia" w:ascii="微软雅黑" w:hAnsi="微软雅黑" w:eastAsia="微软雅黑" w:cs="微软雅黑"/>
          <w:spacing w:val="9"/>
          <w:position w:val="1"/>
          <w:sz w:val="19"/>
          <w:szCs w:val="19"/>
        </w:rPr>
      </w:pPr>
      <w:r>
        <w:rPr>
          <w:rFonts w:hint="eastAsia" w:ascii="微软雅黑" w:hAnsi="微软雅黑" w:eastAsia="微软雅黑" w:cs="微软雅黑"/>
          <w:spacing w:val="9"/>
          <w:position w:val="1"/>
          <w:sz w:val="19"/>
          <w:szCs w:val="19"/>
          <w:lang w:val="en-US" w:eastAsia="zh-CN"/>
        </w:rPr>
        <w:t xml:space="preserve">99.1   </w:t>
      </w:r>
      <w:r>
        <w:rPr>
          <w:rFonts w:hint="eastAsia" w:ascii="微软雅黑" w:hAnsi="微软雅黑" w:eastAsia="微软雅黑" w:cs="微软雅黑"/>
          <w:spacing w:val="9"/>
          <w:position w:val="1"/>
          <w:sz w:val="19"/>
          <w:szCs w:val="19"/>
        </w:rPr>
        <w:t>补充管线占用河道及河道管理范围面积情况（长度按堤脚线外10米算起，宽度岸电力管线保护范围宽度）</w:t>
      </w:r>
    </w:p>
    <w:p w14:paraId="2005AF1A">
      <w:pPr>
        <w:pStyle w:val="11"/>
        <w:spacing w:before="80" w:line="208" w:lineRule="auto"/>
        <w:ind w:left="5" w:hanging="5"/>
        <w:rPr>
          <w:rFonts w:hint="eastAsia" w:ascii="微软雅黑" w:hAnsi="微软雅黑" w:eastAsia="微软雅黑" w:cs="微软雅黑"/>
          <w:spacing w:val="9"/>
          <w:position w:val="1"/>
          <w:sz w:val="19"/>
          <w:szCs w:val="19"/>
        </w:rPr>
      </w:pPr>
      <w:r>
        <w:rPr>
          <w:rFonts w:hint="eastAsia" w:ascii="微软雅黑" w:hAnsi="微软雅黑" w:eastAsia="微软雅黑" w:cs="微软雅黑"/>
          <w:spacing w:val="9"/>
          <w:position w:val="1"/>
          <w:sz w:val="19"/>
          <w:szCs w:val="19"/>
          <w:lang w:val="en-US" w:eastAsia="zh-CN"/>
        </w:rPr>
        <w:t xml:space="preserve">99.2 </w:t>
      </w:r>
      <w:r>
        <w:rPr>
          <w:rFonts w:hint="eastAsia" w:ascii="微软雅黑" w:hAnsi="微软雅黑" w:eastAsia="微软雅黑" w:cs="微软雅黑"/>
          <w:spacing w:val="9"/>
          <w:position w:val="1"/>
          <w:sz w:val="19"/>
          <w:szCs w:val="19"/>
        </w:rPr>
        <w:t>对工程下穿河道处的防洪标准、防洪水位及东、西岸的堤防等级进行复核</w:t>
      </w:r>
    </w:p>
    <w:p w14:paraId="10DA8DF7">
      <w:pPr>
        <w:pStyle w:val="11"/>
        <w:spacing w:before="80" w:line="208" w:lineRule="auto"/>
        <w:ind w:left="5" w:hanging="5"/>
        <w:rPr>
          <w:rFonts w:hint="eastAsia" w:ascii="微软雅黑" w:hAnsi="微软雅黑" w:eastAsia="微软雅黑" w:cs="微软雅黑"/>
          <w:spacing w:val="9"/>
          <w:position w:val="1"/>
          <w:sz w:val="19"/>
          <w:szCs w:val="19"/>
        </w:rPr>
      </w:pPr>
      <w:r>
        <w:rPr>
          <w:rFonts w:hint="eastAsia" w:ascii="微软雅黑" w:hAnsi="微软雅黑" w:eastAsia="微软雅黑" w:cs="微软雅黑"/>
          <w:spacing w:val="9"/>
          <w:position w:val="1"/>
          <w:sz w:val="19"/>
          <w:szCs w:val="19"/>
          <w:lang w:val="en-US" w:eastAsia="zh-CN"/>
        </w:rPr>
        <w:t xml:space="preserve">99.3 </w:t>
      </w:r>
      <w:r>
        <w:rPr>
          <w:rFonts w:hint="eastAsia" w:ascii="微软雅黑" w:hAnsi="微软雅黑" w:eastAsia="微软雅黑" w:cs="微软雅黑"/>
          <w:spacing w:val="9"/>
          <w:position w:val="1"/>
          <w:sz w:val="19"/>
          <w:szCs w:val="19"/>
        </w:rPr>
        <w:t>需要明确该项目建设范围与无锡市区水系专项规划内容是否冲突</w:t>
      </w:r>
    </w:p>
    <w:p w14:paraId="3EFD8500">
      <w:pPr>
        <w:pStyle w:val="11"/>
        <w:spacing w:before="80" w:line="208" w:lineRule="auto"/>
        <w:ind w:left="5" w:hanging="5"/>
        <w:rPr>
          <w:rFonts w:ascii="微软雅黑" w:hAnsi="微软雅黑" w:eastAsia="微软雅黑" w:cs="微软雅黑"/>
          <w:spacing w:val="9"/>
          <w:position w:val="1"/>
          <w:sz w:val="19"/>
          <w:szCs w:val="19"/>
        </w:rPr>
      </w:pPr>
      <w:r>
        <w:rPr>
          <w:rFonts w:hint="eastAsia" w:ascii="微软雅黑" w:hAnsi="微软雅黑" w:eastAsia="微软雅黑" w:cs="微软雅黑"/>
          <w:spacing w:val="9"/>
          <w:position w:val="1"/>
          <w:sz w:val="19"/>
          <w:szCs w:val="19"/>
          <w:lang w:val="en-US" w:eastAsia="zh-CN"/>
        </w:rPr>
        <w:t>99.4</w:t>
      </w:r>
      <w:r>
        <w:rPr>
          <w:rFonts w:hint="eastAsia" w:ascii="微软雅黑" w:hAnsi="微软雅黑" w:eastAsia="微软雅黑" w:cs="微软雅黑"/>
          <w:spacing w:val="9"/>
          <w:position w:val="1"/>
          <w:sz w:val="19"/>
          <w:szCs w:val="19"/>
        </w:rPr>
        <w:t>复核高程系统转换系数；</w:t>
      </w:r>
    </w:p>
    <w:p w14:paraId="0835B3FC"/>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CED01">
    <w:pPr>
      <w:pStyle w:val="11"/>
      <w:spacing w:line="230" w:lineRule="auto"/>
      <w:ind w:left="263"/>
      <w:rPr>
        <w:sz w:val="16"/>
        <w:szCs w:val="16"/>
      </w:rPr>
    </w:pPr>
    <w:r>
      <w:rPr>
        <w:sz w:val="16"/>
        <w:szCs w:val="16"/>
      </w:rPr>
      <w:t>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C0652">
    <w:pPr>
      <w:pStyle w:val="11"/>
      <w:spacing w:before="61" w:line="235" w:lineRule="auto"/>
      <w:rPr>
        <w:sz w:val="19"/>
        <w:szCs w:val="19"/>
      </w:rPr>
    </w:pPr>
    <w:r>
      <w:rPr>
        <w:sz w:val="19"/>
        <w:szCs w:val="19"/>
      </w:rPr>
      <w:t>DB</w:t>
    </w:r>
    <w:r>
      <w:rPr>
        <w:spacing w:val="9"/>
        <w:sz w:val="19"/>
        <w:szCs w:val="19"/>
      </w:rPr>
      <w:t>32/T4462—2023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191863"/>
    <w:multiLevelType w:val="multilevel"/>
    <w:tmpl w:val="9B191863"/>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005734"/>
    <w:rsid w:val="6F7C45CA"/>
    <w:rsid w:val="7B5664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15"/>
    <w:semiHidden/>
    <w:unhideWhenUsed/>
    <w:qFormat/>
    <w:uiPriority w:val="0"/>
    <w:pPr>
      <w:keepNext/>
      <w:keepLines/>
      <w:numPr>
        <w:ilvl w:val="1"/>
        <w:numId w:val="1"/>
      </w:numPr>
      <w:spacing w:before="40"/>
      <w:ind w:left="0" w:firstLine="0" w:firstLineChars="0"/>
      <w:outlineLvl w:val="1"/>
    </w:pPr>
    <w:rPr>
      <w:rFonts w:ascii="Times New Roman" w:hAnsi="Times New Roman" w:eastAsia="宋体" w:cstheme="majorBidi"/>
      <w:b/>
      <w:sz w:val="26"/>
      <w:szCs w:val="26"/>
    </w:rPr>
  </w:style>
  <w:style w:type="paragraph" w:styleId="4">
    <w:name w:val="heading 3"/>
    <w:basedOn w:val="1"/>
    <w:next w:val="1"/>
    <w:link w:val="14"/>
    <w:semiHidden/>
    <w:unhideWhenUsed/>
    <w:qFormat/>
    <w:uiPriority w:val="0"/>
    <w:pPr>
      <w:keepNext/>
      <w:keepLines/>
      <w:numPr>
        <w:ilvl w:val="2"/>
        <w:numId w:val="1"/>
      </w:numPr>
      <w:adjustRightInd w:val="0"/>
      <w:spacing w:before="40"/>
      <w:ind w:left="720" w:hanging="720" w:firstLineChars="0"/>
      <w:outlineLvl w:val="2"/>
    </w:pPr>
    <w:rPr>
      <w:rFonts w:ascii="Times New Roman" w:hAnsi="Times New Roman" w:eastAsiaTheme="majorEastAsia" w:cstheme="majorBidi"/>
      <w:b/>
      <w:sz w:val="24"/>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2" w:hanging="115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outlineLvl w:val="8"/>
    </w:pPr>
    <w:rPr>
      <w:rFonts w:ascii="Arial" w:hAnsi="Arial" w:eastAsia="黑体"/>
      <w:sz w:val="21"/>
    </w:rPr>
  </w:style>
  <w:style w:type="character" w:default="1" w:styleId="13">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1">
    <w:name w:val="Body Text"/>
    <w:basedOn w:val="1"/>
    <w:semiHidden/>
    <w:qFormat/>
    <w:uiPriority w:val="0"/>
    <w:rPr>
      <w:rFonts w:ascii="Arial" w:hAnsi="Arial" w:eastAsia="Arial" w:cs="Arial"/>
      <w:sz w:val="26"/>
      <w:szCs w:val="26"/>
      <w:lang w:val="en-US" w:eastAsia="en-US" w:bidi="ar-SA"/>
    </w:rPr>
  </w:style>
  <w:style w:type="character" w:customStyle="1" w:styleId="14">
    <w:name w:val="Heading 3 Char"/>
    <w:basedOn w:val="13"/>
    <w:link w:val="4"/>
    <w:qFormat/>
    <w:uiPriority w:val="0"/>
    <w:rPr>
      <w:rFonts w:ascii="Times New Roman" w:hAnsi="Times New Roman" w:eastAsiaTheme="majorEastAsia" w:cstheme="majorBidi"/>
      <w:b/>
      <w:kern w:val="2"/>
      <w:sz w:val="24"/>
      <w:szCs w:val="24"/>
      <w:lang w:val="en-US"/>
    </w:rPr>
  </w:style>
  <w:style w:type="character" w:customStyle="1" w:styleId="15">
    <w:name w:val="Heading 2 Char"/>
    <w:basedOn w:val="13"/>
    <w:link w:val="3"/>
    <w:qFormat/>
    <w:uiPriority w:val="0"/>
    <w:rPr>
      <w:rFonts w:ascii="Times New Roman" w:hAnsi="Times New Roman" w:eastAsia="宋体" w:cstheme="majorBidi"/>
      <w:b/>
      <w:kern w:val="2"/>
      <w:sz w:val="26"/>
      <w:szCs w:val="26"/>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2025-08-22T00:45:00Z</dcterms:created>
  <dc:creator>Administrator</dc:creator>
  <cp:lastModifiedBy>大芒果</cp:lastModifiedBy>
  <dcterms:modified xsi:type="dcterms:W3CDTF">2025-12-11T06:20:39Z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AF86116F1C40479FBA618997F82BAA74_12</vt:lpwstr>
  </property>
  <property fmtid="{D5CDD505-2E9C-101B-9397-08002B2CF9AE}" pid="4" name="KSOTemplateDocerSaveRecord">
    <vt:lpwstr>eyJoZGlkIjoiYzdmNjZiOGMxYjNlMWFjNDgwNDE4NjEyOTZhMWQ2ZGEiLCJ1c2VySWQiOiI0NDk3MDQzNjEifQ==</vt:lpwstr>
  </property>
</Properties>
</file>