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85.png" ContentType="image/png"/>
  <Override PartName="/word/media/rId142.png" ContentType="image/png"/>
  <Override PartName="/word/media/rId146.png" ContentType="image/png"/>
  <Override PartName="/word/media/rId151.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IALA Marine Aids to Navigation (AtoN) Service Design</w:t>
      </w:r>
    </w:p>
    <w:p>
      <w:pPr>
        <w:pStyle w:val="Subtitle"/>
      </w:pPr>
      <w:r>
        <w:t xml:space="preserve">Provision of AtoN information to End-Users using IEC 63173-2 (SECOM)</w:t>
      </w:r>
    </w:p>
    <w:bookmarkStart w:id="70" w:name="sec:introduction"/>
    <w:p>
      <w:pPr>
        <w:pStyle w:val="Heading1"/>
      </w:pPr>
      <w:r>
        <w:t xml:space="preserve">Introduction</w:t>
      </w:r>
    </w:p>
    <w:p>
      <w:pPr>
        <w:pStyle w:val="FirstParagraph"/>
      </w:pPr>
      <w:r>
        <w:t xml:space="preserve">This document specifies the design of the</w:t>
      </w:r>
      <w:r>
        <w:t xml:space="preserve"> </w:t>
      </w:r>
      <w:r>
        <w:t xml:space="preserve">“Provision of AtoN Information to End-Users”</w:t>
      </w:r>
      <w:r>
        <w:t xml:space="preserve"> </w:t>
      </w:r>
      <w:r>
        <w:t xml:space="preserve">service according to the technical service specification</w:t>
      </w:r>
      <w:r>
        <w:t xml:space="preserve"> </w:t>
      </w:r>
      <w:r>
        <w:t xml:space="preserve">[1]</w:t>
      </w:r>
      <w:r>
        <w:t xml:space="preserve"> </w:t>
      </w:r>
      <w:r>
        <w:t xml:space="preserve">using the IEC SECOM</w:t>
      </w:r>
      <w:r>
        <w:t xml:space="preserve"> </w:t>
      </w:r>
      <w:r>
        <w:t xml:space="preserve">[2]</w:t>
      </w:r>
      <w:r>
        <w:t xml:space="preserve"> </w:t>
      </w:r>
      <w:r>
        <w:t xml:space="preserve">standard as the transport mechanism for route exchange. This one of the core technical service included in the</w:t>
      </w:r>
      <w:r>
        <w:t xml:space="preserve"> </w:t>
      </w:r>
      <w:r>
        <w:t xml:space="preserve">“MS-2 - Aids to Navigation”</w:t>
      </w:r>
      <w:r>
        <w:t xml:space="preserve"> </w:t>
      </w:r>
      <w:r>
        <w:t xml:space="preserve">maritime service, as this was defined by IMO</w:t>
      </w:r>
      <w:r>
        <w:t xml:space="preserve"> </w:t>
      </w:r>
      <w:r>
        <w:t xml:space="preserve">[3]</w:t>
      </w:r>
      <w:r>
        <w:t xml:space="preserve">.</w:t>
      </w:r>
    </w:p>
    <w:p>
      <w:pPr>
        <w:pStyle w:val="BodyText"/>
      </w:pPr>
      <w:r>
        <w:t xml:space="preserve">This document was produced as part of the work of IALA ARM committee task group on development of technical service specifications for the provision of AtoN Information. The document is structured according to the IALA Guideline G1128 The Specification of e-Navigation Technical Services</w:t>
      </w:r>
      <w:r>
        <w:t xml:space="preserve"> </w:t>
      </w:r>
      <w:r>
        <w:t xml:space="preserve">[4]</w:t>
      </w:r>
      <w:r>
        <w:t xml:space="preserve"> </w:t>
      </w:r>
      <w:r>
        <w:t xml:space="preserve">and is based on the SECOM template found therein</w:t>
      </w:r>
      <w:r>
        <w:t xml:space="preserve"> </w:t>
      </w:r>
      <w:r>
        <w:t xml:space="preserve">[5]</w:t>
      </w:r>
    </w:p>
    <w:bookmarkStart w:id="67" w:name="sec:introduction_purpose"/>
    <w:p>
      <w:pPr>
        <w:pStyle w:val="Heading2"/>
      </w:pPr>
      <w:r>
        <w:t xml:space="preserve">Purpose of this Guideline</w:t>
      </w:r>
    </w:p>
    <w:p>
      <w:pPr>
        <w:pStyle w:val="FirstParagraph"/>
      </w:pPr>
      <w:r>
        <w:t xml:space="preserve">The purpose of this document is to define a service design using SECOM for the</w:t>
      </w:r>
      <w:r>
        <w:t xml:space="preserve"> </w:t>
      </w:r>
      <w:r>
        <w:t xml:space="preserve">“Provision of AtoN Information to End-Users”</w:t>
      </w:r>
      <w:r>
        <w:t xml:space="preserve"> </w:t>
      </w:r>
      <w:r>
        <w:t xml:space="preserve">service defined in the technical service specification</w:t>
      </w:r>
      <w:r>
        <w:t xml:space="preserve"> </w:t>
      </w:r>
      <w:r>
        <w:t xml:space="preserve">[1]</w:t>
      </w:r>
      <w:r>
        <w:t xml:space="preserve">. This is done by using SECOM and the S-125 XML representation as defined in the specification. It defines the actual way the interactions and logical interfaces defined in the specification are to be implemented. It also describes how the requirements for authentication etc are to be implemented.</w:t>
      </w:r>
    </w:p>
    <w:p>
      <w:pPr>
        <w:pStyle w:val="BodyText"/>
      </w:pPr>
      <w:r>
        <w:t xml:space="preserve">It describes the actual requirements for both ship and shore side systems in order to support the AtoN information provision as defined in the specification.</w:t>
      </w:r>
    </w:p>
    <w:p>
      <w:pPr>
        <w:pStyle w:val="BodyText"/>
      </w:pPr>
      <w:r>
        <w:t xml:space="preserve">Note that this design will undergo changes between versions 1.0 and 2.0 as the SECOM and S-125 standard should be updated during that transition period and the design will be changed to reflect the latest changes. Some of the anticipated changes to SECOM and S-125 have already been included in this design and as such this design may not be fully compatible with SECOM 1.0 and S-125 1.0.</w:t>
      </w:r>
    </w:p>
    <w:bookmarkEnd w:id="67"/>
    <w:bookmarkStart w:id="69" w:name="sec:introduction_intended_readership"/>
    <w:p>
      <w:pPr>
        <w:pStyle w:val="Heading2"/>
      </w:pPr>
      <w:r>
        <w:t xml:space="preserve">Intended Readership</w:t>
      </w:r>
    </w:p>
    <w:p>
      <w:pPr>
        <w:pStyle w:val="FirstParagraph"/>
      </w:pPr>
      <w:r>
        <w:t xml:space="preserve">This Service Design is intended to be read by service architects, system engineers and developers in charge of designing and developing an instance of the route exchange service.</w:t>
      </w:r>
    </w:p>
    <w:bookmarkStart w:id="68" w:name="sec:introduction_other_sources"/>
    <w:p>
      <w:pPr>
        <w:pStyle w:val="Heading3"/>
      </w:pPr>
      <w:r>
        <w:t xml:space="preserve">Inputs from Other Sources</w:t>
      </w:r>
    </w:p>
    <w:p>
      <w:pPr>
        <w:pStyle w:val="FirstParagraph"/>
      </w:pPr>
      <w:r>
        <w:t xml:space="preserve">This service design follows the requirements, use cases and dynamic behaviour outlined in</w:t>
      </w:r>
      <w:r>
        <w:t xml:space="preserve"> </w:t>
      </w:r>
      <w:r>
        <w:t xml:space="preserve">[1]</w:t>
      </w:r>
      <w:r>
        <w:t xml:space="preserve">. The interfaces, parameters and logic of the API is compliant with IEC 63173-2 SECOM and borrows much of its content from there.</w:t>
      </w:r>
    </w:p>
    <w:p>
      <w:pPr>
        <w:pStyle w:val="BodyText"/>
      </w:pPr>
      <w:r>
        <w:t xml:space="preserve">“The authors thank the International Electrotechnical Commission (IEC) for permission to reproduce Information from its International Standards. All such extracts are copyright of IEC, Geneva, Switzerland. All rights reserved. Further information on the IEC is available from</w:t>
      </w:r>
      <w:r>
        <w:t xml:space="preserve"> </w:t>
      </w:r>
      <w:r>
        <w:rPr>
          <w:rStyle w:val="VerbatimChar"/>
        </w:rPr>
        <w:t xml:space="preserve">www.iec.ch</w:t>
      </w:r>
      <w:r>
        <w:t xml:space="preserve">. IEC has no responsibility for the placement and context in which the extracts and contents are reproduced by the author, nor is IEC in any way responsible for the other content or accuracy therein.”.</w:t>
      </w:r>
    </w:p>
    <w:p>
      <w:r>
        <w:br w:type="page"/>
      </w:r>
    </w:p>
    <w:bookmarkEnd w:id="68"/>
    <w:bookmarkEnd w:id="69"/>
    <w:bookmarkEnd w:id="70"/>
    <w:bookmarkStart w:id="71" w:name="sec:service_identification"/>
    <w:p>
      <w:pPr>
        <w:pStyle w:val="Heading1"/>
      </w:pPr>
      <w:r>
        <w:t xml:space="preserve">Service Identification</w:t>
      </w:r>
    </w:p>
    <w:p>
      <w:pPr>
        <w:pStyle w:val="FirstParagraph"/>
      </w:pPr>
      <w:r>
        <w:t xml:space="preserve">This section provides a unique identification of the service and describes where the service is in the engineering lifecycle.</w:t>
      </w:r>
    </w:p>
    <w:p>
      <w:pPr>
        <w:pStyle w:val="TableCaption"/>
      </w:pPr>
      <w:r>
        <w:t xml:space="preserve">Technical Design Identification Information. {#tab:service_identification}</w:t>
      </w:r>
    </w:p>
    <w:tbl>
      <w:tblPr>
        <w:tblStyle w:val="Table"/>
        <w:tblW w:type="auto" w:w="0"/>
        <w:tblLook w:firstRow="0" w:lastRow="0" w:firstColumn="0" w:lastColumn="0" w:noHBand="0" w:noVBand="0" w:val="0000"/>
        <w:tblCaption w:val="Technical Design Identification Information. {#tab:service_identification}"/>
      </w:tblPr>
      <w:tblGrid>
        <w:gridCol w:w="3960"/>
        <w:gridCol w:w="3960"/>
      </w:tblGrid>
      <w:tr>
        <w:tc>
          <w:tcPr/>
          <w:p>
            <w:pPr>
              <w:pStyle w:val="Compact"/>
            </w:pPr>
            <w:r>
              <w:t xml:space="preserve">Name</w:t>
            </w:r>
          </w:p>
        </w:tc>
        <w:tc>
          <w:tcPr/>
          <w:p>
            <w:pPr>
              <w:pStyle w:val="Compact"/>
            </w:pPr>
            <w:r>
              <w:t xml:space="preserve">Provision of AtoN Information Service to End-users over IEC 63173-2 (SECOM)</w:t>
            </w:r>
          </w:p>
        </w:tc>
      </w:tr>
      <w:tr>
        <w:tc>
          <w:tcPr>
            <w:vMerge w:val="restart"/>
          </w:tcPr>
          <w:p>
            <w:pPr>
              <w:pStyle w:val="Compact"/>
            </w:pPr>
            <w:r>
              <w:t xml:space="preserve">Implements</w:t>
            </w:r>
          </w:p>
        </w:tc>
        <w:tc>
          <w:tcPr/>
          <w:p>
            <w:pPr>
              <w:pStyle w:val="Compact"/>
            </w:pPr>
            <w:r>
              <w:t xml:space="preserve">IALA Marine Aids to Navigation (AtoN) Service Specification</w:t>
            </w:r>
          </w:p>
        </w:tc>
      </w:tr>
      <w:tr>
        <w:tc>
          <w:tcPr>
            <w:gridSpan w:val="1"/>
            <w:vMerge w:val="continue"/>
          </w:tcPr>
          <w:p>
            <w:pPr/>
          </w:p>
        </w:tc>
        <w:tc>
          <w:tcPr/>
          <w:p>
            <w:pPr>
              <w:pStyle w:val="Compact"/>
            </w:pPr>
            <w:r>
              <w:t xml:space="preserve">Provision of AtoN Information to End-Users</w:t>
            </w:r>
          </w:p>
        </w:tc>
      </w:tr>
      <w:tr>
        <w:tc>
          <w:tcPr>
            <w:gridSpan w:val="1"/>
            <w:vMerge w:val="continue"/>
          </w:tcPr>
          <w:p>
            <w:pPr/>
          </w:p>
        </w:tc>
        <w:tc>
          <w:tcPr/>
          <w:p>
            <w:pPr>
              <w:pStyle w:val="Compact"/>
            </w:pPr>
            <w:r>
              <w:t xml:space="preserve">urn:mrn:iala:techsvc:ss:arm:atoninfo:1.0</w:t>
            </w:r>
          </w:p>
        </w:tc>
      </w:tr>
      <w:tr>
        <w:tc>
          <w:tcPr/>
          <w:p>
            <w:pPr>
              <w:pStyle w:val="Compact"/>
            </w:pPr>
            <w:r>
              <w:t xml:space="preserve">Version</w:t>
            </w:r>
          </w:p>
        </w:tc>
        <w:tc>
          <w:tcPr/>
          <w:p>
            <w:pPr>
              <w:pStyle w:val="Compact"/>
            </w:pPr>
            <w:r>
              <w:t xml:space="preserve">0.0.1</w:t>
            </w:r>
          </w:p>
        </w:tc>
      </w:tr>
      <w:tr>
        <w:tc>
          <w:tcPr/>
          <w:p>
            <w:pPr>
              <w:pStyle w:val="Compact"/>
            </w:pPr>
            <w:r>
              <w:t xml:space="preserve">Description</w:t>
            </w:r>
          </w:p>
        </w:tc>
        <w:tc>
          <w:tcPr/>
          <w:p>
            <w:pPr>
              <w:pStyle w:val="Compact"/>
            </w:pPr>
            <w:r>
              <w:t xml:space="preserve">Technical Design for the provision of AtoN information to end-users via web services, using the IEC 63173-2 (SECOM) communication standard.</w:t>
            </w:r>
          </w:p>
        </w:tc>
      </w:tr>
      <w:tr>
        <w:tc>
          <w:tcPr/>
          <w:p>
            <w:pPr>
              <w:pStyle w:val="Compact"/>
            </w:pPr>
            <w:r>
              <w:t xml:space="preserve">Keywords</w:t>
            </w:r>
          </w:p>
        </w:tc>
        <w:tc>
          <w:tcPr/>
          <w:p>
            <w:pPr>
              <w:pStyle w:val="Compact"/>
            </w:pPr>
            <w:r>
              <w:t xml:space="preserve">REST, SECOM, MS2, ARM, AtoN, Aids to Navigation, S-125</w:t>
            </w:r>
          </w:p>
        </w:tc>
      </w:tr>
      <w:tr>
        <w:tc>
          <w:tcPr/>
          <w:p>
            <w:pPr>
              <w:pStyle w:val="Compact"/>
            </w:pPr>
            <w:r>
              <w:t xml:space="preserve">Architects</w:t>
            </w:r>
          </w:p>
        </w:tc>
        <w:tc>
          <w:tcPr/>
          <w:p>
            <w:pPr>
              <w:pStyle w:val="Compact"/>
            </w:pPr>
            <w:r>
              <w:t xml:space="preserve">Nikolaos Vastardis</w:t>
            </w:r>
          </w:p>
        </w:tc>
      </w:tr>
      <w:tr>
        <w:tc>
          <w:tcPr/>
          <w:p>
            <w:pPr>
              <w:pStyle w:val="Compact"/>
            </w:pPr>
            <w:r>
              <w:t xml:space="preserve">Status</w:t>
            </w:r>
          </w:p>
        </w:tc>
        <w:tc>
          <w:tcPr/>
          <w:p>
            <w:pPr>
              <w:pStyle w:val="Compact"/>
            </w:pPr>
            <w:r>
              <w:t xml:space="preserve">Provisional</w:t>
            </w:r>
          </w:p>
        </w:tc>
      </w:tr>
    </w:tbl>
    <w:p>
      <w:r>
        <w:br w:type="page"/>
      </w:r>
    </w:p>
    <w:bookmarkEnd w:id="71"/>
    <w:bookmarkStart w:id="79" w:name="sec:tech_intro"/>
    <w:p>
      <w:pPr>
        <w:pStyle w:val="Heading1"/>
      </w:pPr>
      <w:r>
        <w:t xml:space="preserve">Technology Introduction</w:t>
      </w:r>
    </w:p>
    <w:bookmarkStart w:id="72" w:name="sec:tech_intro_general"/>
    <w:p>
      <w:pPr>
        <w:pStyle w:val="Heading2"/>
      </w:pPr>
      <w:r>
        <w:t xml:space="preserve">General</w:t>
      </w:r>
    </w:p>
    <w:p>
      <w:pPr>
        <w:pStyle w:val="FirstParagraph"/>
      </w:pPr>
      <w:r>
        <w:t xml:space="preserve">This design template realizes the service specification</w:t>
      </w:r>
      <w:r>
        <w:t xml:space="preserve"> </w:t>
      </w:r>
      <w:r>
        <w:t xml:space="preserve">[1]</w:t>
      </w:r>
      <w:r>
        <w:t xml:space="preserve"> </w:t>
      </w:r>
      <w:r>
        <w:t xml:space="preserve">using SECOM as defined in IEC 63173-2</w:t>
      </w:r>
      <w:r>
        <w:t xml:space="preserve"> </w:t>
      </w:r>
      <w:r>
        <w:t xml:space="preserve">[2]</w:t>
      </w:r>
      <w:r>
        <w:t xml:space="preserve">.</w:t>
      </w:r>
    </w:p>
    <w:p>
      <w:pPr>
        <w:pStyle w:val="BodyText"/>
      </w:pPr>
      <w:r>
        <w:t xml:space="preserve">The services conforming to this design must be implemented with REST APIs using HTTPS with TLS protection to encrypt all communication in transit.</w:t>
      </w:r>
    </w:p>
    <w:bookmarkEnd w:id="72"/>
    <w:bookmarkStart w:id="73" w:name="sec:tech_intro_service_tansport_protocol"/>
    <w:p>
      <w:pPr>
        <w:pStyle w:val="Heading2"/>
      </w:pPr>
      <w:r>
        <w:t xml:space="preserve">Service Technology and Service Transportation Protocol</w:t>
      </w:r>
    </w:p>
    <w:p>
      <w:pPr>
        <w:pStyle w:val="FirstParagraph"/>
      </w:pPr>
      <w:r>
        <w:rPr>
          <w:b/>
          <w:bCs/>
          <w:i/>
          <w:iCs/>
        </w:rPr>
        <w:t xml:space="preserve">Reference: IEC 63173-2 SECOM v1.0.0 Clause 5.3 Service Technology</w:t>
      </w:r>
    </w:p>
    <w:p>
      <w:pPr>
        <w:pStyle w:val="BodyText"/>
      </w:pPr>
      <w:r>
        <w:t xml:space="preserve">The technology (architectural style) chosen is REST (REpresentational State Transfer) upon HTTP/1.1 (RFC 7231).</w:t>
      </w:r>
    </w:p>
    <w:bookmarkEnd w:id="73"/>
    <w:bookmarkStart w:id="78" w:name="sec:tech_intro_security"/>
    <w:p>
      <w:pPr>
        <w:pStyle w:val="Heading2"/>
      </w:pPr>
      <w:r>
        <w:t xml:space="preserve">Security</w:t>
      </w:r>
    </w:p>
    <w:bookmarkStart w:id="74" w:name="sec:tech_intro_security_comm"/>
    <w:p>
      <w:pPr>
        <w:pStyle w:val="Heading3"/>
      </w:pPr>
      <w:r>
        <w:t xml:space="preserve">Communication Channel Security</w:t>
      </w:r>
    </w:p>
    <w:p>
      <w:pPr>
        <w:pStyle w:val="FirstParagraph"/>
      </w:pPr>
      <w:r>
        <w:rPr>
          <w:b/>
          <w:bCs/>
          <w:i/>
          <w:iCs/>
        </w:rPr>
        <w:t xml:space="preserve">Reference: IEC 63173-2 SECOM v1.0.0 Clause 6 SECOM communication channel security</w:t>
      </w:r>
    </w:p>
    <w:p>
      <w:pPr>
        <w:pStyle w:val="BodyText"/>
      </w:pPr>
      <w:r>
        <w:t xml:space="preserve">The channel security between the SECOM REST service and a consumer are</w:t>
      </w:r>
    </w:p>
    <w:p>
      <w:pPr>
        <w:pStyle w:val="Compact"/>
        <w:numPr>
          <w:ilvl w:val="0"/>
          <w:numId w:val="1001"/>
        </w:numPr>
      </w:pPr>
      <w:r>
        <w:t xml:space="preserve">HTTP/1.1 according to RFC-7231</w:t>
      </w:r>
    </w:p>
    <w:p>
      <w:pPr>
        <w:pStyle w:val="Compact"/>
        <w:numPr>
          <w:ilvl w:val="0"/>
          <w:numId w:val="1001"/>
        </w:numPr>
      </w:pPr>
      <w:r>
        <w:t xml:space="preserve">HTTPS over TLS according to RFC-2818</w:t>
      </w:r>
    </w:p>
    <w:p>
      <w:pPr>
        <w:pStyle w:val="FirstParagraph"/>
      </w:pPr>
      <w:r>
        <w:t xml:space="preserve">Valid versions of TLS for this version of service design template are</w:t>
      </w:r>
    </w:p>
    <w:p>
      <w:pPr>
        <w:pStyle w:val="Compact"/>
        <w:numPr>
          <w:ilvl w:val="0"/>
          <w:numId w:val="1002"/>
        </w:numPr>
      </w:pPr>
      <w:r>
        <w:t xml:space="preserve">TLS version 1.2 and 1.3 (RFC-8446)</w:t>
      </w:r>
    </w:p>
    <w:p>
      <w:pPr>
        <w:pStyle w:val="FirstParagraph"/>
      </w:pPr>
      <w:r>
        <w:t xml:space="preserve">X.509 Certificates are used in the TLS according to RFC 5280 and RFC 2459.</w:t>
      </w:r>
    </w:p>
    <w:p>
      <w:pPr>
        <w:pStyle w:val="BodyText"/>
      </w:pPr>
      <w:r>
        <w:t xml:space="preserve">Certificates shall be verified with OCSP and/or CRL methods.</w:t>
      </w:r>
    </w:p>
    <w:bookmarkEnd w:id="74"/>
    <w:bookmarkStart w:id="75" w:name="sec:tech_intro_security_data_protection"/>
    <w:p>
      <w:pPr>
        <w:pStyle w:val="Heading3"/>
      </w:pPr>
      <w:r>
        <w:t xml:space="preserve">Data Protection</w:t>
      </w:r>
    </w:p>
    <w:p>
      <w:pPr>
        <w:pStyle w:val="FirstParagraph"/>
      </w:pPr>
      <w:r>
        <w:rPr>
          <w:b/>
          <w:bCs/>
          <w:i/>
          <w:iCs/>
        </w:rPr>
        <w:t xml:space="preserve">Reference: IEC 63173-2 SECOM v1.0.0 Clause 4.3.4 SECOM data protection</w:t>
      </w:r>
    </w:p>
    <w:p>
      <w:pPr>
        <w:pStyle w:val="BodyText"/>
      </w:pPr>
      <w:r>
        <w:rPr>
          <w:b/>
          <w:bCs/>
          <w:i/>
          <w:iCs/>
        </w:rPr>
        <w:t xml:space="preserve">Reference: IHO S-100 ed5.2.0 Part 15 Data Protection Scheme</w:t>
      </w:r>
    </w:p>
    <w:p>
      <w:pPr>
        <w:pStyle w:val="BodyText"/>
      </w:pPr>
      <w:r>
        <w:t xml:space="preserve">The data is mandatory to be signed by the sender to enable data authentication and integrity check by the receiver.</w:t>
      </w:r>
    </w:p>
    <w:p>
      <w:pPr>
        <w:pStyle w:val="BodyText"/>
      </w:pPr>
      <w:r>
        <w:t xml:space="preserve">The data can optionally be encrypted by the sender, and the sender is responsible for exchanging the encryption key with the receiver.</w:t>
      </w:r>
    </w:p>
    <w:p>
      <w:pPr>
        <w:pStyle w:val="BodyText"/>
      </w:pPr>
      <w:r>
        <w:t xml:space="preserve">While sending standalone S-421 documents without the additional metadata of datasets or exchange sets is preferred, if datasets or exchange sets are used the data (one or more data files) can optionally be packaged and compressed before being signed and sent.</w:t>
      </w:r>
    </w:p>
    <w:bookmarkEnd w:id="75"/>
    <w:bookmarkStart w:id="76" w:name="sec:tech_intro_security_data_sign"/>
    <w:p>
      <w:pPr>
        <w:pStyle w:val="Heading3"/>
      </w:pPr>
      <w:r>
        <w:t xml:space="preserve">Data Signature</w:t>
      </w:r>
    </w:p>
    <w:p>
      <w:pPr>
        <w:pStyle w:val="FirstParagraph"/>
      </w:pPr>
      <w:r>
        <w:rPr>
          <w:b/>
          <w:bCs/>
          <w:i/>
          <w:iCs/>
        </w:rPr>
        <w:t xml:space="preserve">Reference: IEC 63173-2 SECOM v1.0.0 Clause 7.3 Data authentication and signing</w:t>
      </w:r>
    </w:p>
    <w:p>
      <w:pPr>
        <w:pStyle w:val="BodyText"/>
      </w:pPr>
      <w:r>
        <w:rPr>
          <w:b/>
          <w:bCs/>
          <w:i/>
          <w:iCs/>
        </w:rPr>
        <w:t xml:space="preserve">Reference: IHO S-100 ed5.2.0 Part 15-8 Data Authentication</w:t>
      </w:r>
    </w:p>
    <w:p>
      <w:pPr>
        <w:pStyle w:val="BodyText"/>
      </w:pPr>
      <w:r>
        <w:rPr>
          <w:b/>
          <w:bCs/>
          <w:i/>
          <w:iCs/>
        </w:rPr>
        <w:t xml:space="preserve">Reference: NIST Digital Signature Standard (DSS–FIPS Publication 186</w:t>
      </w:r>
    </w:p>
    <w:p>
      <w:pPr>
        <w:pStyle w:val="BodyText"/>
      </w:pPr>
      <w:r>
        <w:t xml:space="preserve">The algorithm for signing data must be ECDSA-384-SHA2.</w:t>
      </w:r>
    </w:p>
    <w:p>
      <w:pPr>
        <w:pStyle w:val="BodyText"/>
      </w:pPr>
      <w:r>
        <w:t xml:space="preserve">The signature is transported in HEX.</w:t>
      </w:r>
    </w:p>
    <w:bookmarkEnd w:id="76"/>
    <w:bookmarkStart w:id="77" w:name="sec:tech_intro_security_data_encryption"/>
    <w:p>
      <w:pPr>
        <w:pStyle w:val="Heading3"/>
      </w:pPr>
      <w:r>
        <w:t xml:space="preserve">Data Encryption</w:t>
      </w:r>
    </w:p>
    <w:p>
      <w:pPr>
        <w:pStyle w:val="FirstParagraph"/>
      </w:pPr>
      <w:r>
        <w:rPr>
          <w:b/>
          <w:bCs/>
          <w:i/>
          <w:iCs/>
        </w:rPr>
        <w:t xml:space="preserve">Reference: IEC 63173-2 SECOM v1.0.0 Clause 7.4 Data encryption</w:t>
      </w:r>
    </w:p>
    <w:p>
      <w:pPr>
        <w:pStyle w:val="BodyText"/>
      </w:pPr>
      <w:r>
        <w:rPr>
          <w:b/>
          <w:bCs/>
          <w:i/>
          <w:iCs/>
        </w:rPr>
        <w:t xml:space="preserve">Reference: IHO S-100 ed5.2.0 Part 15-6 Data Encryption</w:t>
      </w:r>
    </w:p>
    <w:p>
      <w:pPr>
        <w:pStyle w:val="BodyText"/>
      </w:pPr>
      <w:r>
        <w:t xml:space="preserve">The encryption algorithm for encryption is AES and CBC mode.</w:t>
      </w:r>
    </w:p>
    <w:p>
      <w:pPr>
        <w:pStyle w:val="BodyText"/>
      </w:pPr>
      <w:r>
        <w:t xml:space="preserve">The symmetric encryption key can be exchanged by different means, including using the SECOM REST API to exchange the encryption key.</w:t>
      </w:r>
    </w:p>
    <w:p>
      <w:r>
        <w:br w:type="page"/>
      </w:r>
    </w:p>
    <w:bookmarkEnd w:id="77"/>
    <w:bookmarkEnd w:id="78"/>
    <w:bookmarkEnd w:id="79"/>
    <w:bookmarkStart w:id="84" w:name="sec:service_overview"/>
    <w:p>
      <w:pPr>
        <w:pStyle w:val="Heading1"/>
      </w:pPr>
      <w:r>
        <w:t xml:space="preserve">Service Overview</w:t>
      </w:r>
    </w:p>
    <w:bookmarkStart w:id="80" w:name="sec:service_overview_general"/>
    <w:p>
      <w:pPr>
        <w:pStyle w:val="Heading2"/>
      </w:pPr>
      <w:r>
        <w:t xml:space="preserve">General</w:t>
      </w:r>
    </w:p>
    <w:p>
      <w:pPr>
        <w:pStyle w:val="FirstParagraph"/>
      </w:pPr>
      <w:r>
        <w:t xml:space="preserve">The design uses SECOM defined APIs. As such, it is important to understand that both the AtoN information provision service and its consumers must be able to function as client and server as understood in the traditional HTTP world. As such from here on when the term service is used, it applies to the on-shore</w:t>
      </w:r>
      <w:r>
        <w:t xml:space="preserve"> </w:t>
      </w:r>
      <w:r>
        <w:t xml:space="preserve">“Provision of AtoN Information to End-Users”</w:t>
      </w:r>
      <w:r>
        <w:t xml:space="preserve"> </w:t>
      </w:r>
      <w:r>
        <w:t xml:space="preserve">service and the consumer is the on-board ship system that is communicating with it.</w:t>
      </w:r>
    </w:p>
    <w:p>
      <w:pPr>
        <w:pStyle w:val="BodyText"/>
      </w:pPr>
      <w:r>
        <w:t xml:space="preserve">This design does not concern itself with how the service instances will communicate with on-board ship systems. The instances of this design may be developed as integrated components directly or as independent microservices that communicate with the onboard ship systems via different integration mechanisms e.g., APIs or by emitting and consuming events.</w:t>
      </w:r>
    </w:p>
    <w:p>
      <w:pPr>
        <w:pStyle w:val="BodyText"/>
      </w:pPr>
      <w:r>
        <w:t xml:space="preserve">It should also be noted that all AtoN information provision service instances, the advertised S-125 datasets, as well as the included AtoNs, must support the IALA Maritime Resource Naming (MRN) scheme, as per</w:t>
      </w:r>
      <w:r>
        <w:t xml:space="preserve"> </w:t>
      </w:r>
      <w:r>
        <w:t xml:space="preserve">[6]</w:t>
      </w:r>
      <w:r>
        <w:t xml:space="preserve">. Valid MRN identifiers should be made available for each of these entities. The implementation methodology however, falls outside the scope of this service design.</w:t>
      </w:r>
    </w:p>
    <w:bookmarkEnd w:id="80"/>
    <w:bookmarkStart w:id="82" w:name="sec:service_overview_interfaces"/>
    <w:p>
      <w:pPr>
        <w:pStyle w:val="Heading2"/>
      </w:pPr>
      <w:r>
        <w:t xml:space="preserve">Service Interfaces</w:t>
      </w:r>
    </w:p>
    <w:p>
      <w:pPr>
        <w:pStyle w:val="FirstParagraph"/>
      </w:pPr>
      <w:r>
        <w:rPr>
          <w:b/>
          <w:bCs/>
          <w:i/>
          <w:iCs/>
        </w:rPr>
        <w:t xml:space="preserve">Reference: IEC 63173-2 SECOM v1.0.0 Clause 5.7 SECOM service interface definitions</w:t>
      </w:r>
    </w:p>
    <w:p>
      <w:pPr>
        <w:pStyle w:val="BodyText"/>
      </w:pPr>
      <w:r>
        <w:t xml:space="preserve">SECOM does not require that all the interfaces defined in the standard must be implemented. Thus, for the purposes of this service and its consumers, only the following interfaces are required:</w:t>
      </w:r>
    </w:p>
    <w:bookmarkStart w:id="81" w:name="tbl:aton_info_service_interfaces"/>
    <w:p>
      <w:pPr>
        <w:pStyle w:val="TableCaption"/>
      </w:pPr>
      <w:r>
        <w:t xml:space="preserve">AtoN Information Service interfaces</w:t>
      </w:r>
    </w:p>
    <w:tbl>
      <w:tblPr>
        <w:tblStyle w:val="Table"/>
        <w:tblW w:type="pct" w:w="5000"/>
        <w:tblLayout w:type="fixed"/>
        <w:tblLook w:firstRow="1" w:lastRow="0" w:firstColumn="0" w:lastColumn="0" w:noHBand="0" w:noVBand="0" w:val="0020"/>
        <w:tblCaption w:val="AtoN Information Service interfaces"/>
      </w:tblPr>
      <w:tblGrid>
        <w:gridCol w:w="2640"/>
        <w:gridCol w:w="2640"/>
        <w:gridCol w:w="2640"/>
      </w:tblGrid>
      <w:tr>
        <w:trPr>
          <w:tblHeader w:val="on"/>
        </w:trPr>
        <w:tc>
          <w:tcPr/>
          <w:p>
            <w:pPr>
              <w:pStyle w:val="Compact"/>
            </w:pPr>
            <w:r>
              <w:t xml:space="preserve">Interface</w:t>
            </w:r>
          </w:p>
        </w:tc>
        <w:tc>
          <w:tcPr/>
          <w:p>
            <w:pPr>
              <w:pStyle w:val="Compact"/>
            </w:pPr>
            <w:r>
              <w:t xml:space="preserve">SECOM Reference</w:t>
            </w:r>
          </w:p>
        </w:tc>
        <w:tc>
          <w:tcPr/>
          <w:p>
            <w:pPr>
              <w:pStyle w:val="Compact"/>
            </w:pPr>
            <w:r>
              <w:t xml:space="preserve">Comment</w:t>
            </w:r>
          </w:p>
        </w:tc>
      </w:tr>
      <w:tr>
        <w:tc>
          <w:tcPr/>
          <w:p>
            <w:pPr>
              <w:pStyle w:val="Compact"/>
            </w:pPr>
            <w:r>
              <w:t xml:space="preserve">Get</w:t>
            </w:r>
          </w:p>
        </w:tc>
        <w:tc>
          <w:tcPr/>
          <w:p>
            <w:pPr>
              <w:pStyle w:val="Compact"/>
            </w:pPr>
            <w:r>
              <w:t xml:space="preserve">IEC 63173-2 SECOM v1.0.0 Clause 5.7.5 service interface - Get</w:t>
            </w:r>
          </w:p>
        </w:tc>
        <w:tc>
          <w:tcPr/>
          <w:p>
            <w:pPr>
              <w:pStyle w:val="Compact"/>
            </w:pPr>
            <w:r>
              <w:t xml:space="preserve">This interface is called when the client gets (pulls) data from the service.</w:t>
            </w:r>
          </w:p>
        </w:tc>
      </w:tr>
      <w:tr>
        <w:tc>
          <w:tcPr/>
          <w:p>
            <w:pPr>
              <w:pStyle w:val="Compact"/>
            </w:pPr>
            <w:r>
              <w:t xml:space="preserve">Get By Link</w:t>
            </w:r>
          </w:p>
        </w:tc>
        <w:tc>
          <w:tcPr/>
          <w:p>
            <w:pPr>
              <w:pStyle w:val="Compact"/>
            </w:pPr>
            <w:r>
              <w:t xml:space="preserve">IEC 63173-2 SECOM v1.0.0 Clause 5.7.7 service interface - Get By Link</w:t>
            </w:r>
          </w:p>
        </w:tc>
        <w:tc>
          <w:tcPr/>
          <w:p>
            <w:pPr>
              <w:pStyle w:val="Compact"/>
            </w:pPr>
            <w:r>
              <w:t xml:space="preserve">This interface is called when the client downloads (pulls) large data by reference given from interface Upload Link.</w:t>
            </w:r>
          </w:p>
        </w:tc>
      </w:tr>
      <w:tr>
        <w:tc>
          <w:tcPr/>
          <w:p>
            <w:pPr>
              <w:pStyle w:val="Compact"/>
            </w:pPr>
            <w:r>
              <w:t xml:space="preserve">Get Summary</w:t>
            </w:r>
          </w:p>
        </w:tc>
        <w:tc>
          <w:tcPr/>
          <w:p>
            <w:pPr>
              <w:pStyle w:val="Compact"/>
            </w:pPr>
            <w:r>
              <w:t xml:space="preserve">IEC 63173-2 SECOM v1.0.0 Clause 5.7.6 service interface - Get Summary</w:t>
            </w:r>
          </w:p>
        </w:tc>
        <w:tc>
          <w:tcPr/>
          <w:p>
            <w:pPr>
              <w:pStyle w:val="Compact"/>
            </w:pPr>
            <w:r>
              <w:t xml:space="preserve">This interface is called when the client gets a summary of available data from the service. The data is retrieved (pulled) using the interface Get.</w:t>
            </w:r>
          </w:p>
        </w:tc>
      </w:tr>
      <w:tr>
        <w:tc>
          <w:tcPr/>
          <w:p>
            <w:pPr>
              <w:pStyle w:val="Compact"/>
            </w:pPr>
            <w:r>
              <w:t xml:space="preserve">Subscription</w:t>
            </w:r>
          </w:p>
        </w:tc>
        <w:tc>
          <w:tcPr/>
          <w:p>
            <w:pPr>
              <w:pStyle w:val="Compact"/>
            </w:pPr>
            <w:r>
              <w:t xml:space="preserve">IEC 63173-2 SECOM v1.0.0 Clause 5.7.10 service interface - Subscription</w:t>
            </w:r>
          </w:p>
        </w:tc>
        <w:tc>
          <w:tcPr/>
          <w:p>
            <w:pPr>
              <w:pStyle w:val="Compact"/>
            </w:pPr>
            <w:r>
              <w:t xml:space="preserve">This interface is called when the client or server initiates subscription on data from the service. Response is given with interface Upload and Subscription Notification.</w:t>
            </w:r>
          </w:p>
        </w:tc>
      </w:tr>
      <w:tr>
        <w:tc>
          <w:tcPr/>
          <w:p>
            <w:pPr>
              <w:pStyle w:val="Compact"/>
            </w:pPr>
            <w:r>
              <w:t xml:space="preserve">Remove Subscription</w:t>
            </w:r>
          </w:p>
        </w:tc>
        <w:tc>
          <w:tcPr/>
          <w:p>
            <w:pPr>
              <w:pStyle w:val="Compact"/>
            </w:pPr>
            <w:r>
              <w:t xml:space="preserve">IEC 63173-2 SECOM v1.0.0 Clause 5.7.11 service interface - Remove Subscription</w:t>
            </w:r>
          </w:p>
        </w:tc>
        <w:tc>
          <w:tcPr/>
          <w:p>
            <w:pPr>
              <w:pStyle w:val="Compact"/>
            </w:pPr>
            <w:r>
              <w:t xml:space="preserve">This interface is called when the client or server removes subscription. Response is given with interface Subscription Notification.</w:t>
            </w:r>
          </w:p>
        </w:tc>
      </w:tr>
      <w:tr>
        <w:tc>
          <w:tcPr/>
          <w:p>
            <w:pPr>
              <w:pStyle w:val="Compact"/>
            </w:pPr>
            <w:r>
              <w:t xml:space="preserve">Subscription Notification</w:t>
            </w:r>
          </w:p>
        </w:tc>
        <w:tc>
          <w:tcPr/>
          <w:p>
            <w:pPr>
              <w:pStyle w:val="Compact"/>
            </w:pPr>
            <w:r>
              <w:t xml:space="preserve">IEC 63173-2 SECOM v1.0.0 Clause 5.7.12 service interface - Subscription Notification</w:t>
            </w:r>
          </w:p>
        </w:tc>
        <w:tc>
          <w:tcPr/>
          <w:p>
            <w:pPr>
              <w:pStyle w:val="Compact"/>
            </w:pPr>
            <w:r>
              <w:t xml:space="preserve">This interface is called as response from Subscription or Remove Subscription.</w:t>
            </w:r>
          </w:p>
        </w:tc>
      </w:tr>
      <w:tr>
        <w:tc>
          <w:tcPr/>
          <w:p>
            <w:pPr>
              <w:pStyle w:val="Compact"/>
            </w:pPr>
            <w:r>
              <w:t xml:space="preserve">Upload</w:t>
            </w:r>
          </w:p>
        </w:tc>
        <w:tc>
          <w:tcPr/>
          <w:p>
            <w:pPr>
              <w:pStyle w:val="Compact"/>
            </w:pPr>
            <w:r>
              <w:t xml:space="preserve">IEC 63173-2 SECOM v1.0.0 Clause 5.7.2 service interface - Upload</w:t>
            </w:r>
          </w:p>
        </w:tc>
        <w:tc>
          <w:tcPr/>
          <w:p>
            <w:pPr>
              <w:pStyle w:val="Compact"/>
            </w:pPr>
            <w:r>
              <w:t xml:space="preserve">This interface is called when the client uploads (pushes) data to the service. The sender (client) decides the format and protection of the data.</w:t>
            </w:r>
          </w:p>
        </w:tc>
      </w:tr>
      <w:tr>
        <w:tc>
          <w:tcPr/>
          <w:p>
            <w:pPr>
              <w:pStyle w:val="Compact"/>
            </w:pPr>
            <w:r>
              <w:t xml:space="preserve">Upload Link</w:t>
            </w:r>
          </w:p>
        </w:tc>
        <w:tc>
          <w:tcPr/>
          <w:p>
            <w:pPr>
              <w:pStyle w:val="Compact"/>
            </w:pPr>
            <w:r>
              <w:t xml:space="preserve">IEC 63173-2 SECOM v1.0.0 Clause 5.7.3 service interface - Upload Link</w:t>
            </w:r>
          </w:p>
        </w:tc>
        <w:tc>
          <w:tcPr/>
          <w:p>
            <w:pPr>
              <w:pStyle w:val="Compact"/>
            </w:pPr>
            <w:r>
              <w:t xml:space="preserve">This interface is called when the client uploads (pushes) a reference pointer to large data. The data is downloaded using interface Get By Link.</w:t>
            </w:r>
          </w:p>
        </w:tc>
      </w:tr>
      <w:tr>
        <w:tc>
          <w:tcPr/>
          <w:p>
            <w:pPr>
              <w:pStyle w:val="Compact"/>
            </w:pPr>
            <w:r>
              <w:t xml:space="preserve">Acknowledgement</w:t>
            </w:r>
          </w:p>
        </w:tc>
        <w:tc>
          <w:tcPr/>
          <w:p>
            <w:pPr>
              <w:pStyle w:val="Compact"/>
            </w:pPr>
            <w:r>
              <w:t xml:space="preserve">IEC 63173-2 SECOM v1.0.0 Clause 5.7.4 service interface - Acknowledgement</w:t>
            </w:r>
          </w:p>
        </w:tc>
        <w:tc>
          <w:tcPr/>
          <w:p>
            <w:pPr>
              <w:pStyle w:val="Compact"/>
            </w:pPr>
            <w:r>
              <w:t xml:space="preserve">This interface is called as response to Acknowledgement request in Upload.</w:t>
            </w:r>
          </w:p>
        </w:tc>
      </w:tr>
      <w:tr>
        <w:tc>
          <w:tcPr/>
          <w:p>
            <w:pPr>
              <w:pStyle w:val="Compact"/>
            </w:pPr>
            <w:r>
              <w:t xml:space="preserve">Capability</w:t>
            </w:r>
          </w:p>
        </w:tc>
        <w:tc>
          <w:tcPr/>
          <w:p>
            <w:pPr>
              <w:pStyle w:val="Compact"/>
            </w:pPr>
            <w:r>
              <w:t xml:space="preserve">IEC 63173-2 SECOM v1.0.0 Clause 5.7.13 service interface - Capability</w:t>
            </w:r>
          </w:p>
        </w:tc>
        <w:tc>
          <w:tcPr/>
          <w:p>
            <w:pPr>
              <w:pStyle w:val="Compact"/>
            </w:pPr>
            <w:r>
              <w:t xml:space="preserve">This interface is called when the client asks for the service capabilities.</w:t>
            </w:r>
          </w:p>
        </w:tc>
      </w:tr>
      <w:tr>
        <w:tc>
          <w:tcPr/>
          <w:p>
            <w:pPr>
              <w:pStyle w:val="Compact"/>
            </w:pPr>
            <w:r>
              <w:t xml:space="preserve">Ping</w:t>
            </w:r>
          </w:p>
        </w:tc>
        <w:tc>
          <w:tcPr/>
          <w:p>
            <w:pPr>
              <w:pStyle w:val="Compact"/>
            </w:pPr>
            <w:r>
              <w:t xml:space="preserve">IEC 63173-2 SECOM v1.0.0 Clause 5.7.14 service interface - Ping</w:t>
            </w:r>
          </w:p>
        </w:tc>
        <w:tc>
          <w:tcPr/>
          <w:p>
            <w:pPr>
              <w:pStyle w:val="Compact"/>
            </w:pPr>
            <w:r>
              <w:t xml:space="preserve">This interface is called when the client checks the availability of the service.</w:t>
            </w:r>
          </w:p>
        </w:tc>
      </w:tr>
      <w:tr>
        <w:tc>
          <w:tcPr/>
          <w:p>
            <w:pPr>
              <w:pStyle w:val="Compact"/>
            </w:pPr>
            <w:r>
              <w:t xml:space="preserve">PublicKey</w:t>
            </w:r>
          </w:p>
        </w:tc>
        <w:tc>
          <w:tcPr/>
          <w:p>
            <w:pPr>
              <w:pStyle w:val="Compact"/>
            </w:pPr>
            <w:r>
              <w:t xml:space="preserve">IEC 63173-2 SECOM v1.0.0 Clause 5.7.16 service interface - PublicKey</w:t>
            </w:r>
          </w:p>
        </w:tc>
        <w:tc>
          <w:tcPr/>
          <w:p>
            <w:pPr>
              <w:pStyle w:val="Compact"/>
            </w:pPr>
            <w:r>
              <w:t xml:space="preserve">This interface is called when the client gets (pulls) the public certificate(s) from the service.</w:t>
            </w:r>
          </w:p>
        </w:tc>
      </w:tr>
    </w:tbl>
    <w:bookmarkEnd w:id="81"/>
    <w:p>
      <w:pPr>
        <w:pStyle w:val="BodyText"/>
      </w:pPr>
      <w:r>
        <w:t xml:space="preserve">All unused interfaces of SECOM should be implemented to return HTTP 501 as specified in</w:t>
      </w:r>
      <w:r>
        <w:t xml:space="preserve"> </w:t>
      </w:r>
      <w:r>
        <w:t xml:space="preserve">[2]</w:t>
      </w:r>
      <w:r>
        <w:t xml:space="preserve">.</w:t>
      </w:r>
    </w:p>
    <w:p>
      <w:pPr>
        <w:pStyle w:val="BodyText"/>
      </w:pPr>
      <w:r>
        <w:t xml:space="preserve">There are three components that are of interest from the perspective of the service design:</w:t>
      </w:r>
    </w:p>
    <w:p>
      <w:pPr>
        <w:pStyle w:val="Compact"/>
        <w:numPr>
          <w:ilvl w:val="0"/>
          <w:numId w:val="1003"/>
        </w:numPr>
      </w:pPr>
      <w:r>
        <w:t xml:space="preserve">The data provider’s service has a SECOM-component which supports the SECOM REST APIs defined in the table above. All other components of the service are left to the decisions of the implementing party.</w:t>
      </w:r>
    </w:p>
    <w:p>
      <w:pPr>
        <w:pStyle w:val="Compact"/>
        <w:numPr>
          <w:ilvl w:val="0"/>
          <w:numId w:val="1003"/>
        </w:numPr>
      </w:pPr>
      <w:r>
        <w:t xml:space="preserve">The data consumer client has a SECOM-component which will accepts the incoming connections from the service and store all messages until delivered to the vessel. This interface is typically on a shoreside server as it must be always available and at a static address.</w:t>
      </w:r>
    </w:p>
    <w:p>
      <w:pPr>
        <w:pStyle w:val="Compact"/>
        <w:numPr>
          <w:ilvl w:val="0"/>
          <w:numId w:val="1003"/>
        </w:numPr>
      </w:pPr>
      <w:r>
        <w:t xml:space="preserve">The data consumer client also support a SECOM client which allows it to make direct SECOM calls to the service without having to proxy all calls via the SECOM-component on shore.</w:t>
      </w:r>
    </w:p>
    <w:p>
      <w:pPr>
        <w:pStyle w:val="FirstParagraph"/>
      </w:pPr>
      <w:r>
        <w:t xml:space="preserve">In this service design we will not define the communication between the data provider and the AtoN information SECOM service or between the ship and the ship’s shoreside SECOM-component. These are specific for each implementation and depend on the general system architecture and implementation decisions.</w:t>
      </w:r>
    </w:p>
    <w:bookmarkEnd w:id="82"/>
    <w:bookmarkStart w:id="83" w:name="sec:service_overview_discovery"/>
    <w:p>
      <w:pPr>
        <w:pStyle w:val="Heading2"/>
      </w:pPr>
      <w:r>
        <w:t xml:space="preserve">Service Discovery</w:t>
      </w:r>
    </w:p>
    <w:p>
      <w:pPr>
        <w:pStyle w:val="FirstParagraph"/>
      </w:pPr>
      <w:r>
        <w:t xml:space="preserve">Services implemented according to this design must submit their instance description to a valid service registry that follows the IALA G1129 Maritime Service Registry (MSR)</w:t>
      </w:r>
      <w:r>
        <w:t xml:space="preserve"> </w:t>
      </w:r>
      <w:r>
        <w:t xml:space="preserve">[7]</w:t>
      </w:r>
      <w:r>
        <w:t xml:space="preserve"> </w:t>
      </w:r>
      <w:r>
        <w:t xml:space="preserve">technical specification.</w:t>
      </w:r>
    </w:p>
    <w:p>
      <w:pPr>
        <w:pStyle w:val="BodyText"/>
      </w:pPr>
      <w:r>
        <w:t xml:space="preserve">An XML template for the instance description is provided as an annex to this design ANNEX B Section 12.</w:t>
      </w:r>
    </w:p>
    <w:p>
      <w:r>
        <w:br w:type="page"/>
      </w:r>
    </w:p>
    <w:bookmarkEnd w:id="83"/>
    <w:bookmarkEnd w:id="84"/>
    <w:bookmarkStart w:id="90" w:name="sec:service_data_model"/>
    <w:p>
      <w:pPr>
        <w:pStyle w:val="Heading1"/>
      </w:pPr>
      <w:r>
        <w:t xml:space="preserve">Service Data Model</w:t>
      </w:r>
    </w:p>
    <w:p>
      <w:pPr>
        <w:pStyle w:val="FirstParagraph"/>
      </w:pPr>
      <w:r>
        <w:t xml:space="preserve">This section describes the logical data structures to be exchanged between providers and consumers of the service. The service data model is bound by the current definition of the IHO S-125. For complete and updated documentation refer to the latest S-125 Product Specification which can be found at:</w:t>
      </w:r>
    </w:p>
    <w:p>
      <w:pPr>
        <w:pStyle w:val="SourceCode"/>
      </w:pPr>
      <w:r>
        <w:rPr>
          <w:rStyle w:val="VerbatimChar"/>
        </w:rPr>
        <w:t xml:space="preserve">https://iho.int/en/nipwg-product-specifications.</w:t>
      </w:r>
    </w:p>
    <w:p>
      <w:pPr>
        <w:pStyle w:val="FirstParagraph"/>
      </w:pPr>
      <w:r>
        <w:t xml:space="preserve">Included in the service data model is a full description followed by specific extracts for;</w:t>
      </w:r>
    </w:p>
    <w:p>
      <w:pPr>
        <w:pStyle w:val="Compact"/>
        <w:numPr>
          <w:ilvl w:val="0"/>
          <w:numId w:val="1004"/>
        </w:numPr>
      </w:pPr>
      <w:r>
        <w:t xml:space="preserve">AtoN Information Features and Information types</w:t>
      </w:r>
    </w:p>
    <w:p>
      <w:pPr>
        <w:pStyle w:val="Compact"/>
        <w:numPr>
          <w:ilvl w:val="0"/>
          <w:numId w:val="1004"/>
        </w:numPr>
      </w:pPr>
      <w:r>
        <w:t xml:space="preserve">Enumerations</w:t>
      </w:r>
    </w:p>
    <w:p>
      <w:pPr>
        <w:pStyle w:val="Compact"/>
        <w:numPr>
          <w:ilvl w:val="0"/>
          <w:numId w:val="1004"/>
        </w:numPr>
      </w:pPr>
      <w:r>
        <w:t xml:space="preserve">Complex Attributes</w:t>
      </w:r>
    </w:p>
    <w:p>
      <w:pPr>
        <w:pStyle w:val="FirstParagraph"/>
      </w:pPr>
      <w:r>
        <w:t xml:space="preserve">Note that the S-100 specification</w:t>
      </w:r>
      <w:r>
        <w:t xml:space="preserve"> </w:t>
      </w:r>
      <w:r>
        <w:t xml:space="preserve">[8]</w:t>
      </w:r>
      <w:r>
        <w:t xml:space="preserve"> </w:t>
      </w:r>
      <w:r>
        <w:t xml:space="preserve">describes in Appendix 9-B how S-100 based data models shall be formulated in XML schema format.</w:t>
      </w:r>
    </w:p>
    <w:p>
      <w:pPr>
        <w:pStyle w:val="BodyText"/>
      </w:pPr>
      <w:r>
        <w:t xml:space="preserve">Since the main purpose of the discussed service is to provide AtoN information to ECDIS, the S-125 information should be packaged as S-100 datasets, alongside any necessary metadata and other support information. The S-100 data model specification</w:t>
      </w:r>
      <w:r>
        <w:t xml:space="preserve"> </w:t>
      </w:r>
      <w:r>
        <w:t xml:space="preserve">[8]</w:t>
      </w:r>
      <w:r>
        <w:t xml:space="preserve"> </w:t>
      </w:r>
      <w:r>
        <w:t xml:space="preserve">in Appendix 4aS-100 Part 17, introduces the Exchange Set data structure, precisely for supporting this functionality. To indicate that S-125 datasets are coupled with additional service metadata, we refer to the type S100ExchangeSet (see Figure 1).</w:t>
      </w:r>
    </w:p>
    <w:bookmarkStart w:id="88" w:name="fig:s125_with_metadata"/>
    <w:p>
      <w:pPr>
        <w:pStyle w:val="CaptionedFigure"/>
      </w:pPr>
      <w:r>
        <w:drawing>
          <wp:inline>
            <wp:extent cx="4210050" cy="1666875"/>
            <wp:effectExtent b="0" l="0" r="0" t="0"/>
            <wp:docPr descr="S-125 dataset coupled with service metadata in an S-100 Exchange Set." title="" id="86" name="Picture"/>
            <a:graphic>
              <a:graphicData uri="http://schemas.openxmlformats.org/drawingml/2006/picture">
                <pic:pic>
                  <pic:nvPicPr>
                    <pic:cNvPr descr="source/guideline/../../resources/S125WithMetadata.png" id="87" name="Picture"/>
                    <pic:cNvPicPr>
                      <a:picLocks noChangeArrowheads="1" noChangeAspect="1"/>
                    </pic:cNvPicPr>
                  </pic:nvPicPr>
                  <pic:blipFill>
                    <a:blip r:embed="rId85"/>
                    <a:stretch>
                      <a:fillRect/>
                    </a:stretch>
                  </pic:blipFill>
                  <pic:spPr bwMode="auto">
                    <a:xfrm>
                      <a:off x="0" y="0"/>
                      <a:ext cx="4210050" cy="1666875"/>
                    </a:xfrm>
                    <a:prstGeom prst="rect">
                      <a:avLst/>
                    </a:prstGeom>
                    <a:noFill/>
                    <a:ln w="9525">
                      <a:noFill/>
                      <a:headEnd/>
                      <a:tailEnd/>
                    </a:ln>
                  </pic:spPr>
                </pic:pic>
              </a:graphicData>
            </a:graphic>
          </wp:inline>
        </w:drawing>
      </w:r>
    </w:p>
    <w:p>
      <w:pPr>
        <w:pStyle w:val="ImageCaption"/>
      </w:pPr>
      <w:r>
        <w:t xml:space="preserve">S-125 dataset coupled with service metadata in an S-100 Exchange Set.</w:t>
      </w:r>
    </w:p>
    <w:bookmarkEnd w:id="88"/>
    <w:p>
      <w:pPr>
        <w:pStyle w:val="BodyText"/>
      </w:pPr>
      <w:r>
        <w:t xml:space="preserve">All AtoN information that is sent for use and display on an Electronic Chart Display and Information System (ECDIS) should always be packaged using an S-100 Exchange Set structure. All other cases, including third-party Electronic Chart Systems (ECS), may make use of the plain S-100 Dataset packaging option.</w:t>
      </w:r>
    </w:p>
    <w:bookmarkStart w:id="89" w:name="service-internal-data-model"/>
    <w:p>
      <w:pPr>
        <w:pStyle w:val="Heading2"/>
      </w:pPr>
      <w:r>
        <w:t xml:space="preserve">Service Internal Data Model</w:t>
      </w:r>
    </w:p>
    <w:p>
      <w:pPr>
        <w:pStyle w:val="FirstParagraph"/>
      </w:pPr>
      <w:r>
        <w:t xml:space="preserve">As the S-125 data model, used to represent the transmitted data, is developed independently from this service specification, the internal data model of the service should be adequate to generate the required S-125 datasets. In addition, a way to store service metadata that are not directly related to the data model (internal service identifies, signatures, etc.) is required. For further information, refer to IALA Guideline 1157. However, these metadata are mostly implementation specific and therefore are not discussed in this service specification. Examples on how to implement this functionality can also be found in the IMO’s S-100 data model specification</w:t>
      </w:r>
      <w:r>
        <w:t xml:space="preserve"> </w:t>
      </w:r>
      <w:r>
        <w:t xml:space="preserve">[8]</w:t>
      </w:r>
      <w:r>
        <w:t xml:space="preserve">, as well as the SECOM standard</w:t>
      </w:r>
      <w:r>
        <w:t xml:space="preserve"> </w:t>
      </w:r>
      <w:r>
        <w:t xml:space="preserve">[2]</w:t>
      </w:r>
      <w:r>
        <w:t xml:space="preserve">.</w:t>
      </w:r>
    </w:p>
    <w:p>
      <w:r>
        <w:br w:type="page"/>
      </w:r>
    </w:p>
    <w:bookmarkEnd w:id="89"/>
    <w:bookmarkEnd w:id="90"/>
    <w:bookmarkStart w:id="140" w:name="sec:interface-behaviour"/>
    <w:p>
      <w:pPr>
        <w:pStyle w:val="Heading1"/>
      </w:pPr>
      <w:r>
        <w:t xml:space="preserve">Service Interface Behaviour</w:t>
      </w:r>
    </w:p>
    <w:p>
      <w:pPr>
        <w:pStyle w:val="FirstParagraph"/>
      </w:pPr>
      <w:r>
        <w:t xml:space="preserve">As defined by SECOM, all communication between the components of the service that are in the scope of this design document is achieved via REST calls.</w:t>
      </w:r>
    </w:p>
    <w:p>
      <w:pPr>
        <w:pStyle w:val="BodyText"/>
      </w:pPr>
      <w:r>
        <w:t xml:space="preserve">Additional information on the interfaces and parameters is available in the attached OpenAPI template of service in the Annex of Section 11.</w:t>
      </w:r>
    </w:p>
    <w:bookmarkStart w:id="93" w:name="sec:interface_behaviour_common"/>
    <w:p>
      <w:pPr>
        <w:pStyle w:val="Heading2"/>
      </w:pPr>
      <w:r>
        <w:t xml:space="preserve">Common</w:t>
      </w:r>
    </w:p>
    <w:p>
      <w:pPr>
        <w:pStyle w:val="FirstParagraph"/>
      </w:pPr>
      <w:r>
        <w:t xml:space="preserve">The definitions of the service interfaces in this section, assume the following actors:</w:t>
      </w:r>
    </w:p>
    <w:p>
      <w:pPr>
        <w:pStyle w:val="Compact"/>
        <w:numPr>
          <w:ilvl w:val="0"/>
          <w:numId w:val="1005"/>
        </w:numPr>
      </w:pPr>
      <w:r>
        <w:t xml:space="preserve">An AtoN information provision service, identified as the</w:t>
      </w:r>
      <w:r>
        <w:t xml:space="preserve"> </w:t>
      </w:r>
      <w:r>
        <w:rPr>
          <w:i/>
          <w:iCs/>
        </w:rPr>
        <w:t xml:space="preserve">Data Provider/Server</w:t>
      </w:r>
      <w:r>
        <w:t xml:space="preserve">.</w:t>
      </w:r>
    </w:p>
    <w:p>
      <w:pPr>
        <w:pStyle w:val="Compact"/>
        <w:numPr>
          <w:ilvl w:val="0"/>
          <w:numId w:val="1005"/>
        </w:numPr>
      </w:pPr>
      <w:r>
        <w:t xml:space="preserve">A digital communication device onboard the ship (interconnected with the ship’s ECDIS), identified as the</w:t>
      </w:r>
      <w:r>
        <w:t xml:space="preserve"> </w:t>
      </w:r>
      <w:r>
        <w:rPr>
          <w:i/>
          <w:iCs/>
        </w:rPr>
        <w:t xml:space="preserve">Data Receiver/Consumer</w:t>
      </w:r>
      <w:r>
        <w:t xml:space="preserve">.</w:t>
      </w:r>
    </w:p>
    <w:p>
      <w:pPr>
        <w:pStyle w:val="FirstParagraph"/>
      </w:pPr>
      <w:r>
        <w:t xml:space="preserve">All parameters that are not set, should be omitted or can passed with a null value.</w:t>
      </w:r>
    </w:p>
    <w:bookmarkStart w:id="91" w:name="sec:interface_behaviour_common_params"/>
    <w:p>
      <w:pPr>
        <w:pStyle w:val="Heading3"/>
      </w:pPr>
      <w:r>
        <w:t xml:space="preserve">Common parameter values</w:t>
      </w:r>
    </w:p>
    <w:p>
      <w:pPr>
        <w:pStyle w:val="FirstParagraph"/>
      </w:pPr>
      <w:r>
        <w:t xml:space="preserve">For all interfaces, the following parameter values must be used when applicable:</w:t>
      </w:r>
    </w:p>
    <w:p>
      <w:pPr>
        <w:pStyle w:val="Compact"/>
        <w:numPr>
          <w:ilvl w:val="0"/>
          <w:numId w:val="1006"/>
        </w:numPr>
      </w:pPr>
      <w:r>
        <w:rPr>
          <w:b/>
          <w:bCs/>
          <w:i/>
          <w:iCs/>
        </w:rPr>
        <w:t xml:space="preserve">containerType</w:t>
      </w:r>
      <w:r>
        <w:t xml:space="preserve"> </w:t>
      </w:r>
      <w:r>
        <w:t xml:space="preserve">- should match the container type used to package the AtoN information (i.e. </w:t>
      </w:r>
      <w:r>
        <w:t xml:space="preserve">“0”</w:t>
      </w:r>
      <w:r>
        <w:t xml:space="preserve"> </w:t>
      </w:r>
      <w:r>
        <w:t xml:space="preserve">for S-125 datasets and</w:t>
      </w:r>
      <w:r>
        <w:t xml:space="preserve"> </w:t>
      </w:r>
      <w:r>
        <w:t xml:space="preserve">“1”</w:t>
      </w:r>
      <w:r>
        <w:t xml:space="preserve"> </w:t>
      </w:r>
      <w:r>
        <w:t xml:space="preserve">for S-100 Exchange-Sets).</w:t>
      </w:r>
    </w:p>
    <w:p>
      <w:pPr>
        <w:pStyle w:val="Compact"/>
        <w:numPr>
          <w:ilvl w:val="0"/>
          <w:numId w:val="1006"/>
        </w:numPr>
      </w:pPr>
      <w:r>
        <w:rPr>
          <w:b/>
          <w:bCs/>
          <w:i/>
          <w:iCs/>
        </w:rPr>
        <w:t xml:space="preserve">dataProductType</w:t>
      </w:r>
      <w:r>
        <w:t xml:space="preserve"> </w:t>
      </w:r>
      <w:r>
        <w:t xml:space="preserve">- must always be</w:t>
      </w:r>
      <w:r>
        <w:t xml:space="preserve"> </w:t>
      </w:r>
      <w:r>
        <w:t xml:space="preserve">“S-125”</w:t>
      </w:r>
      <w:r>
        <w:t xml:space="preserve">.</w:t>
      </w:r>
    </w:p>
    <w:p>
      <w:pPr>
        <w:pStyle w:val="Compact"/>
        <w:numPr>
          <w:ilvl w:val="0"/>
          <w:numId w:val="1006"/>
        </w:numPr>
      </w:pPr>
      <w:r>
        <w:rPr>
          <w:b/>
          <w:bCs/>
          <w:i/>
          <w:iCs/>
        </w:rPr>
        <w:t xml:space="preserve">dataProductVersion</w:t>
      </w:r>
      <w:r>
        <w:t xml:space="preserve"> </w:t>
      </w:r>
      <w:r>
        <w:t xml:space="preserve">-must be the S-125 version expected.</w:t>
      </w:r>
    </w:p>
    <w:p>
      <w:pPr>
        <w:pStyle w:val="Compact"/>
        <w:numPr>
          <w:ilvl w:val="0"/>
          <w:numId w:val="1006"/>
        </w:numPr>
      </w:pPr>
      <w:r>
        <w:rPr>
          <w:b/>
          <w:bCs/>
          <w:i/>
          <w:iCs/>
        </w:rPr>
        <w:t xml:space="preserve">exchangeMetadata</w:t>
      </w:r>
      <w:r>
        <w:t xml:space="preserve"> </w:t>
      </w:r>
      <w:r>
        <w:t xml:space="preserve">- must contain all field mandated by SECOM for the secure exchange of AtoN information.</w:t>
      </w:r>
    </w:p>
    <w:p>
      <w:pPr>
        <w:pStyle w:val="Compact"/>
        <w:numPr>
          <w:ilvl w:val="0"/>
          <w:numId w:val="1006"/>
        </w:numPr>
      </w:pPr>
      <w:r>
        <w:rPr>
          <w:b/>
          <w:bCs/>
          <w:i/>
          <w:iCs/>
        </w:rPr>
        <w:t xml:space="preserve">protectionScheme</w:t>
      </w:r>
      <w:r>
        <w:t xml:space="preserve"> </w:t>
      </w:r>
      <w:r>
        <w:t xml:space="preserve">- must always be</w:t>
      </w:r>
      <w:r>
        <w:t xml:space="preserve"> </w:t>
      </w:r>
      <w:r>
        <w:t xml:space="preserve">“SECOM”</w:t>
      </w:r>
      <w:r>
        <w:t xml:space="preserve">.</w:t>
      </w:r>
    </w:p>
    <w:p>
      <w:pPr>
        <w:pStyle w:val="Compact"/>
        <w:numPr>
          <w:ilvl w:val="0"/>
          <w:numId w:val="1006"/>
        </w:numPr>
      </w:pPr>
      <w:r>
        <w:rPr>
          <w:b/>
          <w:bCs/>
          <w:i/>
          <w:iCs/>
        </w:rPr>
        <w:t xml:space="preserve">transactionIdentifier</w:t>
      </w:r>
      <w:r>
        <w:t xml:space="preserve"> </w:t>
      </w:r>
      <w:r>
        <w:t xml:space="preserve">(transactionId) - must be a UUID. It must be unique for each transaction.</w:t>
      </w:r>
    </w:p>
    <w:p>
      <w:pPr>
        <w:pStyle w:val="FirstParagraph"/>
      </w:pPr>
      <w:r>
        <w:t xml:space="preserve">For SECOM v2.0 services only:</w:t>
      </w:r>
    </w:p>
    <w:p>
      <w:pPr>
        <w:pStyle w:val="Compact"/>
        <w:numPr>
          <w:ilvl w:val="0"/>
          <w:numId w:val="1007"/>
        </w:numPr>
      </w:pPr>
      <w:r>
        <w:rPr>
          <w:b/>
          <w:bCs/>
          <w:i/>
          <w:iCs/>
        </w:rPr>
        <w:t xml:space="preserve">callbackEndpoint</w:t>
      </w:r>
      <w:r>
        <w:t xml:space="preserve"> </w:t>
      </w:r>
      <w:r>
        <w:t xml:space="preserve">- The endpoint of the consumer’s SECOM v2.0 service that accepts the interface calls. The endpoint must be defined in a way that appending the SECOM standard REST endpoints (e.g. /v2/subscription) produces a valid URL. If the callbackEndpoint is not a part of the subscription, the service must search for the vessel’s SECOM service from a service registry.</w:t>
      </w:r>
    </w:p>
    <w:bookmarkEnd w:id="91"/>
    <w:bookmarkStart w:id="92" w:name="Xa814fb9fa324586edc9bb593c6408f977374b4e"/>
    <w:p>
      <w:pPr>
        <w:pStyle w:val="Heading3"/>
      </w:pPr>
      <w:r>
        <w:t xml:space="preserve">Error codes</w:t>
      </w:r>
    </w:p>
    <w:p>
      <w:pPr>
        <w:pStyle w:val="FirstParagraph"/>
      </w:pPr>
      <w:r>
        <w:t xml:space="preserve">If incoming route does not pass business rule validation, the SECOM_ResponseCode must be 0.</w:t>
      </w:r>
    </w:p>
    <w:p>
      <w:pPr>
        <w:pStyle w:val="BodyText"/>
      </w:pPr>
      <w:r>
        <w:t xml:space="preserve">If the signature verification fails, the SECOM_ResponseCode must be 1.</w:t>
      </w:r>
    </w:p>
    <w:p>
      <w:pPr>
        <w:pStyle w:val="BodyText"/>
      </w:pPr>
      <w:r>
        <w:t xml:space="preserve">If certificate provided is invalid, the SECOM_ResponseCode must be 2.</w:t>
      </w:r>
    </w:p>
    <w:p>
      <w:pPr>
        <w:pStyle w:val="BodyText"/>
      </w:pPr>
      <w:r>
        <w:t xml:space="preserve">If incoming route does not pass schema validation, the SECOM_ResponseCode must be 3.</w:t>
      </w:r>
    </w:p>
    <w:p>
      <w:pPr>
        <w:pStyle w:val="BodyText"/>
      </w:pPr>
      <w:r>
        <w:t xml:space="preserve">In all of these cases, the response returned to the client must have the HTTP status 400.</w:t>
      </w:r>
    </w:p>
    <w:bookmarkEnd w:id="92"/>
    <w:bookmarkEnd w:id="93"/>
    <w:bookmarkStart w:id="139" w:name="X84f17af87efd7d2c298ff78bf982867e7a5657b"/>
    <w:p>
      <w:pPr>
        <w:pStyle w:val="Heading2"/>
      </w:pPr>
      <w:r>
        <w:t xml:space="preserve">Applicable SECOM Interfaces</w:t>
      </w:r>
    </w:p>
    <w:p>
      <w:pPr>
        <w:pStyle w:val="FirstParagraph"/>
      </w:pPr>
      <w:r>
        <w:t xml:space="preserve">All interface descriptions below only have the information necessary for the business logic of this service. All definitions and descriptions that are directly derived from the SECOM standard are left to be read from the SECOM standard and the API documentation template in the Annex of Section 11.</w:t>
      </w:r>
    </w:p>
    <w:p>
      <w:pPr>
        <w:pStyle w:val="BodyText"/>
      </w:pPr>
      <w:r>
        <w:t xml:space="preserve">All SECOM communication is done via REST APIs with JSON as the data format for the SECOM data and XML for the S-125 data.</w:t>
      </w:r>
    </w:p>
    <w:p>
      <w:pPr>
        <w:pStyle w:val="BodyText"/>
      </w:pPr>
      <w:r>
        <w:t xml:space="preserve">For all operations only those parameters that have predefined values or their usage needs to be explained are described below. Otherwise refer to SECOM</w:t>
      </w:r>
      <w:r>
        <w:t xml:space="preserve"> </w:t>
      </w:r>
      <w:r>
        <w:t xml:space="preserve">[2]</w:t>
      </w:r>
      <w:r>
        <w:t xml:space="preserve">.</w:t>
      </w:r>
    </w:p>
    <w:p>
      <w:pPr>
        <w:pStyle w:val="BodyText"/>
      </w:pPr>
      <w:r>
        <w:t xml:space="preserve">The</w:t>
      </w:r>
      <w:r>
        <w:t xml:space="preserve"> </w:t>
      </w:r>
      <w:r>
        <w:rPr>
          <w:b/>
          <w:bCs/>
          <w:i/>
          <w:iCs/>
        </w:rPr>
        <w:t xml:space="preserve">Capability</w:t>
      </w:r>
      <w:r>
        <w:t xml:space="preserve">,</w:t>
      </w:r>
      <w:r>
        <w:t xml:space="preserve"> </w:t>
      </w:r>
      <w:r>
        <w:rPr>
          <w:b/>
          <w:bCs/>
          <w:i/>
          <w:iCs/>
        </w:rPr>
        <w:t xml:space="preserve">Ping</w:t>
      </w:r>
      <w:r>
        <w:t xml:space="preserve">,</w:t>
      </w:r>
      <w:r>
        <w:t xml:space="preserve"> </w:t>
      </w:r>
      <w:r>
        <w:rPr>
          <w:b/>
          <w:bCs/>
          <w:i/>
          <w:iCs/>
        </w:rPr>
        <w:t xml:space="preserve">EncryptionKey</w:t>
      </w:r>
      <w:r>
        <w:t xml:space="preserve"> </w:t>
      </w:r>
      <w:r>
        <w:t xml:space="preserve">and</w:t>
      </w:r>
      <w:r>
        <w:t xml:space="preserve"> </w:t>
      </w:r>
      <w:r>
        <w:rPr>
          <w:b/>
          <w:bCs/>
          <w:i/>
          <w:iCs/>
        </w:rPr>
        <w:t xml:space="preserve">PublicKey</w:t>
      </w:r>
      <w:r>
        <w:t xml:space="preserve"> </w:t>
      </w:r>
      <w:r>
        <w:t xml:space="preserve">interfaces are not discussed in this design as they follow the requirements defined in SECOM and further elaboration is necessary.</w:t>
      </w:r>
    </w:p>
    <w:p>
      <w:pPr>
        <w:pStyle w:val="BodyText"/>
      </w:pPr>
      <w:r>
        <w:t xml:space="preserve">As per the SECOM standard, the provider must sign the data response using a valid certificate generated by the employed SECOM PKI. The signature, the public certificate, the root certificate and any intermediate certificates of the PKI, must all be present in the response.</w:t>
      </w:r>
    </w:p>
    <w:bookmarkStart w:id="98" w:name="sec:interface_behaviour_operation_get"/>
    <w:p>
      <w:pPr>
        <w:pStyle w:val="Heading3"/>
      </w:pPr>
      <w:r>
        <w:t xml:space="preserve">Operation Get</w:t>
      </w:r>
    </w:p>
    <w:p>
      <w:pPr>
        <w:pStyle w:val="FirstParagraph"/>
      </w:pPr>
      <w:r>
        <w:t xml:space="preserve">The</w:t>
      </w:r>
      <w:r>
        <w:t xml:space="preserve"> </w:t>
      </w:r>
      <w:r>
        <w:rPr>
          <w:i/>
          <w:iCs/>
        </w:rPr>
        <w:t xml:space="preserve">Get</w:t>
      </w:r>
      <w:r>
        <w:t xml:space="preserve"> </w:t>
      </w:r>
      <w:r>
        <w:t xml:space="preserve">operation is used by data consumers for retrieving AtoN information directly from a data provider, i.e. S-125 datasets that are applicable for a specified geographical area. The consumer can filter the requested S-125 dataset results through parameters like the dataset identifier, validity period and/or geometry etc.</w:t>
      </w:r>
    </w:p>
    <w:p>
      <w:pPr>
        <w:pStyle w:val="BodyText"/>
      </w:pPr>
      <w:r>
        <w:t xml:space="preserve">The Get operation interface must be implemented only by the data provider.</w:t>
      </w:r>
    </w:p>
    <w:p>
      <w:pPr>
        <w:pStyle w:val="BodyText"/>
      </w:pPr>
      <w:r>
        <w:t xml:space="preserve">Use of the interface is according to the SECOM specification.</w:t>
      </w:r>
    </w:p>
    <w:p>
      <w:pPr>
        <w:pStyle w:val="Compact"/>
        <w:numPr>
          <w:ilvl w:val="0"/>
          <w:numId w:val="1008"/>
        </w:numPr>
      </w:pPr>
      <w:r>
        <w:t xml:space="preserve">Name: Get Interface</w:t>
      </w:r>
    </w:p>
    <w:p>
      <w:pPr>
        <w:pStyle w:val="Compact"/>
        <w:numPr>
          <w:ilvl w:val="0"/>
          <w:numId w:val="1008"/>
        </w:numPr>
      </w:pPr>
      <w:r>
        <w:t xml:space="preserve">Sub-path: /v2/object</w:t>
      </w:r>
    </w:p>
    <w:p>
      <w:pPr>
        <w:pStyle w:val="Compact"/>
        <w:numPr>
          <w:ilvl w:val="0"/>
          <w:numId w:val="1008"/>
        </w:numPr>
      </w:pPr>
      <w:r>
        <w:t xml:space="preserve">HTTP-Method: GET</w:t>
      </w:r>
    </w:p>
    <w:p>
      <w:pPr>
        <w:pStyle w:val="Compact"/>
        <w:numPr>
          <w:ilvl w:val="0"/>
          <w:numId w:val="1008"/>
        </w:numPr>
      </w:pPr>
      <w:r>
        <w:t xml:space="preserve">Cookies: Session-Cookies (optional)</w:t>
      </w:r>
    </w:p>
    <w:p>
      <w:pPr>
        <w:pStyle w:val="Compact"/>
        <w:numPr>
          <w:ilvl w:val="0"/>
          <w:numId w:val="1008"/>
        </w:numPr>
      </w:pPr>
      <w:r>
        <w:t xml:space="preserve">Content-Type: application/json</w:t>
      </w:r>
    </w:p>
    <w:bookmarkStart w:id="94" w:name="Xc98eb625a6afe1da370f78e4c04f2e5c345829f"/>
    <w:p>
      <w:pPr>
        <w:pStyle w:val="Heading4"/>
      </w:pPr>
      <w:r>
        <w:t xml:space="preserve">Operation Functionality</w:t>
      </w:r>
    </w:p>
    <w:p>
      <w:pPr>
        <w:pStyle w:val="FirstParagraph"/>
      </w:pPr>
      <w:r>
        <w:t xml:space="preserve">All instances of this service design must provide access to all S-125 datasets made available for their advertised coverage area. Each individual S-125 dataset should have a fixed, globally unique, MRN identifier associated with it. In addition, each update on any of the datasets must be identified using a different, locally unique, UUID.</w:t>
      </w:r>
    </w:p>
    <w:p>
      <w:pPr>
        <w:pStyle w:val="BodyText"/>
      </w:pPr>
      <w:r>
        <w:t xml:space="preserve">The operation supports multiple filter parameters, presented in more detail in Table 2. To ensure the authenticity of the operation request, the filter parameters are included within a signed SECOM envelope structure. Data provider instances are required to support all referenced filter parameters.</w:t>
      </w:r>
    </w:p>
    <w:p>
      <w:pPr>
        <w:pStyle w:val="BodyText"/>
      </w:pPr>
      <w:r>
        <w:t xml:space="preserve">If multiple filter parameters are provided, only results that match all requested filters, combined with logical AND, must be returned. If no parameters are given, the response is either an empty list or all available datasets for which has been given access to by the data provider. A data provider must offer the appropriate encoding of AtoN information in accordance with the S-125 standard.</w:t>
      </w:r>
    </w:p>
    <w:p>
      <w:pPr>
        <w:pStyle w:val="BodyText"/>
      </w:pPr>
      <w:r>
        <w:t xml:space="preserve">Depending on the combination of the</w:t>
      </w:r>
      <w:r>
        <w:t xml:space="preserve"> </w:t>
      </w:r>
      <w:r>
        <w:rPr>
          <w:b/>
          <w:bCs/>
        </w:rPr>
        <w:t xml:space="preserve">containterType</w:t>
      </w:r>
      <w:r>
        <w:t xml:space="preserve"> </w:t>
      </w:r>
      <w:r>
        <w:t xml:space="preserve">and</w:t>
      </w:r>
      <w:r>
        <w:t xml:space="preserve"> </w:t>
      </w:r>
      <w:r>
        <w:rPr>
          <w:b/>
          <w:bCs/>
        </w:rPr>
        <w:t xml:space="preserve">validFrom</w:t>
      </w:r>
      <w:r>
        <w:t xml:space="preserve">/</w:t>
      </w:r>
      <w:r>
        <w:rPr>
          <w:b/>
          <w:bCs/>
        </w:rPr>
        <w:t xml:space="preserve">validTo</w:t>
      </w:r>
      <w:r>
        <w:t xml:space="preserve"> </w:t>
      </w:r>
      <w:r>
        <w:t xml:space="preserve">input parameter values, the service must respond differently:</w:t>
      </w:r>
    </w:p>
    <w:p>
      <w:pPr>
        <w:pStyle w:val="Compact"/>
        <w:numPr>
          <w:ilvl w:val="0"/>
          <w:numId w:val="1009"/>
        </w:numPr>
      </w:pPr>
      <w:r>
        <w:t xml:space="preserve">For the</w:t>
      </w:r>
      <w:r>
        <w:t xml:space="preserve"> </w:t>
      </w:r>
      <w:r>
        <w:rPr>
          <w:b/>
          <w:bCs/>
        </w:rPr>
        <w:t xml:space="preserve">containterType</w:t>
      </w:r>
      <w:r>
        <w:t xml:space="preserve"> </w:t>
      </w:r>
      <w:r>
        <w:t xml:space="preserve">set to</w:t>
      </w:r>
      <w:r>
        <w:t xml:space="preserve"> </w:t>
      </w:r>
      <w:r>
        <w:rPr>
          <w:b/>
          <w:bCs/>
        </w:rPr>
        <w:t xml:space="preserve">0</w:t>
      </w:r>
      <w:r>
        <w:t xml:space="preserve"> </w:t>
      </w:r>
      <w:r>
        <w:t xml:space="preserve">(S-100 Dataset): the service must respond with the matching S-125 datasets containing all the latest information on the AtoNs included in them. The</w:t>
      </w:r>
      <w:r>
        <w:t xml:space="preserve"> </w:t>
      </w:r>
      <w:r>
        <w:rPr>
          <w:b/>
          <w:bCs/>
        </w:rPr>
        <w:t xml:space="preserve">validFrom</w:t>
      </w:r>
      <w:r>
        <w:t xml:space="preserve">/</w:t>
      </w:r>
      <w:r>
        <w:rPr>
          <w:b/>
          <w:bCs/>
        </w:rPr>
        <w:t xml:space="preserve">validTo</w:t>
      </w:r>
      <w:r>
        <w:t xml:space="preserve"> </w:t>
      </w:r>
      <w:r>
        <w:t xml:space="preserve">should not be taken into account, as the data provider must never return out-of-date information. If however, the specified</w:t>
      </w:r>
      <w:r>
        <w:t xml:space="preserve"> </w:t>
      </w:r>
      <w:r>
        <w:rPr>
          <w:b/>
          <w:bCs/>
        </w:rPr>
        <w:t xml:space="preserve">dataReference</w:t>
      </w:r>
      <w:r>
        <w:t xml:space="preserve"> </w:t>
      </w:r>
      <w:r>
        <w:t xml:space="preserve">UUIDs represent the past state of a valid S-125 dataset (with the same MRN),</w:t>
      </w:r>
      <w:r>
        <w:t xml:space="preserve"> </w:t>
      </w:r>
      <w:r>
        <w:rPr>
          <w:i/>
          <w:iCs/>
        </w:rPr>
        <w:t xml:space="preserve">which has not been cancelled yet</w:t>
      </w:r>
      <w:r>
        <w:t xml:space="preserve">, then the data provider must return that exact dataset, once again disregarding the</w:t>
      </w:r>
      <w:r>
        <w:t xml:space="preserve"> </w:t>
      </w:r>
      <w:r>
        <w:rPr>
          <w:b/>
          <w:bCs/>
        </w:rPr>
        <w:t xml:space="preserve">validFrom</w:t>
      </w:r>
      <w:r>
        <w:t xml:space="preserve">/</w:t>
      </w:r>
      <w:r>
        <w:rPr>
          <w:b/>
          <w:bCs/>
        </w:rPr>
        <w:t xml:space="preserve">validTo</w:t>
      </w:r>
      <w:r>
        <w:t xml:space="preserve"> </w:t>
      </w:r>
      <w:r>
        <w:t xml:space="preserve">parameters.</w:t>
      </w:r>
      <w:r>
        <w:t xml:space="preserve"> </w:t>
      </w:r>
      <w:r>
        <w:rPr>
          <w:i/>
          <w:iCs/>
        </w:rPr>
        <w:t xml:space="preserve">The service must never return S-125</w:t>
      </w:r>
      <w:r>
        <w:rPr>
          <w:i/>
          <w:iCs/>
        </w:rPr>
        <w:t xml:space="preserve"> </w:t>
      </w:r>
      <w:r>
        <w:rPr>
          <w:b/>
          <w:bCs/>
          <w:i/>
          <w:iCs/>
        </w:rPr>
        <w:t xml:space="preserve">delta</w:t>
      </w:r>
      <w:r>
        <w:rPr>
          <w:i/>
          <w:iCs/>
        </w:rPr>
        <w:t xml:space="preserve"> </w:t>
      </w:r>
      <w:r>
        <w:rPr>
          <w:i/>
          <w:iCs/>
        </w:rPr>
        <w:t xml:space="preserve">files if the containterType value is set to 0</w:t>
      </w:r>
      <w:r>
        <w:t xml:space="preserve">.</w:t>
      </w:r>
    </w:p>
    <w:p>
      <w:pPr>
        <w:pStyle w:val="Compact"/>
        <w:numPr>
          <w:ilvl w:val="0"/>
          <w:numId w:val="1009"/>
        </w:numPr>
      </w:pPr>
      <w:r>
        <w:t xml:space="preserve">For the</w:t>
      </w:r>
      <w:r>
        <w:t xml:space="preserve"> </w:t>
      </w:r>
      <w:r>
        <w:rPr>
          <w:b/>
          <w:bCs/>
        </w:rPr>
        <w:t xml:space="preserve">containterType</w:t>
      </w:r>
      <w:r>
        <w:t xml:space="preserve"> </w:t>
      </w:r>
      <w:r>
        <w:t xml:space="preserve">set to</w:t>
      </w:r>
      <w:r>
        <w:t xml:space="preserve"> </w:t>
      </w:r>
      <w:r>
        <w:rPr>
          <w:b/>
          <w:bCs/>
        </w:rPr>
        <w:t xml:space="preserve">1</w:t>
      </w:r>
      <w:r>
        <w:t xml:space="preserve"> </w:t>
      </w:r>
      <w:r>
        <w:t xml:space="preserve">(S-100 Exchange-Set): the service must return the dataset using the S-100 Exchange-Set structure. That involves the original content of the S-125 dataset (update 0), along with any incremental updates (for the same dataset MRN) in the form of S-100</w:t>
      </w:r>
      <w:r>
        <w:t xml:space="preserve"> </w:t>
      </w:r>
      <w:r>
        <w:rPr>
          <w:b/>
          <w:bCs/>
          <w:i/>
          <w:iCs/>
        </w:rPr>
        <w:t xml:space="preserve">delta</w:t>
      </w:r>
      <w:r>
        <w:t xml:space="preserve"> </w:t>
      </w:r>
      <w:r>
        <w:t xml:space="preserve">files. If the</w:t>
      </w:r>
      <w:r>
        <w:t xml:space="preserve"> </w:t>
      </w:r>
      <w:r>
        <w:rPr>
          <w:b/>
          <w:bCs/>
        </w:rPr>
        <w:t xml:space="preserve">validFrom</w:t>
      </w:r>
      <w:r>
        <w:t xml:space="preserve">/</w:t>
      </w:r>
      <w:r>
        <w:rPr>
          <w:b/>
          <w:bCs/>
        </w:rPr>
        <w:t xml:space="preserve">validTo</w:t>
      </w:r>
      <w:r>
        <w:t xml:space="preserve"> </w:t>
      </w:r>
      <w:r>
        <w:t xml:space="preserve">parameters are utilised, any of the original content of the S-125 dataset and delta files should only be included in the Exchange-Set, if they falls within the specified time interval.</w:t>
      </w:r>
    </w:p>
    <w:bookmarkEnd w:id="94"/>
    <w:bookmarkStart w:id="96" w:name="X3d592e52d6695a05b8c93fde5adb686042a4a8e"/>
    <w:p>
      <w:pPr>
        <w:pStyle w:val="Heading4"/>
      </w:pPr>
      <w:r>
        <w:t xml:space="preserve">Operation Parameters</w:t>
      </w:r>
    </w:p>
    <w:bookmarkStart w:id="95" w:name="tbl:get_operation_parameters"/>
    <w:p>
      <w:pPr>
        <w:pStyle w:val="TableCaption"/>
      </w:pPr>
      <w:r>
        <w:t xml:space="preserve">The Get Operation Parameters.</w:t>
      </w:r>
    </w:p>
    <w:tbl>
      <w:tblPr>
        <w:tblStyle w:val="Table"/>
        <w:tblW w:type="pct" w:w="5000"/>
        <w:tblLayout w:type="fixed"/>
        <w:tblLook w:firstRow="1" w:lastRow="0" w:firstColumn="0" w:lastColumn="0" w:noHBand="0" w:noVBand="0" w:val="0020"/>
        <w:tblCaption w:val="The Get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containerType</w:t>
            </w:r>
          </w:p>
        </w:tc>
        <w:tc>
          <w:tcPr/>
          <w:p>
            <w:pPr>
              <w:pStyle w:val="Compact"/>
            </w:pPr>
            <w:r>
              <w:t xml:space="preserve">Integer</w:t>
            </w:r>
          </w:p>
        </w:tc>
        <w:tc>
          <w:tcPr/>
          <w:p>
            <w:pPr>
              <w:pStyle w:val="Compact"/>
            </w:pPr>
            <w:r>
              <w:t xml:space="preserve">0..1</w:t>
            </w:r>
          </w:p>
        </w:tc>
        <w:tc>
          <w:tcPr/>
          <w:p>
            <w:pPr>
              <w:pStyle w:val="Compact"/>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Compact"/>
            </w:pPr>
            <w:r>
              <w:t xml:space="preserve">dataProductType</w:t>
            </w:r>
          </w:p>
        </w:tc>
        <w:tc>
          <w:tcPr/>
          <w:p>
            <w:pPr>
              <w:pStyle w:val="Compact"/>
            </w:pPr>
            <w:r>
              <w:t xml:space="preserve">String</w:t>
            </w:r>
          </w:p>
        </w:tc>
        <w:tc>
          <w:tcPr/>
          <w:p>
            <w:pPr>
              <w:pStyle w:val="Compact"/>
            </w:pPr>
            <w:r>
              <w:t xml:space="preserve">0..1</w:t>
            </w:r>
          </w:p>
        </w:tc>
        <w:tc>
          <w:tcPr/>
          <w:p>
            <w:pPr>
              <w:pStyle w:val="Compact"/>
            </w:pPr>
            <w:r>
              <w:t xml:space="preserve">Data product type as described in</w:t>
            </w:r>
            <w:r>
              <w:t xml:space="preserve"> </w:t>
            </w:r>
            <w:r>
              <w:t xml:space="preserve">[2]</w:t>
            </w:r>
            <w:r>
              <w:t xml:space="preserve">.</w:t>
            </w:r>
          </w:p>
        </w:tc>
      </w:tr>
      <w:tr>
        <w:tc>
          <w:tcPr/>
          <w:p>
            <w:pPr>
              <w:pStyle w:val="Compact"/>
            </w:pPr>
            <w:r>
              <w:t xml:space="preserve">productVersion</w:t>
            </w:r>
          </w:p>
        </w:tc>
        <w:tc>
          <w:tcPr/>
          <w:p>
            <w:pPr>
              <w:pStyle w:val="Compact"/>
            </w:pPr>
            <w:r>
              <w:t xml:space="preserve">String</w:t>
            </w:r>
          </w:p>
        </w:tc>
        <w:tc>
          <w:tcPr/>
          <w:p>
            <w:pPr>
              <w:pStyle w:val="Compact"/>
            </w:pPr>
            <w:r>
              <w:t xml:space="preserve">0..1</w:t>
            </w:r>
          </w:p>
        </w:tc>
        <w:tc>
          <w:tcPr/>
          <w:p>
            <w:pPr>
              <w:pStyle w:val="Compact"/>
            </w:pPr>
            <w:r>
              <w:t xml:space="preserve">S-100 based Product type version, e.g. 1.0.0.</w:t>
            </w:r>
          </w:p>
        </w:tc>
      </w:tr>
      <w:tr>
        <w:tc>
          <w:tcPr/>
          <w:p>
            <w:pPr>
              <w:pStyle w:val="Compact"/>
            </w:pPr>
            <w:r>
              <w:t xml:space="preserve">dataReference</w:t>
            </w:r>
          </w:p>
        </w:tc>
        <w:tc>
          <w:tcPr/>
          <w:p>
            <w:pPr>
              <w:pStyle w:val="Compact"/>
            </w:pPr>
            <w:r>
              <w:t xml:space="preserve">UUID</w:t>
            </w:r>
          </w:p>
        </w:tc>
        <w:tc>
          <w:tcPr/>
          <w:p>
            <w:pPr>
              <w:pStyle w:val="Compact"/>
            </w:pPr>
            <w:r>
              <w:t xml:space="preserve">0..1</w:t>
            </w:r>
          </w:p>
        </w:tc>
        <w:tc>
          <w:tcPr/>
          <w:p>
            <w:pPr>
              <w:pStyle w:val="Compact"/>
            </w:pPr>
            <w:r>
              <w:t xml:space="preserve">Dataset reference identifier to a specific S-125 dataset. The reference can be provided as search criteria. A list of references can be retrieved via Get Summary interface.</w:t>
            </w:r>
          </w:p>
        </w:tc>
      </w:tr>
      <w:tr>
        <w:tc>
          <w:tcPr/>
          <w:p>
            <w:pPr>
              <w:pStyle w:val="Compact"/>
            </w:pPr>
            <w:r>
              <w:t xml:space="preserve">geometry</w:t>
            </w:r>
          </w:p>
        </w:tc>
        <w:tc>
          <w:tcPr/>
          <w:p>
            <w:pPr>
              <w:pStyle w:val="Compact"/>
            </w:pPr>
            <w:r>
              <w:t xml:space="preserve">String (WKT)</w:t>
            </w:r>
          </w:p>
        </w:tc>
        <w:tc>
          <w:tcPr/>
          <w:p>
            <w:pPr>
              <w:pStyle w:val="Compact"/>
            </w:pPr>
            <w:r>
              <w:t xml:space="preserve">0..1</w:t>
            </w:r>
          </w:p>
        </w:tc>
        <w:tc>
          <w:tcPr/>
          <w:p>
            <w:pPr>
              <w:pStyle w:val="Compact"/>
            </w:pPr>
            <w:r>
              <w:t xml:space="preserve">Geometry condition for geo-located information objects in WKT format. This can be used to filter on geometric shapes (e.g., filter S-125 datasets by a bounding box).</w:t>
            </w:r>
          </w:p>
        </w:tc>
      </w:tr>
      <w:tr>
        <w:tc>
          <w:tcPr/>
          <w:p>
            <w:pPr>
              <w:pStyle w:val="Compact"/>
            </w:pPr>
            <w:r>
              <w:t xml:space="preserve">unlocode</w:t>
            </w:r>
          </w:p>
        </w:tc>
        <w:tc>
          <w:tcPr/>
          <w:p>
            <w:pPr>
              <w:pStyle w:val="Compact"/>
            </w:pPr>
            <w:r>
              <w:t xml:space="preserve">String</w:t>
            </w:r>
          </w:p>
        </w:tc>
        <w:tc>
          <w:tcPr/>
          <w:p>
            <w:pPr>
              <w:pStyle w:val="Compact"/>
            </w:pPr>
            <w:r>
              <w:t xml:space="preserve">0..1</w:t>
            </w:r>
          </w:p>
        </w:tc>
        <w:tc>
          <w:tcPr/>
          <w:p>
            <w:pPr>
              <w:pStyle w:val="Compact"/>
            </w:pPr>
            <w:r>
              <w:t xml:space="preserve">UN/LOCODE (United Nations Code for Trade and Transport Locations) of a defined object (e.g., “CN” for China).</w:t>
            </w:r>
          </w:p>
        </w:tc>
      </w:tr>
      <w:tr>
        <w:tc>
          <w:tcPr/>
          <w:p>
            <w:pPr>
              <w:pStyle w:val="Compact"/>
            </w:pPr>
            <w:r>
              <w:t xml:space="preserve">validFrom</w:t>
            </w:r>
          </w:p>
        </w:tc>
        <w:tc>
          <w:tcPr/>
          <w:p>
            <w:pPr>
              <w:pStyle w:val="Compact"/>
            </w:pPr>
            <w:r>
              <w:t xml:space="preserve">DateTime</w:t>
            </w:r>
          </w:p>
        </w:tc>
        <w:tc>
          <w:tcPr/>
          <w:p>
            <w:pPr>
              <w:pStyle w:val="Compact"/>
            </w:pPr>
            <w:r>
              <w:t xml:space="preserve">0..1</w:t>
            </w:r>
          </w:p>
        </w:tc>
        <w:tc>
          <w:tcPr/>
          <w:p>
            <w:pPr>
              <w:pStyle w:val="Compact"/>
            </w:pPr>
            <w:r>
              <w:t xml:space="preserve">Describes the start of the validity time for the requested data in ISO 8601 UTC formatted as yyyy-mm-dd hh:mm:ssZ.</w:t>
            </w:r>
          </w:p>
        </w:tc>
      </w:tr>
      <w:tr>
        <w:tc>
          <w:tcPr/>
          <w:p>
            <w:pPr>
              <w:pStyle w:val="Compact"/>
            </w:pPr>
            <w:r>
              <w:t xml:space="preserve">validTo</w:t>
            </w:r>
          </w:p>
        </w:tc>
        <w:tc>
          <w:tcPr/>
          <w:p>
            <w:pPr>
              <w:pStyle w:val="Compact"/>
            </w:pPr>
            <w:r>
              <w:t xml:space="preserve">DateTime</w:t>
            </w:r>
          </w:p>
        </w:tc>
        <w:tc>
          <w:tcPr/>
          <w:p>
            <w:pPr>
              <w:pStyle w:val="Compact"/>
            </w:pPr>
            <w:r>
              <w:t xml:space="preserve">0..1</w:t>
            </w:r>
          </w:p>
        </w:tc>
        <w:tc>
          <w:tcPr/>
          <w:p>
            <w:pPr>
              <w:pStyle w:val="Compact"/>
            </w:pPr>
            <w:r>
              <w:t xml:space="preserve">Describes the end of the validity time for the requested data in ISO 8601 UTC formatted as yyyy-mm-dd hh:mm:ssZ.</w:t>
            </w:r>
          </w:p>
        </w:tc>
      </w:tr>
      <w:tr>
        <w:tc>
          <w:tcPr/>
          <w:p>
            <w:pPr>
              <w:pStyle w:val="Compact"/>
            </w:pPr>
            <w:r>
              <w:t xml:space="preserve">page</w:t>
            </w:r>
          </w:p>
        </w:tc>
        <w:tc>
          <w:tcPr/>
          <w:p>
            <w:pPr>
              <w:pStyle w:val="Compact"/>
            </w:pPr>
            <w:r>
              <w:t xml:space="preserve">Integer</w:t>
            </w:r>
          </w:p>
        </w:tc>
        <w:tc>
          <w:tcPr/>
          <w:p>
            <w:pPr>
              <w:pStyle w:val="Compact"/>
            </w:pPr>
            <w:r>
              <w:t xml:space="preserve">0..1</w:t>
            </w:r>
          </w:p>
        </w:tc>
        <w:tc>
          <w:tcPr/>
          <w:p>
            <w:pPr>
              <w:pStyle w:val="Compact"/>
            </w:pPr>
            <w:r>
              <w:t xml:space="preserve">The number of the page for retrieving paged results. If not provided, the default value of this parameter is set to zero (0).</w:t>
            </w:r>
          </w:p>
        </w:tc>
      </w:tr>
      <w:tr>
        <w:tc>
          <w:tcPr/>
          <w:p>
            <w:pPr>
              <w:pStyle w:val="Compact"/>
            </w:pPr>
            <w:r>
              <w:t xml:space="preserve">pageSize</w:t>
            </w:r>
          </w:p>
        </w:tc>
        <w:tc>
          <w:tcPr/>
          <w:p>
            <w:pPr>
              <w:pStyle w:val="Compact"/>
            </w:pPr>
            <w:r>
              <w:t xml:space="preserve">Integer</w:t>
            </w:r>
          </w:p>
        </w:tc>
        <w:tc>
          <w:tcPr/>
          <w:p>
            <w:pPr>
              <w:pStyle w:val="Compact"/>
            </w:pPr>
            <w:r>
              <w:t xml:space="preserve">0..1</w:t>
            </w:r>
          </w:p>
        </w:tc>
        <w:tc>
          <w:tcPr/>
          <w:p>
            <w:pPr>
              <w:pStyle w:val="Compact"/>
            </w:pPr>
            <w:r>
              <w:t xml:space="preserve">The size of each page in a paged result. If not provided, the default value of this parameter is not set and the resulting S-125 datasets are not paged.</w:t>
            </w:r>
          </w:p>
        </w:tc>
      </w:tr>
    </w:tbl>
    <w:bookmarkEnd w:id="95"/>
    <w:bookmarkEnd w:id="96"/>
    <w:bookmarkStart w:id="97" w:name="X0dba3e236679aa308826e74610871559dc81322"/>
    <w:p>
      <w:pPr>
        <w:pStyle w:val="Heading4"/>
      </w:pPr>
      <w:r>
        <w:t xml:space="preserve">Interpretation Guidelines</w:t>
      </w:r>
    </w:p>
    <w:p>
      <w:pPr>
        <w:pStyle w:val="FirstParagraph"/>
      </w:pPr>
      <w:r>
        <w:t xml:space="preserve">If no data is returned, the response is HTTP code 404.</w:t>
      </w:r>
    </w:p>
    <w:p>
      <w:pPr>
        <w:pStyle w:val="BodyText"/>
      </w:pPr>
      <w:r>
        <w:t xml:space="preserve">If the size of the data to be returned in more than the limit set by SECOM (i.e. 350 kbs), an HTTP 413 error code is expected from the data provider. In that case the data consumer should make use of the Get By Link operation, described in Section 6.2.2.</w:t>
      </w:r>
    </w:p>
    <w:p>
      <w:pPr>
        <w:pStyle w:val="BodyText"/>
      </w:pPr>
      <w:r>
        <w:t xml:space="preserve">The</w:t>
      </w:r>
      <w:r>
        <w:t xml:space="preserve"> </w:t>
      </w:r>
      <w:r>
        <w:rPr>
          <w:b/>
          <w:bCs/>
        </w:rPr>
        <w:t xml:space="preserve">dataReference</w:t>
      </w:r>
      <w:r>
        <w:t xml:space="preserve"> </w:t>
      </w:r>
      <w:r>
        <w:t xml:space="preserve">is used when a known data object is retrieved. The dataReference is provided in the response from Get Summary and is typically an UUID.</w:t>
      </w:r>
    </w:p>
    <w:p>
      <w:pPr>
        <w:pStyle w:val="BodyText"/>
      </w:pPr>
      <w:r>
        <w:t xml:space="preserve">The</w:t>
      </w:r>
      <w:r>
        <w:t xml:space="preserve"> </w:t>
      </w:r>
      <w:r>
        <w:rPr>
          <w:b/>
          <w:bCs/>
        </w:rPr>
        <w:t xml:space="preserve">containterType</w:t>
      </w:r>
      <w:r>
        <w:t xml:space="preserve"> </w:t>
      </w:r>
      <w:r>
        <w:t xml:space="preserve">describes how the data is packaged, e.g. 0 for a S-100 DataSet, 1 for a S-100 Exchange-Set or 2 for no specific container, e.g. RTZ in XML.</w:t>
      </w:r>
    </w:p>
    <w:p>
      <w:pPr>
        <w:pStyle w:val="BodyText"/>
      </w:pPr>
      <w:r>
        <w:t xml:space="preserve">The</w:t>
      </w:r>
      <w:r>
        <w:t xml:space="preserve"> </w:t>
      </w:r>
      <w:r>
        <w:rPr>
          <w:b/>
          <w:bCs/>
        </w:rPr>
        <w:t xml:space="preserve">dataProductType</w:t>
      </w:r>
      <w:r>
        <w:t xml:space="preserve"> </w:t>
      </w:r>
      <w:r>
        <w:t xml:space="preserve">is a string describing which data product that is in focus in the operation. For the purpose of this service design, it must always be</w:t>
      </w:r>
      <w:r>
        <w:t xml:space="preserve"> </w:t>
      </w:r>
      <w:r>
        <w:t xml:space="preserve">“S-125”</w:t>
      </w:r>
      <w:r>
        <w:t xml:space="preserve"> </w:t>
      </w:r>
      <w:r>
        <w:t xml:space="preserve">as per the format specified in S-100</w:t>
      </w:r>
      <w:r>
        <w:t xml:space="preserve"> </w:t>
      </w:r>
      <w:r>
        <w:t xml:space="preserve">[8]</w:t>
      </w:r>
      <w:r>
        <w:t xml:space="preserve">.</w:t>
      </w:r>
    </w:p>
    <w:p>
      <w:pPr>
        <w:pStyle w:val="BodyText"/>
      </w:pPr>
      <w:r>
        <w:t xml:space="preserve">The</w:t>
      </w:r>
      <w:r>
        <w:t xml:space="preserve"> </w:t>
      </w:r>
      <w:r>
        <w:rPr>
          <w:b/>
          <w:bCs/>
        </w:rPr>
        <w:t xml:space="preserve">productVersion</w:t>
      </w:r>
      <w:r>
        <w:t xml:space="preserve"> </w:t>
      </w:r>
      <w:r>
        <w:t xml:space="preserve">describes the specific version of the data product specification of the data requested.</w:t>
      </w:r>
    </w:p>
    <w:p>
      <w:pPr>
        <w:pStyle w:val="BodyText"/>
      </w:pPr>
      <w:r>
        <w:t xml:space="preserve">The</w:t>
      </w:r>
      <w:r>
        <w:t xml:space="preserve"> </w:t>
      </w:r>
      <w:r>
        <w:rPr>
          <w:b/>
          <w:bCs/>
        </w:rPr>
        <w:t xml:space="preserve">geometry</w:t>
      </w:r>
      <w:r>
        <w:t xml:space="preserve"> </w:t>
      </w:r>
      <w:r>
        <w:t xml:space="preserve">describes geographical criteria for the data requested. The geometry is given as a one-line WKT formatted string and can contain one or more geospatial objects.</w:t>
      </w:r>
    </w:p>
    <w:p>
      <w:pPr>
        <w:pStyle w:val="BodyText"/>
      </w:pPr>
      <w:r>
        <w:t xml:space="preserve">The</w:t>
      </w:r>
      <w:r>
        <w:t xml:space="preserve"> </w:t>
      </w:r>
      <w:r>
        <w:rPr>
          <w:b/>
          <w:bCs/>
        </w:rPr>
        <w:t xml:space="preserve">unlocode</w:t>
      </w:r>
      <w:r>
        <w:t xml:space="preserve"> </w:t>
      </w:r>
      <w:r>
        <w:t xml:space="preserve">describes with 5 characters the UN code for city or other area, such as a port. The unlocode is a list administered by UN and can be found online. Many unlocodes have a position in longitude/latitude attached, but not all. In most cases the unlocode will be used as text only but this may depend on the service developer.</w:t>
      </w:r>
    </w:p>
    <w:p>
      <w:pPr>
        <w:pStyle w:val="BodyText"/>
      </w:pPr>
      <w:r>
        <w:t xml:space="preserve">The</w:t>
      </w:r>
      <w:r>
        <w:t xml:space="preserve"> </w:t>
      </w:r>
      <w:r>
        <w:rPr>
          <w:b/>
          <w:bCs/>
        </w:rPr>
        <w:t xml:space="preserve">validFrom</w:t>
      </w:r>
      <w:r>
        <w:t xml:space="preserve">/</w:t>
      </w:r>
      <w:r>
        <w:rPr>
          <w:b/>
          <w:bCs/>
        </w:rPr>
        <w:t xml:space="preserve">validTo</w:t>
      </w:r>
      <w:r>
        <w:t xml:space="preserve"> </w:t>
      </w:r>
      <w:r>
        <w:t xml:space="preserve">describes the requested validity time for the requested data in ISO 8601 UTC formatted as yyyy-mm-dd hh:mm:ssZ.</w:t>
      </w:r>
    </w:p>
    <w:bookmarkEnd w:id="97"/>
    <w:bookmarkEnd w:id="98"/>
    <w:bookmarkStart w:id="103" w:name="X04098b45f55e66745ddfa91a8e5d3876c4a684b"/>
    <w:p>
      <w:pPr>
        <w:pStyle w:val="Heading3"/>
      </w:pPr>
      <w:r>
        <w:t xml:space="preserve">Operation Get by Link</w:t>
      </w:r>
    </w:p>
    <w:p>
      <w:pPr>
        <w:pStyle w:val="FirstParagraph"/>
      </w:pPr>
      <w:r>
        <w:t xml:space="preserve">The</w:t>
      </w:r>
      <w:r>
        <w:t xml:space="preserve"> </w:t>
      </w:r>
      <w:r>
        <w:rPr>
          <w:i/>
          <w:iCs/>
        </w:rPr>
        <w:t xml:space="preserve">Get by Link</w:t>
      </w:r>
      <w:r>
        <w:t xml:space="preserve"> </w:t>
      </w:r>
      <w:r>
        <w:t xml:space="preserve">operation is used by data consumers for retrieving large AtoN informatdatasets ion directly from a data provider. This interface shall be used instead of the Get, when the size of the data to be exchanged exceeds the SECOM limit (i.e. 350kbs). The consumer in this case cannot filter the pre-prepared results any further.</w:t>
      </w:r>
    </w:p>
    <w:p>
      <w:pPr>
        <w:pStyle w:val="BodyText"/>
      </w:pPr>
      <w:r>
        <w:t xml:space="preserve">The Get by Link operation interface must be implemented only by the data provider.</w:t>
      </w:r>
    </w:p>
    <w:p>
      <w:pPr>
        <w:pStyle w:val="BodyText"/>
      </w:pPr>
      <w:r>
        <w:t xml:space="preserve">Use of the interface is according to the SECOM specification.</w:t>
      </w:r>
    </w:p>
    <w:p>
      <w:pPr>
        <w:pStyle w:val="Compact"/>
        <w:numPr>
          <w:ilvl w:val="0"/>
          <w:numId w:val="1010"/>
        </w:numPr>
      </w:pPr>
      <w:r>
        <w:t xml:space="preserve">Name: Get by Link Interface</w:t>
      </w:r>
    </w:p>
    <w:p>
      <w:pPr>
        <w:pStyle w:val="Compact"/>
        <w:numPr>
          <w:ilvl w:val="0"/>
          <w:numId w:val="1010"/>
        </w:numPr>
      </w:pPr>
      <w:r>
        <w:t xml:space="preserve">Sub-path: /v2/object/link</w:t>
      </w:r>
    </w:p>
    <w:p>
      <w:pPr>
        <w:pStyle w:val="Compact"/>
        <w:numPr>
          <w:ilvl w:val="0"/>
          <w:numId w:val="1010"/>
        </w:numPr>
      </w:pPr>
      <w:r>
        <w:t xml:space="preserve">HTTP-Method: GET</w:t>
      </w:r>
    </w:p>
    <w:p>
      <w:pPr>
        <w:pStyle w:val="Compact"/>
        <w:numPr>
          <w:ilvl w:val="0"/>
          <w:numId w:val="1010"/>
        </w:numPr>
      </w:pPr>
      <w:r>
        <w:t xml:space="preserve">Cookies: Session-Cookies (optional)</w:t>
      </w:r>
    </w:p>
    <w:p>
      <w:pPr>
        <w:pStyle w:val="Compact"/>
        <w:numPr>
          <w:ilvl w:val="0"/>
          <w:numId w:val="1010"/>
        </w:numPr>
      </w:pPr>
      <w:r>
        <w:t xml:space="preserve">Content-Type: application/json</w:t>
      </w:r>
    </w:p>
    <w:bookmarkStart w:id="99" w:name="X4540b5f8a5a9816c41ba6725d487bcb0e2aeaa9"/>
    <w:p>
      <w:pPr>
        <w:pStyle w:val="Heading4"/>
      </w:pPr>
      <w:r>
        <w:t xml:space="preserve">Operation Functionality</w:t>
      </w:r>
    </w:p>
    <w:p>
      <w:pPr>
        <w:pStyle w:val="FirstParagraph"/>
      </w:pPr>
      <w:r>
        <w:t xml:space="preserve">The operation validates the given transactionIdentifier against the caller’s identity and the timeToLive given for the data. The data is then packaged according to agreement in Upload By Link and returned in the call.</w:t>
      </w:r>
    </w:p>
    <w:bookmarkEnd w:id="99"/>
    <w:bookmarkStart w:id="101" w:name="Xcc15c6eeb994562777ad5dc831c02fe0bbb99fa"/>
    <w:p>
      <w:pPr>
        <w:pStyle w:val="Heading4"/>
      </w:pPr>
      <w:r>
        <w:t xml:space="preserve">Operation Parameters</w:t>
      </w:r>
    </w:p>
    <w:bookmarkStart w:id="100" w:name="tbl:get_by_link_operation_parameters"/>
    <w:p>
      <w:pPr>
        <w:pStyle w:val="TableCaption"/>
      </w:pPr>
      <w:r>
        <w:t xml:space="preserve">The Get By Link Operation Parameters.</w:t>
      </w:r>
    </w:p>
    <w:tbl>
      <w:tblPr>
        <w:tblStyle w:val="Table"/>
        <w:tblW w:type="pct" w:w="5000"/>
        <w:tblLayout w:type="fixed"/>
        <w:tblLook w:firstRow="1" w:lastRow="0" w:firstColumn="0" w:lastColumn="0" w:noHBand="0" w:noVBand="0" w:val="0020"/>
        <w:tblCaption w:val="The Get By Link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transactionIdentifier</w:t>
            </w:r>
          </w:p>
        </w:tc>
        <w:tc>
          <w:tcPr/>
          <w:p>
            <w:pPr>
              <w:pStyle w:val="Compact"/>
            </w:pPr>
            <w:r>
              <w:t xml:space="preserve">UUID</w:t>
            </w:r>
          </w:p>
        </w:tc>
        <w:tc>
          <w:tcPr/>
          <w:p>
            <w:pPr>
              <w:pStyle w:val="Compact"/>
            </w:pPr>
            <w:r>
              <w:t xml:space="preserve">1</w:t>
            </w:r>
          </w:p>
        </w:tc>
        <w:tc>
          <w:tcPr/>
          <w:p>
            <w:pPr>
              <w:pStyle w:val="Compact"/>
            </w:pPr>
            <w:r>
              <w:t xml:space="preserve">Identifier uploaded in Upload Link</w:t>
            </w:r>
          </w:p>
        </w:tc>
      </w:tr>
      <w:tr>
        <w:tc>
          <w:tcPr/>
          <w:p>
            <w:pPr>
              <w:pStyle w:val="Compact"/>
            </w:pPr>
            <w:r>
              <w:t xml:space="preserve">envelopeSignatureCertificate</w:t>
            </w:r>
          </w:p>
        </w:tc>
        <w:tc>
          <w:tcPr/>
          <w:p>
            <w:pPr>
              <w:pStyle w:val="Compact"/>
            </w:pPr>
            <w:r>
              <w:t xml:space="preserve">String</w:t>
            </w:r>
          </w:p>
        </w:tc>
        <w:tc>
          <w:tcPr/>
          <w:p>
            <w:pPr>
              <w:pStyle w:val="Compact"/>
            </w:pPr>
            <w:r>
              <w:t xml:space="preserve">1..*</w:t>
            </w:r>
          </w:p>
        </w:tc>
        <w:tc>
          <w:tcPr/>
          <w:p>
            <w:pPr>
              <w:pStyle w:val="Compact"/>
            </w:pPr>
            <w:r>
              <w:t xml:space="preserve">The public certificate(s) of the sender. Used to verify the envelope signature.</w:t>
            </w:r>
          </w:p>
        </w:tc>
      </w:tr>
      <w:tr>
        <w:tc>
          <w:tcPr/>
          <w:p>
            <w:pPr>
              <w:pStyle w:val="Compact"/>
            </w:pPr>
            <w:r>
              <w:t xml:space="preserve">envelopeRootCertificateThumbprint</w:t>
            </w:r>
          </w:p>
        </w:tc>
        <w:tc>
          <w:tcPr/>
          <w:p>
            <w:pPr>
              <w:pStyle w:val="Compact"/>
            </w:pPr>
            <w:r>
              <w:t xml:space="preserve">String</w:t>
            </w:r>
          </w:p>
        </w:tc>
        <w:tc>
          <w:tcPr/>
          <w:p>
            <w:pPr>
              <w:pStyle w:val="Compact"/>
            </w:pPr>
            <w:r>
              <w:t xml:space="preserve">1</w:t>
            </w:r>
          </w:p>
        </w:tc>
        <w:tc>
          <w:tcPr/>
          <w:p>
            <w:pPr>
              <w:pStyle w:val="Compact"/>
            </w:pPr>
            <w:r>
              <w:t xml:space="preserve">Claimed Thumbprint for Signed Root Key (X.509 Certificate) SHA256 and base64 as format.</w:t>
            </w:r>
          </w:p>
        </w:tc>
      </w:tr>
      <w:tr>
        <w:tc>
          <w:tcPr/>
          <w:p>
            <w:pPr>
              <w:pStyle w:val="Compact"/>
            </w:pPr>
            <w:r>
              <w:t xml:space="preserve">envelopeSignatureTime</w:t>
            </w:r>
          </w:p>
        </w:tc>
        <w:tc>
          <w:tcPr/>
          <w:p>
            <w:pPr>
              <w:pStyle w:val="Compact"/>
            </w:pPr>
            <w:r>
              <w:t xml:space="preserve">DateTime</w:t>
            </w:r>
          </w:p>
        </w:tc>
        <w:tc>
          <w:tcPr/>
          <w:p>
            <w:pPr>
              <w:pStyle w:val="Compact"/>
            </w:pPr>
            <w:r>
              <w:t xml:space="preserve">1</w:t>
            </w:r>
          </w:p>
        </w:tc>
        <w:tc>
          <w:tcPr/>
          <w:p>
            <w:pPr>
              <w:pStyle w:val="Compact"/>
            </w:pPr>
            <w:r>
              <w:t xml:space="preserve">Timestamp when the envelope is signed envelope.</w:t>
            </w:r>
          </w:p>
        </w:tc>
      </w:tr>
      <w:tr>
        <w:tc>
          <w:tcPr/>
          <w:p>
            <w:pPr>
              <w:pStyle w:val="Compact"/>
            </w:pPr>
            <w:r>
              <w:t xml:space="preserve">SignatureReference</w:t>
            </w:r>
          </w:p>
        </w:tc>
        <w:tc>
          <w:tcPr/>
          <w:p>
            <w:pPr>
              <w:pStyle w:val="Compact"/>
            </w:pPr>
            <w:r>
              <w:t xml:space="preserve">String</w:t>
            </w:r>
          </w:p>
        </w:tc>
        <w:tc>
          <w:tcPr/>
          <w:p>
            <w:pPr>
              <w:pStyle w:val="Compact"/>
            </w:pPr>
            <w:r>
              <w:t xml:space="preserve">1</w:t>
            </w:r>
          </w:p>
        </w:tc>
        <w:tc>
          <w:tcPr/>
          <w:p>
            <w:pPr>
              <w:pStyle w:val="Compact"/>
            </w:pPr>
            <w:r>
              <w:t xml:space="preserve">Specifies the algorithm used to compute digitalSignatureValue. For example</w:t>
            </w:r>
            <w:r>
              <w:t xml:space="preserve"> </w:t>
            </w:r>
            <w:r>
              <w:t xml:space="preserve">“ECDSA-384-SHA2”</w:t>
            </w:r>
            <w:r>
              <w:t xml:space="preserve">.</w:t>
            </w:r>
          </w:p>
        </w:tc>
      </w:tr>
    </w:tbl>
    <w:bookmarkEnd w:id="100"/>
    <w:bookmarkEnd w:id="101"/>
    <w:bookmarkStart w:id="102" w:name="X8ba82c381d969fec1339bb98226af930ce2e478"/>
    <w:p>
      <w:pPr>
        <w:pStyle w:val="Heading4"/>
      </w:pPr>
      <w:r>
        <w:t xml:space="preserve">Interpretation Guidelines</w:t>
      </w:r>
    </w:p>
    <w:p>
      <w:pPr>
        <w:pStyle w:val="FirstParagraph"/>
      </w:pPr>
      <w:r>
        <w:t xml:space="preserve">The unique</w:t>
      </w:r>
      <w:r>
        <w:t xml:space="preserve"> </w:t>
      </w:r>
      <w:r>
        <w:rPr>
          <w:b/>
          <w:bCs/>
        </w:rPr>
        <w:t xml:space="preserve">transactionIdentifier</w:t>
      </w:r>
      <w:r>
        <w:t xml:space="preserve"> </w:t>
      </w:r>
      <w:r>
        <w:t xml:space="preserve">given by the Upload By Link call.</w:t>
      </w:r>
    </w:p>
    <w:p>
      <w:pPr>
        <w:pStyle w:val="BodyText"/>
      </w:pPr>
      <w:r>
        <w:t xml:space="preserve">If the provided transactionIdentifier is not valid, the response is HTTP code 404.</w:t>
      </w:r>
    </w:p>
    <w:p>
      <w:pPr>
        <w:pStyle w:val="BodyText"/>
      </w:pPr>
      <w:r>
        <w:t xml:space="preserve">There is not specific time constraint for a data consumer to retrieve the results through the Get by Link operation. If however, the involved datasets have in the meantime been cancelled, the data provider is allowed to drop the pending transactions.</w:t>
      </w:r>
    </w:p>
    <w:bookmarkEnd w:id="102"/>
    <w:bookmarkEnd w:id="103"/>
    <w:bookmarkStart w:id="108" w:name="X6e2b084e24fe8292896ed461826134b126df0c4"/>
    <w:p>
      <w:pPr>
        <w:pStyle w:val="Heading3"/>
      </w:pPr>
      <w:r>
        <w:t xml:space="preserve">Operation Get Summary</w:t>
      </w:r>
    </w:p>
    <w:p>
      <w:pPr>
        <w:pStyle w:val="FirstParagraph"/>
      </w:pPr>
      <w:r>
        <w:t xml:space="preserve">The</w:t>
      </w:r>
      <w:r>
        <w:t xml:space="preserve"> </w:t>
      </w:r>
      <w:r>
        <w:rPr>
          <w:i/>
          <w:iCs/>
        </w:rPr>
        <w:t xml:space="preserve">Get Summary</w:t>
      </w:r>
      <w:r>
        <w:t xml:space="preserve"> </w:t>
      </w:r>
      <w:r>
        <w:t xml:space="preserve">operation is used by data consumers to discover the AtoN information that can be made available (and is accessible) by a data provider. The data provider will respond by listing the available (and accessible) S-125 datasets that are of interest to the consumer. This list should only contain summary information on each S-125 dataset, not the dataset content itself. UUID-based dataset identifiers can be used to retrieve the full S-125 datasets via the Get interface. The consumer can filter the requested S-125 dataset results through parameters like the dataset identifier, validity period and/or geometry etc.</w:t>
      </w:r>
    </w:p>
    <w:p>
      <w:pPr>
        <w:pStyle w:val="BodyText"/>
      </w:pPr>
      <w:r>
        <w:t xml:space="preserve">The Get Summary operation interface must be implemented only by the data provider.</w:t>
      </w:r>
    </w:p>
    <w:p>
      <w:pPr>
        <w:pStyle w:val="BodyText"/>
      </w:pPr>
      <w:r>
        <w:t xml:space="preserve">Use of the interface is according to the SECOM specification.</w:t>
      </w:r>
    </w:p>
    <w:p>
      <w:pPr>
        <w:pStyle w:val="Compact"/>
        <w:numPr>
          <w:ilvl w:val="0"/>
          <w:numId w:val="1011"/>
        </w:numPr>
      </w:pPr>
      <w:r>
        <w:t xml:space="preserve">Name: Get Summary Interface</w:t>
      </w:r>
    </w:p>
    <w:p>
      <w:pPr>
        <w:pStyle w:val="Compact"/>
        <w:numPr>
          <w:ilvl w:val="0"/>
          <w:numId w:val="1011"/>
        </w:numPr>
      </w:pPr>
      <w:r>
        <w:t xml:space="preserve">Sub-path: /v2/object/summary</w:t>
      </w:r>
    </w:p>
    <w:p>
      <w:pPr>
        <w:pStyle w:val="Compact"/>
        <w:numPr>
          <w:ilvl w:val="0"/>
          <w:numId w:val="1011"/>
        </w:numPr>
      </w:pPr>
      <w:r>
        <w:t xml:space="preserve">HTTP-Method: GET</w:t>
      </w:r>
    </w:p>
    <w:p>
      <w:pPr>
        <w:pStyle w:val="Compact"/>
        <w:numPr>
          <w:ilvl w:val="0"/>
          <w:numId w:val="1011"/>
        </w:numPr>
      </w:pPr>
      <w:r>
        <w:t xml:space="preserve">Cookies: Session-Cookies (optional)</w:t>
      </w:r>
    </w:p>
    <w:p>
      <w:pPr>
        <w:pStyle w:val="Compact"/>
        <w:numPr>
          <w:ilvl w:val="0"/>
          <w:numId w:val="1011"/>
        </w:numPr>
      </w:pPr>
      <w:r>
        <w:t xml:space="preserve">Content-Type: application/json</w:t>
      </w:r>
    </w:p>
    <w:bookmarkStart w:id="104" w:name="X0e98880d06e0a5dcdcb4394fd69acf518fb1342"/>
    <w:p>
      <w:pPr>
        <w:pStyle w:val="Heading4"/>
      </w:pPr>
      <w:r>
        <w:t xml:space="preserve">Operation Functionality</w:t>
      </w:r>
    </w:p>
    <w:p>
      <w:pPr>
        <w:pStyle w:val="FirstParagraph"/>
      </w:pPr>
      <w:r>
        <w:t xml:space="preserve">All instances of this service design must provide access to the summary information of all S-125 datasets made available for their advertised coverage area. Each individual S-125 dataset should have a fixed MRN identifier associated with it, while each S-125 dataset update must be identified using a different unique UUID.</w:t>
      </w:r>
    </w:p>
    <w:p>
      <w:pPr>
        <w:pStyle w:val="BodyText"/>
      </w:pPr>
      <w:r>
        <w:t xml:space="preserve">The operation supports multiple filter parameters, presented in more detail in Table 4. To ensure the authenticity of the operation request, the filter parameters are included within a signed SECOM envelope structure. Data provider instances are required to support all referenced filter parameters.</w:t>
      </w:r>
    </w:p>
    <w:p>
      <w:pPr>
        <w:pStyle w:val="BodyText"/>
      </w:pPr>
      <w:r>
        <w:t xml:space="preserve">If multiple query parameters are provided, only results that match all requested filters, combined with logical AND, must be returned. If no parameters are given, the response is either an empty list or all available dataset summaries the consumer has been given access to by the service provider.</w:t>
      </w:r>
    </w:p>
    <w:p>
      <w:pPr>
        <w:pStyle w:val="BodyText"/>
      </w:pPr>
      <w:r>
        <w:t xml:space="preserve">Depending on the combination of the</w:t>
      </w:r>
      <w:r>
        <w:t xml:space="preserve"> </w:t>
      </w:r>
      <w:r>
        <w:rPr>
          <w:b/>
          <w:bCs/>
        </w:rPr>
        <w:t xml:space="preserve">containterType</w:t>
      </w:r>
      <w:r>
        <w:t xml:space="preserve"> </w:t>
      </w:r>
      <w:r>
        <w:t xml:space="preserve">and</w:t>
      </w:r>
      <w:r>
        <w:t xml:space="preserve"> </w:t>
      </w:r>
      <w:r>
        <w:rPr>
          <w:b/>
          <w:bCs/>
        </w:rPr>
        <w:t xml:space="preserve">validFrom</w:t>
      </w:r>
      <w:r>
        <w:t xml:space="preserve">/</w:t>
      </w:r>
      <w:r>
        <w:rPr>
          <w:b/>
          <w:bCs/>
        </w:rPr>
        <w:t xml:space="preserve">validTo</w:t>
      </w:r>
      <w:r>
        <w:t xml:space="preserve"> </w:t>
      </w:r>
      <w:r>
        <w:t xml:space="preserve">input parameter values, the data provider must respond differently:</w:t>
      </w:r>
    </w:p>
    <w:p>
      <w:pPr>
        <w:pStyle w:val="Compact"/>
        <w:numPr>
          <w:ilvl w:val="0"/>
          <w:numId w:val="1012"/>
        </w:numPr>
      </w:pPr>
      <w:r>
        <w:t xml:space="preserve">For the</w:t>
      </w:r>
      <w:r>
        <w:t xml:space="preserve"> </w:t>
      </w:r>
      <w:r>
        <w:rPr>
          <w:b/>
          <w:bCs/>
        </w:rPr>
        <w:t xml:space="preserve">containterType</w:t>
      </w:r>
      <w:r>
        <w:t xml:space="preserve"> </w:t>
      </w:r>
      <w:r>
        <w:t xml:space="preserve">set to</w:t>
      </w:r>
      <w:r>
        <w:t xml:space="preserve"> </w:t>
      </w:r>
      <w:r>
        <w:rPr>
          <w:b/>
          <w:bCs/>
        </w:rPr>
        <w:t xml:space="preserve">0</w:t>
      </w:r>
      <w:r>
        <w:t xml:space="preserve"> </w:t>
      </w:r>
      <w:r>
        <w:t xml:space="preserve">(S-100 Dataset): the service must respond with the latest summary information for all matching S-125 datasets. The</w:t>
      </w:r>
      <w:r>
        <w:t xml:space="preserve"> </w:t>
      </w:r>
      <w:r>
        <w:rPr>
          <w:b/>
          <w:bCs/>
        </w:rPr>
        <w:t xml:space="preserve">validFrom</w:t>
      </w:r>
      <w:r>
        <w:t xml:space="preserve">/</w:t>
      </w:r>
      <w:r>
        <w:rPr>
          <w:b/>
          <w:bCs/>
        </w:rPr>
        <w:t xml:space="preserve">validTo</w:t>
      </w:r>
      <w:r>
        <w:t xml:space="preserve"> </w:t>
      </w:r>
      <w:r>
        <w:t xml:space="preserve">should not be taken into account, as the data provider must never return out-of-date information. If however, the specified</w:t>
      </w:r>
      <w:r>
        <w:t xml:space="preserve"> </w:t>
      </w:r>
      <w:r>
        <w:rPr>
          <w:b/>
          <w:bCs/>
        </w:rPr>
        <w:t xml:space="preserve">dataReference</w:t>
      </w:r>
      <w:r>
        <w:t xml:space="preserve"> </w:t>
      </w:r>
      <w:r>
        <w:t xml:space="preserve">UUIDs represent the past state of a valid S-125 dataset (with the same MRN),</w:t>
      </w:r>
      <w:r>
        <w:t xml:space="preserve"> </w:t>
      </w:r>
      <w:r>
        <w:rPr>
          <w:i/>
          <w:iCs/>
        </w:rPr>
        <w:t xml:space="preserve">which has not been cancelled yet</w:t>
      </w:r>
      <w:r>
        <w:t xml:space="preserve">, then the data provider must return the summary information for that exact dataset, once again disregarding the</w:t>
      </w:r>
      <w:r>
        <w:t xml:space="preserve"> </w:t>
      </w:r>
      <w:r>
        <w:rPr>
          <w:b/>
          <w:bCs/>
        </w:rPr>
        <w:t xml:space="preserve">validFrom</w:t>
      </w:r>
      <w:r>
        <w:t xml:space="preserve">/</w:t>
      </w:r>
      <w:r>
        <w:rPr>
          <w:b/>
          <w:bCs/>
        </w:rPr>
        <w:t xml:space="preserve">validTo</w:t>
      </w:r>
      <w:r>
        <w:t xml:space="preserve"> </w:t>
      </w:r>
      <w:r>
        <w:t xml:space="preserve">parameters.</w:t>
      </w:r>
      <w:r>
        <w:t xml:space="preserve"> </w:t>
      </w:r>
      <w:r>
        <w:rPr>
          <w:i/>
          <w:iCs/>
        </w:rPr>
        <w:t xml:space="preserve">The service must never return summary information regarding S-125</w:t>
      </w:r>
      <w:r>
        <w:rPr>
          <w:i/>
          <w:iCs/>
        </w:rPr>
        <w:t xml:space="preserve"> </w:t>
      </w:r>
      <w:r>
        <w:rPr>
          <w:b/>
          <w:bCs/>
          <w:i/>
          <w:iCs/>
        </w:rPr>
        <w:t xml:space="preserve">delta</w:t>
      </w:r>
      <w:r>
        <w:rPr>
          <w:i/>
          <w:iCs/>
        </w:rPr>
        <w:t xml:space="preserve"> </w:t>
      </w:r>
      <w:r>
        <w:rPr>
          <w:i/>
          <w:iCs/>
        </w:rPr>
        <w:t xml:space="preserve">files if the containterType value is set to 0</w:t>
      </w:r>
      <w:r>
        <w:t xml:space="preserve">.</w:t>
      </w:r>
    </w:p>
    <w:p>
      <w:pPr>
        <w:pStyle w:val="Compact"/>
        <w:numPr>
          <w:ilvl w:val="0"/>
          <w:numId w:val="1012"/>
        </w:numPr>
      </w:pPr>
      <w:r>
        <w:t xml:space="preserve">For the</w:t>
      </w:r>
      <w:r>
        <w:t xml:space="preserve"> </w:t>
      </w:r>
      <w:r>
        <w:rPr>
          <w:b/>
          <w:bCs/>
        </w:rPr>
        <w:t xml:space="preserve">containterType</w:t>
      </w:r>
      <w:r>
        <w:t xml:space="preserve"> </w:t>
      </w:r>
      <w:r>
        <w:t xml:space="preserve">set to</w:t>
      </w:r>
      <w:r>
        <w:t xml:space="preserve"> </w:t>
      </w:r>
      <w:r>
        <w:rPr>
          <w:b/>
          <w:bCs/>
        </w:rPr>
        <w:t xml:space="preserve">1</w:t>
      </w:r>
      <w:r>
        <w:t xml:space="preserve"> </w:t>
      </w:r>
      <w:r>
        <w:t xml:space="preserve">(S-100 Exchange-Set): the service must return the dataset summary information using the S-100 Exchange-Set structure. That involves the original content of the S-125 dataset (update 0), along with any incremental updates (for the same dataset MRN) in the form of S-100</w:t>
      </w:r>
      <w:r>
        <w:t xml:space="preserve"> </w:t>
      </w:r>
      <w:r>
        <w:rPr>
          <w:b/>
          <w:bCs/>
          <w:i/>
          <w:iCs/>
        </w:rPr>
        <w:t xml:space="preserve">delta</w:t>
      </w:r>
      <w:r>
        <w:t xml:space="preserve"> </w:t>
      </w:r>
      <w:r>
        <w:t xml:space="preserve">files. If the</w:t>
      </w:r>
      <w:r>
        <w:t xml:space="preserve"> </w:t>
      </w:r>
      <w:r>
        <w:rPr>
          <w:b/>
          <w:bCs/>
        </w:rPr>
        <w:t xml:space="preserve">validFrom</w:t>
      </w:r>
      <w:r>
        <w:t xml:space="preserve">/</w:t>
      </w:r>
      <w:r>
        <w:rPr>
          <w:b/>
          <w:bCs/>
        </w:rPr>
        <w:t xml:space="preserve">validTo</w:t>
      </w:r>
      <w:r>
        <w:t xml:space="preserve"> </w:t>
      </w:r>
      <w:r>
        <w:t xml:space="preserve">parameters are utilised, any of the original content of the S-125 dataset and delta files should only be included in the Exchange-Set, if they fall within the specified time interval.</w:t>
      </w:r>
    </w:p>
    <w:bookmarkEnd w:id="104"/>
    <w:bookmarkStart w:id="106" w:name="X69a02428acd7efd7a478296c05ad2ccd70480c7"/>
    <w:p>
      <w:pPr>
        <w:pStyle w:val="Heading4"/>
      </w:pPr>
      <w:r>
        <w:t xml:space="preserve">Operation Parameters</w:t>
      </w:r>
    </w:p>
    <w:bookmarkStart w:id="105" w:name="tbl:get_summary_operation_parameters"/>
    <w:p>
      <w:pPr>
        <w:pStyle w:val="TableCaption"/>
      </w:pPr>
      <w:r>
        <w:t xml:space="preserve">The Get Summary Operation Parameters.</w:t>
      </w:r>
    </w:p>
    <w:tbl>
      <w:tblPr>
        <w:tblStyle w:val="Table"/>
        <w:tblW w:type="pct" w:w="5000"/>
        <w:tblLayout w:type="fixed"/>
        <w:tblLook w:firstRow="1" w:lastRow="0" w:firstColumn="0" w:lastColumn="0" w:noHBand="0" w:noVBand="0" w:val="0020"/>
        <w:tblCaption w:val="The Get Summary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containerType</w:t>
            </w:r>
          </w:p>
        </w:tc>
        <w:tc>
          <w:tcPr/>
          <w:p>
            <w:pPr>
              <w:pStyle w:val="Compact"/>
            </w:pPr>
            <w:r>
              <w:t xml:space="preserve">Integer</w:t>
            </w:r>
          </w:p>
        </w:tc>
        <w:tc>
          <w:tcPr/>
          <w:p>
            <w:pPr>
              <w:pStyle w:val="Compact"/>
            </w:pPr>
            <w:r>
              <w:t xml:space="preserve">0..1</w:t>
            </w:r>
          </w:p>
        </w:tc>
        <w:tc>
          <w:tcPr/>
          <w:p>
            <w:pPr>
              <w:pStyle w:val="Compact"/>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Compact"/>
            </w:pPr>
            <w:r>
              <w:t xml:space="preserve">dataProductType</w:t>
            </w:r>
          </w:p>
        </w:tc>
        <w:tc>
          <w:tcPr/>
          <w:p>
            <w:pPr>
              <w:pStyle w:val="Compact"/>
            </w:pPr>
            <w:r>
              <w:t xml:space="preserve">String</w:t>
            </w:r>
          </w:p>
        </w:tc>
        <w:tc>
          <w:tcPr/>
          <w:p>
            <w:pPr>
              <w:pStyle w:val="Compact"/>
            </w:pPr>
            <w:r>
              <w:t xml:space="preserve">0..1</w:t>
            </w:r>
          </w:p>
        </w:tc>
        <w:tc>
          <w:tcPr/>
          <w:p>
            <w:pPr>
              <w:pStyle w:val="Compact"/>
            </w:pPr>
            <w:r>
              <w:t xml:space="preserve">Data product type as described in</w:t>
            </w:r>
            <w:r>
              <w:t xml:space="preserve"> </w:t>
            </w:r>
            <w:r>
              <w:t xml:space="preserve">[2]</w:t>
            </w:r>
            <w:r>
              <w:t xml:space="preserve">.</w:t>
            </w:r>
          </w:p>
        </w:tc>
      </w:tr>
      <w:tr>
        <w:tc>
          <w:tcPr/>
          <w:p>
            <w:pPr>
              <w:pStyle w:val="Compact"/>
            </w:pPr>
            <w:r>
              <w:t xml:space="preserve">productVersion</w:t>
            </w:r>
          </w:p>
        </w:tc>
        <w:tc>
          <w:tcPr/>
          <w:p>
            <w:pPr>
              <w:pStyle w:val="Compact"/>
            </w:pPr>
            <w:r>
              <w:t xml:space="preserve">String</w:t>
            </w:r>
          </w:p>
        </w:tc>
        <w:tc>
          <w:tcPr/>
          <w:p>
            <w:pPr>
              <w:pStyle w:val="Compact"/>
            </w:pPr>
            <w:r>
              <w:t xml:space="preserve">0..1</w:t>
            </w:r>
          </w:p>
        </w:tc>
        <w:tc>
          <w:tcPr/>
          <w:p>
            <w:pPr>
              <w:pStyle w:val="Compact"/>
            </w:pPr>
            <w:r>
              <w:t xml:space="preserve">S-100 based Product type version, e.g. 1.0.0.</w:t>
            </w:r>
          </w:p>
        </w:tc>
      </w:tr>
      <w:tr>
        <w:tc>
          <w:tcPr/>
          <w:p>
            <w:pPr>
              <w:pStyle w:val="Compact"/>
            </w:pPr>
            <w:r>
              <w:t xml:space="preserve">geometry</w:t>
            </w:r>
          </w:p>
        </w:tc>
        <w:tc>
          <w:tcPr/>
          <w:p>
            <w:pPr>
              <w:pStyle w:val="Compact"/>
            </w:pPr>
            <w:r>
              <w:t xml:space="preserve">String (WKT)</w:t>
            </w:r>
          </w:p>
        </w:tc>
        <w:tc>
          <w:tcPr/>
          <w:p>
            <w:pPr>
              <w:pStyle w:val="Compact"/>
            </w:pPr>
            <w:r>
              <w:t xml:space="preserve">0..1</w:t>
            </w:r>
          </w:p>
        </w:tc>
        <w:tc>
          <w:tcPr/>
          <w:p>
            <w:pPr>
              <w:pStyle w:val="Compact"/>
            </w:pPr>
            <w:r>
              <w:t xml:space="preserve">Geometry condition for geo-located information objects in WKT format. This can be used to filter on geometric shapes (e.g., filter S-125 datasets by a bounding box).</w:t>
            </w:r>
          </w:p>
        </w:tc>
      </w:tr>
      <w:tr>
        <w:tc>
          <w:tcPr/>
          <w:p>
            <w:pPr>
              <w:pStyle w:val="Compact"/>
            </w:pPr>
            <w:r>
              <w:t xml:space="preserve">unlocode</w:t>
            </w:r>
          </w:p>
        </w:tc>
        <w:tc>
          <w:tcPr/>
          <w:p>
            <w:pPr>
              <w:pStyle w:val="Compact"/>
            </w:pPr>
            <w:r>
              <w:t xml:space="preserve">String</w:t>
            </w:r>
          </w:p>
        </w:tc>
        <w:tc>
          <w:tcPr/>
          <w:p>
            <w:pPr>
              <w:pStyle w:val="Compact"/>
            </w:pPr>
            <w:r>
              <w:t xml:space="preserve">0..1</w:t>
            </w:r>
          </w:p>
        </w:tc>
        <w:tc>
          <w:tcPr/>
          <w:p>
            <w:pPr>
              <w:pStyle w:val="Compact"/>
            </w:pPr>
            <w:r>
              <w:t xml:space="preserve">UN/LOCODE</w:t>
            </w:r>
          </w:p>
        </w:tc>
      </w:tr>
      <w:tr>
        <w:tc>
          <w:tcPr/>
          <w:p>
            <w:pPr>
              <w:pStyle w:val="Compact"/>
            </w:pPr>
            <w:r>
              <w:t xml:space="preserve">validFrom</w:t>
            </w:r>
          </w:p>
        </w:tc>
        <w:tc>
          <w:tcPr/>
          <w:p>
            <w:pPr>
              <w:pStyle w:val="Compact"/>
            </w:pPr>
            <w:r>
              <w:t xml:space="preserve">DateTime</w:t>
            </w:r>
          </w:p>
        </w:tc>
        <w:tc>
          <w:tcPr/>
          <w:p>
            <w:pPr>
              <w:pStyle w:val="Compact"/>
            </w:pPr>
            <w:r>
              <w:t xml:space="preserve">0..1</w:t>
            </w:r>
          </w:p>
        </w:tc>
        <w:tc>
          <w:tcPr/>
          <w:p>
            <w:pPr>
              <w:pStyle w:val="Compact"/>
            </w:pPr>
            <w:r>
              <w:t xml:space="preserve">Describes the start of the validity time for the requested data in ISO 8601 UTC formatted as yyyy-mm-dd hh:mmZ.</w:t>
            </w:r>
          </w:p>
        </w:tc>
      </w:tr>
      <w:tr>
        <w:tc>
          <w:tcPr/>
          <w:p>
            <w:pPr>
              <w:pStyle w:val="Compact"/>
            </w:pPr>
            <w:r>
              <w:t xml:space="preserve">validTo</w:t>
            </w:r>
          </w:p>
        </w:tc>
        <w:tc>
          <w:tcPr/>
          <w:p>
            <w:pPr>
              <w:pStyle w:val="Compact"/>
            </w:pPr>
            <w:r>
              <w:t xml:space="preserve">DateTime</w:t>
            </w:r>
          </w:p>
        </w:tc>
        <w:tc>
          <w:tcPr/>
          <w:p>
            <w:pPr>
              <w:pStyle w:val="Compact"/>
            </w:pPr>
            <w:r>
              <w:t xml:space="preserve">0..1</w:t>
            </w:r>
          </w:p>
        </w:tc>
        <w:tc>
          <w:tcPr/>
          <w:p>
            <w:pPr>
              <w:pStyle w:val="Compact"/>
            </w:pPr>
            <w:r>
              <w:t xml:space="preserve">Describes the end of the validity time for the requested data in ISO 8601 UTC formatted as yyyy-mm-dd hh:mmZ.</w:t>
            </w:r>
          </w:p>
        </w:tc>
      </w:tr>
      <w:tr>
        <w:tc>
          <w:tcPr/>
          <w:p>
            <w:pPr>
              <w:pStyle w:val="Compact"/>
            </w:pPr>
            <w:r>
              <w:t xml:space="preserve">page</w:t>
            </w:r>
          </w:p>
        </w:tc>
        <w:tc>
          <w:tcPr/>
          <w:p>
            <w:pPr>
              <w:pStyle w:val="Compact"/>
            </w:pPr>
            <w:r>
              <w:t xml:space="preserve">Integer</w:t>
            </w:r>
          </w:p>
        </w:tc>
        <w:tc>
          <w:tcPr/>
          <w:p>
            <w:pPr>
              <w:pStyle w:val="Compact"/>
            </w:pPr>
            <w:r>
              <w:t xml:space="preserve">0..1</w:t>
            </w:r>
          </w:p>
        </w:tc>
        <w:tc>
          <w:tcPr/>
          <w:p>
            <w:pPr>
              <w:pStyle w:val="Compact"/>
            </w:pPr>
            <w:r>
              <w:t xml:space="preserve">The number of the page for retrieving paged results. If not provided, the default value of this parameter is set to zero (0).</w:t>
            </w:r>
          </w:p>
        </w:tc>
      </w:tr>
      <w:tr>
        <w:tc>
          <w:tcPr/>
          <w:p>
            <w:pPr>
              <w:pStyle w:val="Compact"/>
            </w:pPr>
            <w:r>
              <w:t xml:space="preserve">pageSize</w:t>
            </w:r>
          </w:p>
        </w:tc>
        <w:tc>
          <w:tcPr/>
          <w:p>
            <w:pPr>
              <w:pStyle w:val="Compact"/>
            </w:pPr>
            <w:r>
              <w:t xml:space="preserve">Integer</w:t>
            </w:r>
          </w:p>
        </w:tc>
        <w:tc>
          <w:tcPr/>
          <w:p>
            <w:pPr>
              <w:pStyle w:val="Compact"/>
            </w:pPr>
            <w:r>
              <w:t xml:space="preserve">0..1</w:t>
            </w:r>
          </w:p>
        </w:tc>
        <w:tc>
          <w:tcPr/>
          <w:p>
            <w:pPr>
              <w:pStyle w:val="Compact"/>
            </w:pPr>
            <w:r>
              <w:t xml:space="preserve">The size of each page in a paged result. If not provided, the default value of this parameter is not set and the resulting S-125 datasets are not paged.</w:t>
            </w:r>
          </w:p>
        </w:tc>
      </w:tr>
    </w:tbl>
    <w:bookmarkEnd w:id="105"/>
    <w:bookmarkEnd w:id="106"/>
    <w:bookmarkStart w:id="107" w:name="X64bd30816f47b9ad84fceb7eb97abff00be0687"/>
    <w:p>
      <w:pPr>
        <w:pStyle w:val="Heading4"/>
      </w:pPr>
      <w:r>
        <w:t xml:space="preserve">Interpretation Guidelines</w:t>
      </w:r>
    </w:p>
    <w:p>
      <w:pPr>
        <w:pStyle w:val="FirstParagraph"/>
      </w:pPr>
      <w:r>
        <w:t xml:space="preserve">In the response, the</w:t>
      </w:r>
      <w:r>
        <w:t xml:space="preserve"> </w:t>
      </w:r>
      <w:r>
        <w:rPr>
          <w:b/>
          <w:bCs/>
        </w:rPr>
        <w:t xml:space="preserve">dataReference</w:t>
      </w:r>
      <w:r>
        <w:t xml:space="preserve"> </w:t>
      </w:r>
      <w:r>
        <w:t xml:space="preserve">is given as a UUID for each data object listed. The dataReference can then be provided as input to a Get call.</w:t>
      </w:r>
    </w:p>
    <w:p>
      <w:pPr>
        <w:pStyle w:val="BodyText"/>
      </w:pPr>
      <w:r>
        <w:t xml:space="preserve">The</w:t>
      </w:r>
      <w:r>
        <w:t xml:space="preserve"> </w:t>
      </w:r>
      <w:r>
        <w:rPr>
          <w:b/>
          <w:bCs/>
        </w:rPr>
        <w:t xml:space="preserve">dataProtection</w:t>
      </w:r>
      <w:r>
        <w:t xml:space="preserve"> </w:t>
      </w:r>
      <w:r>
        <w:t xml:space="preserve">flag indicates whether the data is encrypted or not. If encrypted, an encryptionKey is required to decrypt the data.</w:t>
      </w:r>
    </w:p>
    <w:p>
      <w:pPr>
        <w:pStyle w:val="BodyText"/>
      </w:pPr>
      <w:r>
        <w:t xml:space="preserve">The</w:t>
      </w:r>
      <w:r>
        <w:t xml:space="preserve"> </w:t>
      </w:r>
      <w:r>
        <w:rPr>
          <w:b/>
          <w:bCs/>
        </w:rPr>
        <w:t xml:space="preserve">compression</w:t>
      </w:r>
      <w:r>
        <w:t xml:space="preserve"> </w:t>
      </w:r>
      <w:r>
        <w:t xml:space="preserve">flag indicates whether the data is compressed with ZIP or not.</w:t>
      </w:r>
    </w:p>
    <w:p>
      <w:pPr>
        <w:pStyle w:val="BodyText"/>
      </w:pPr>
      <w:r>
        <w:t xml:space="preserve">The</w:t>
      </w:r>
      <w:r>
        <w:t xml:space="preserve"> </w:t>
      </w:r>
      <w:r>
        <w:rPr>
          <w:b/>
          <w:bCs/>
        </w:rPr>
        <w:t xml:space="preserve">dataProductType</w:t>
      </w:r>
      <w:r>
        <w:t xml:space="preserve"> </w:t>
      </w:r>
      <w:r>
        <w:t xml:space="preserve">and</w:t>
      </w:r>
      <w:r>
        <w:t xml:space="preserve"> </w:t>
      </w:r>
      <w:r>
        <w:rPr>
          <w:b/>
          <w:bCs/>
        </w:rPr>
        <w:t xml:space="preserve">productVersion</w:t>
      </w:r>
      <w:r>
        <w:t xml:space="preserve"> </w:t>
      </w:r>
      <w:r>
        <w:t xml:space="preserve">indicate type and version of the data specification for the data object. For the purpose of this service design, the data product type must always be</w:t>
      </w:r>
      <w:r>
        <w:t xml:space="preserve"> </w:t>
      </w:r>
      <w:r>
        <w:t xml:space="preserve">“S-125”</w:t>
      </w:r>
      <w:r>
        <w:t xml:space="preserve"> </w:t>
      </w:r>
      <w:r>
        <w:t xml:space="preserve">as per the format specified in S-100</w:t>
      </w:r>
      <w:r>
        <w:t xml:space="preserve"> </w:t>
      </w:r>
      <w:r>
        <w:t xml:space="preserve">[8]</w:t>
      </w:r>
      <w:r>
        <w:t xml:space="preserve">.</w:t>
      </w:r>
    </w:p>
    <w:p>
      <w:pPr>
        <w:pStyle w:val="BodyText"/>
      </w:pPr>
      <w:r>
        <w:t xml:space="preserve">The</w:t>
      </w:r>
      <w:r>
        <w:t xml:space="preserve"> </w:t>
      </w:r>
      <w:r>
        <w:rPr>
          <w:b/>
          <w:bCs/>
        </w:rPr>
        <w:t xml:space="preserve">info_identifier</w:t>
      </w:r>
      <w:r>
        <w:t xml:space="preserve">,</w:t>
      </w:r>
      <w:r>
        <w:t xml:space="preserve"> </w:t>
      </w:r>
      <w:r>
        <w:rPr>
          <w:b/>
          <w:bCs/>
        </w:rPr>
        <w:t xml:space="preserve">info_name</w:t>
      </w:r>
      <w:r>
        <w:t xml:space="preserve">,</w:t>
      </w:r>
      <w:r>
        <w:t xml:space="preserve"> </w:t>
      </w:r>
      <w:r>
        <w:rPr>
          <w:b/>
          <w:bCs/>
        </w:rPr>
        <w:t xml:space="preserve">info_status</w:t>
      </w:r>
      <w:r>
        <w:t xml:space="preserve">,</w:t>
      </w:r>
      <w:r>
        <w:t xml:space="preserve"> </w:t>
      </w:r>
      <w:r>
        <w:rPr>
          <w:b/>
          <w:bCs/>
        </w:rPr>
        <w:t xml:space="preserve">info_description</w:t>
      </w:r>
      <w:r>
        <w:t xml:space="preserve">, and</w:t>
      </w:r>
      <w:r>
        <w:t xml:space="preserve"> </w:t>
      </w:r>
      <w:r>
        <w:rPr>
          <w:b/>
          <w:bCs/>
        </w:rPr>
        <w:t xml:space="preserve">info_lastModifiedData</w:t>
      </w:r>
      <w:r>
        <w:t xml:space="preserve"> </w:t>
      </w:r>
      <w:r>
        <w:t xml:space="preserve">are describing each matching S-125 dataset.</w:t>
      </w:r>
    </w:p>
    <w:p>
      <w:pPr>
        <w:pStyle w:val="BodyText"/>
      </w:pPr>
      <w:r>
        <w:t xml:space="preserve">The</w:t>
      </w:r>
      <w:r>
        <w:t xml:space="preserve"> </w:t>
      </w:r>
      <w:r>
        <w:rPr>
          <w:b/>
          <w:bCs/>
        </w:rPr>
        <w:t xml:space="preserve">info_size</w:t>
      </w:r>
      <w:r>
        <w:t xml:space="preserve"> </w:t>
      </w:r>
      <w:r>
        <w:t xml:space="preserve">represents the file size of the S-125 dataset, as returned by Get data. The size does not include the envelope.</w:t>
      </w:r>
    </w:p>
    <w:p>
      <w:pPr>
        <w:pStyle w:val="BodyText"/>
      </w:pPr>
      <w:r>
        <w:t xml:space="preserve">The</w:t>
      </w:r>
      <w:r>
        <w:t xml:space="preserve"> </w:t>
      </w:r>
      <w:r>
        <w:rPr>
          <w:b/>
          <w:bCs/>
        </w:rPr>
        <w:t xml:space="preserve">validFrom</w:t>
      </w:r>
      <w:r>
        <w:t xml:space="preserve">/</w:t>
      </w:r>
      <w:r>
        <w:rPr>
          <w:b/>
          <w:bCs/>
        </w:rPr>
        <w:t xml:space="preserve">validTo</w:t>
      </w:r>
      <w:r>
        <w:t xml:space="preserve"> </w:t>
      </w:r>
      <w:r>
        <w:t xml:space="preserve">describes the requested validity time for the requested data in ISO 8601 UTC formatted as yyyy-mm-dd hh:mm:ssZ.</w:t>
      </w:r>
    </w:p>
    <w:bookmarkEnd w:id="107"/>
    <w:bookmarkEnd w:id="108"/>
    <w:bookmarkStart w:id="113" w:name="X1d923dedd09966d66dce58800ed740663f8e240"/>
    <w:p>
      <w:pPr>
        <w:pStyle w:val="Heading3"/>
      </w:pPr>
      <w:r>
        <w:t xml:space="preserve">Operation Subscription</w:t>
      </w:r>
    </w:p>
    <w:p>
      <w:pPr>
        <w:pStyle w:val="FirstParagraph"/>
      </w:pPr>
      <w:r>
        <w:t xml:space="preserve">The purpose of the</w:t>
      </w:r>
      <w:r>
        <w:t xml:space="preserve"> </w:t>
      </w:r>
      <w:r>
        <w:rPr>
          <w:i/>
          <w:iCs/>
        </w:rPr>
        <w:t xml:space="preserve">Subscription</w:t>
      </w:r>
      <w:r>
        <w:t xml:space="preserve"> </w:t>
      </w:r>
      <w:r>
        <w:t xml:space="preserve">operation is for service consumers to request a new or cancel an existing subscription on AtoN information. Subscriptions are made either on specific parameters, otherwise these are decided by the data provider.</w:t>
      </w:r>
    </w:p>
    <w:p>
      <w:pPr>
        <w:pStyle w:val="BodyText"/>
      </w:pPr>
      <w:r>
        <w:t xml:space="preserve">The Subscription operation interface must be implemented only by the data provider.</w:t>
      </w:r>
    </w:p>
    <w:p>
      <w:pPr>
        <w:pStyle w:val="BodyText"/>
      </w:pPr>
      <w:r>
        <w:t xml:space="preserve">Use of the interface is according to the SECOM specification.</w:t>
      </w:r>
    </w:p>
    <w:p>
      <w:pPr>
        <w:pStyle w:val="Compact"/>
        <w:numPr>
          <w:ilvl w:val="0"/>
          <w:numId w:val="1013"/>
        </w:numPr>
      </w:pPr>
      <w:r>
        <w:t xml:space="preserve">Name: Subscription Interface</w:t>
      </w:r>
    </w:p>
    <w:p>
      <w:pPr>
        <w:pStyle w:val="Compact"/>
        <w:numPr>
          <w:ilvl w:val="0"/>
          <w:numId w:val="1013"/>
        </w:numPr>
      </w:pPr>
      <w:r>
        <w:t xml:space="preserve">Sub-path: /v2/subscription</w:t>
      </w:r>
    </w:p>
    <w:p>
      <w:pPr>
        <w:pStyle w:val="Compact"/>
        <w:numPr>
          <w:ilvl w:val="0"/>
          <w:numId w:val="1013"/>
        </w:numPr>
      </w:pPr>
      <w:r>
        <w:t xml:space="preserve">HTTP-Method: POST</w:t>
      </w:r>
    </w:p>
    <w:p>
      <w:pPr>
        <w:pStyle w:val="Compact"/>
        <w:numPr>
          <w:ilvl w:val="0"/>
          <w:numId w:val="1013"/>
        </w:numPr>
      </w:pPr>
      <w:r>
        <w:t xml:space="preserve">Cookies: Session-Cookies (optional)</w:t>
      </w:r>
    </w:p>
    <w:p>
      <w:pPr>
        <w:pStyle w:val="Compact"/>
        <w:numPr>
          <w:ilvl w:val="0"/>
          <w:numId w:val="1013"/>
        </w:numPr>
      </w:pPr>
      <w:r>
        <w:t xml:space="preserve">Content-Type: application/json</w:t>
      </w:r>
    </w:p>
    <w:bookmarkStart w:id="109" w:name="Xc6b95f6910b2da4e91a5b814131d7fc61e9299e"/>
    <w:p>
      <w:pPr>
        <w:pStyle w:val="Heading4"/>
      </w:pPr>
      <w:r>
        <w:t xml:space="preserve">Operation Functionality</w:t>
      </w:r>
    </w:p>
    <w:p>
      <w:pPr>
        <w:pStyle w:val="FirstParagraph"/>
      </w:pPr>
      <w:r>
        <w:t xml:space="preserve">In SECOM, the data provider may then use the URL available in the</w:t>
      </w:r>
      <w:r>
        <w:t xml:space="preserve"> </w:t>
      </w:r>
      <w:r>
        <w:rPr>
          <w:rStyle w:val="VerbatimChar"/>
        </w:rPr>
        <w:t xml:space="preserve">&lt;callbackEndpoint&gt;</w:t>
      </w:r>
      <w:r>
        <w:t xml:space="preserve"> </w:t>
      </w:r>
      <w:r>
        <w:t xml:space="preserve">parameter to contact the data consumer directly and send any available subscription updates. In the absence of a valid callback endpoint value, the data provider may discover the consumer’s URL utilising an appropriate Service Registry (e.g. MSR). The data consumer can be identified through its MRN, contained in the HTTPS request certificate provided during the TLS/SSL authentication step. This workaround is compatible with the specifications of SECOM v1.0 and allows the service to identify the data consumer and locate its uploading interface. More information on the dynamic behaviour of the subscription operation and its relation to the SECOM-compliant service registry is provided in Section 7.3.</w:t>
      </w:r>
    </w:p>
    <w:p>
      <w:pPr>
        <w:pStyle w:val="BodyText"/>
      </w:pPr>
      <w:r>
        <w:t xml:space="preserve">The service needs to keep track of the following operations:</w:t>
      </w:r>
    </w:p>
    <w:p>
      <w:pPr>
        <w:pStyle w:val="Compact"/>
        <w:numPr>
          <w:ilvl w:val="0"/>
          <w:numId w:val="1014"/>
        </w:numPr>
      </w:pPr>
      <w:r>
        <w:t xml:space="preserve">New subscriptions</w:t>
      </w:r>
    </w:p>
    <w:p>
      <w:pPr>
        <w:pStyle w:val="Compact"/>
        <w:numPr>
          <w:ilvl w:val="0"/>
          <w:numId w:val="1014"/>
        </w:numPr>
      </w:pPr>
      <w:r>
        <w:t xml:space="preserve">Changes between two points in time (S-125 delta files)</w:t>
      </w:r>
    </w:p>
    <w:p>
      <w:pPr>
        <w:pStyle w:val="Compact"/>
        <w:numPr>
          <w:ilvl w:val="0"/>
          <w:numId w:val="1014"/>
        </w:numPr>
      </w:pPr>
      <w:r>
        <w:t xml:space="preserve">Cancellation of datasets</w:t>
      </w:r>
    </w:p>
    <w:p>
      <w:pPr>
        <w:pStyle w:val="FirstParagraph"/>
      </w:pPr>
      <w:r>
        <w:t xml:space="preserve">Once the subscription request is received and processed successfully, the service will create a new subscription record for the respective client and return a unique UUID identifier for that record. The response containing with the generated are presented in the example service response.</w:t>
      </w:r>
    </w:p>
    <w:p>
      <w:pPr>
        <w:pStyle w:val="BodyText"/>
      </w:pPr>
      <w:r>
        <w:t xml:space="preserve">A subscription can be cancelled through the</w:t>
      </w:r>
      <w:r>
        <w:t xml:space="preserve"> </w:t>
      </w:r>
      <w:r>
        <w:rPr>
          <w:i/>
          <w:iCs/>
        </w:rPr>
        <w:t xml:space="preserve">Remove Subscription</w:t>
      </w:r>
      <w:r>
        <w:t xml:space="preserve"> </w:t>
      </w:r>
      <w:r>
        <w:t xml:space="preserve">operation. More information can be found in Section 6.2.5.</w:t>
      </w:r>
    </w:p>
    <w:p>
      <w:pPr>
        <w:pStyle w:val="BodyText"/>
      </w:pPr>
      <w:r>
        <w:t xml:space="preserve">The operation interface consumes the following consumer interfaces:</w:t>
      </w:r>
    </w:p>
    <w:p>
      <w:pPr>
        <w:pStyle w:val="Compact"/>
        <w:numPr>
          <w:ilvl w:val="0"/>
          <w:numId w:val="1015"/>
        </w:numPr>
      </w:pPr>
      <w:r>
        <w:t xml:space="preserve">Upload</w:t>
      </w:r>
    </w:p>
    <w:p>
      <w:pPr>
        <w:pStyle w:val="Compact"/>
        <w:numPr>
          <w:ilvl w:val="0"/>
          <w:numId w:val="1015"/>
        </w:numPr>
      </w:pPr>
      <w:r>
        <w:t xml:space="preserve">Subscription Notification</w:t>
      </w:r>
    </w:p>
    <w:p>
      <w:pPr>
        <w:pStyle w:val="FirstParagraph"/>
      </w:pPr>
      <w:r>
        <w:t xml:space="preserve">The Upload consumer interface can be used by the data provider to push bew and/or updated S-125 datasets to the subscribed service consumer. The Subscription Notification consumer interface on the other hand, is used to inform the consumer that on the status of the subscription, i.e., when it has been successfully activated or removed. More information on this operation can be found in Section 7.2. Note that for each new subscription, a Subscription Identifier should be made available to the consumer though the interface’s response.</w:t>
      </w:r>
    </w:p>
    <w:p>
      <w:pPr>
        <w:pStyle w:val="BodyText"/>
      </w:pPr>
      <w:r>
        <w:t xml:space="preserve">The operation supports multiple filter parameters, presented in more detail in Table 5. To ensure the authenticity of the operation request, the filter parameters are included within a signed SECOM envelope structure. Data provider instances are required to support all referenced filter parameters.</w:t>
      </w:r>
    </w:p>
    <w:p>
      <w:pPr>
        <w:pStyle w:val="BodyText"/>
      </w:pPr>
      <w:r>
        <w:t xml:space="preserve">All criteria for the subscription are optional. If none are provided, all authorized data from the data provider will be included in the subscription. If more than one criteria is provided, these must be combined with a logical AND, hence all criteria must be met.</w:t>
      </w:r>
    </w:p>
    <w:bookmarkEnd w:id="109"/>
    <w:bookmarkStart w:id="111" w:name="X08f1b0bb3749608ff4a1f93d590dae1ddb630bc"/>
    <w:p>
      <w:pPr>
        <w:pStyle w:val="Heading4"/>
      </w:pPr>
      <w:r>
        <w:t xml:space="preserve">Operation Parameters</w:t>
      </w:r>
    </w:p>
    <w:bookmarkStart w:id="110" w:name="X81f2aa06f98cb52414e78ae024feabb8f7784d6"/>
    <w:p>
      <w:pPr>
        <w:pStyle w:val="TableCaption"/>
      </w:pPr>
      <w:r>
        <w:t xml:space="preserve">The Subscription Operation Parameters.</w:t>
      </w:r>
    </w:p>
    <w:tbl>
      <w:tblPr>
        <w:tblStyle w:val="Table"/>
        <w:tblW w:type="pct" w:w="5000"/>
        <w:tblLayout w:type="fixed"/>
        <w:tblLook w:firstRow="1" w:lastRow="0" w:firstColumn="0" w:lastColumn="0" w:noHBand="0" w:noVBand="0" w:val="0020"/>
        <w:tblCaption w:val="The Subscription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containerType</w:t>
            </w:r>
          </w:p>
        </w:tc>
        <w:tc>
          <w:tcPr/>
          <w:p>
            <w:pPr>
              <w:pStyle w:val="Compact"/>
            </w:pPr>
            <w:r>
              <w:t xml:space="preserve">Integer</w:t>
            </w:r>
          </w:p>
        </w:tc>
        <w:tc>
          <w:tcPr/>
          <w:p>
            <w:pPr>
              <w:pStyle w:val="Compact"/>
            </w:pPr>
            <w:r>
              <w:t xml:space="preserve">0..1</w:t>
            </w:r>
          </w:p>
        </w:tc>
        <w:tc>
          <w:tcPr/>
          <w:p>
            <w:pPr>
              <w:pStyle w:val="Compact"/>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Compact"/>
            </w:pPr>
            <w:r>
              <w:t xml:space="preserve">dataProductType</w:t>
            </w:r>
          </w:p>
        </w:tc>
        <w:tc>
          <w:tcPr/>
          <w:p>
            <w:pPr>
              <w:pStyle w:val="Compact"/>
            </w:pPr>
            <w:r>
              <w:t xml:space="preserve">String</w:t>
            </w:r>
          </w:p>
        </w:tc>
        <w:tc>
          <w:tcPr/>
          <w:p>
            <w:pPr>
              <w:pStyle w:val="Compact"/>
            </w:pPr>
            <w:r>
              <w:t xml:space="preserve">0..1</w:t>
            </w:r>
          </w:p>
        </w:tc>
        <w:tc>
          <w:tcPr/>
          <w:p>
            <w:pPr>
              <w:pStyle w:val="Compact"/>
            </w:pPr>
            <w:r>
              <w:t xml:space="preserve">Data product type as described in</w:t>
            </w:r>
            <w:r>
              <w:t xml:space="preserve"> </w:t>
            </w:r>
            <w:r>
              <w:t xml:space="preserve">[2]</w:t>
            </w:r>
            <w:r>
              <w:t xml:space="preserve">.</w:t>
            </w:r>
          </w:p>
        </w:tc>
      </w:tr>
      <w:tr>
        <w:tc>
          <w:tcPr/>
          <w:p>
            <w:pPr>
              <w:pStyle w:val="Compact"/>
            </w:pPr>
            <w:r>
              <w:t xml:space="preserve">productVersion</w:t>
            </w:r>
          </w:p>
        </w:tc>
        <w:tc>
          <w:tcPr/>
          <w:p>
            <w:pPr>
              <w:pStyle w:val="Compact"/>
            </w:pPr>
            <w:r>
              <w:t xml:space="preserve">String</w:t>
            </w:r>
          </w:p>
        </w:tc>
        <w:tc>
          <w:tcPr/>
          <w:p>
            <w:pPr>
              <w:pStyle w:val="Compact"/>
            </w:pPr>
            <w:r>
              <w:t xml:space="preserve">0..1</w:t>
            </w:r>
          </w:p>
        </w:tc>
        <w:tc>
          <w:tcPr/>
          <w:p>
            <w:pPr>
              <w:pStyle w:val="Compact"/>
            </w:pPr>
            <w:r>
              <w:t xml:space="preserve">S-100 based Product type version, e.g. 1.0.0.</w:t>
            </w:r>
          </w:p>
        </w:tc>
      </w:tr>
      <w:tr>
        <w:tc>
          <w:tcPr/>
          <w:p>
            <w:pPr>
              <w:pStyle w:val="Compact"/>
            </w:pPr>
            <w:r>
              <w:t xml:space="preserve">dataReference</w:t>
            </w:r>
          </w:p>
        </w:tc>
        <w:tc>
          <w:tcPr/>
          <w:p>
            <w:pPr>
              <w:pStyle w:val="Compact"/>
            </w:pPr>
            <w:r>
              <w:t xml:space="preserve">UUID</w:t>
            </w:r>
          </w:p>
        </w:tc>
        <w:tc>
          <w:tcPr/>
          <w:p>
            <w:pPr>
              <w:pStyle w:val="Compact"/>
            </w:pPr>
            <w:r>
              <w:t xml:space="preserve">0..1</w:t>
            </w:r>
          </w:p>
        </w:tc>
        <w:tc>
          <w:tcPr/>
          <w:p>
            <w:pPr>
              <w:pStyle w:val="Compact"/>
            </w:pPr>
            <w:r>
              <w:t xml:space="preserve">Dataset reference identifier to a specific S-125 dataset. The reference can be provided as search criteria. A list of references can be retrieved via Get Summary interface. If no references are provided.</w:t>
            </w:r>
          </w:p>
        </w:tc>
      </w:tr>
      <w:tr>
        <w:tc>
          <w:tcPr/>
          <w:p>
            <w:pPr>
              <w:pStyle w:val="Compact"/>
            </w:pPr>
            <w:r>
              <w:t xml:space="preserve">geometry</w:t>
            </w:r>
          </w:p>
        </w:tc>
        <w:tc>
          <w:tcPr/>
          <w:p>
            <w:pPr>
              <w:pStyle w:val="Compact"/>
            </w:pPr>
            <w:r>
              <w:t xml:space="preserve">String (WKT)</w:t>
            </w:r>
          </w:p>
        </w:tc>
        <w:tc>
          <w:tcPr/>
          <w:p>
            <w:pPr>
              <w:pStyle w:val="Compact"/>
            </w:pPr>
            <w:r>
              <w:t xml:space="preserve">0..1</w:t>
            </w:r>
          </w:p>
        </w:tc>
        <w:tc>
          <w:tcPr/>
          <w:p>
            <w:pPr>
              <w:pStyle w:val="Compact"/>
            </w:pPr>
            <w:r>
              <w:t xml:space="preserve">Geometry condition for geo-located information objects in WKT format. This can be used to filter on geometric shapes (e.g., filter S-125 datasets by a bounding box).</w:t>
            </w:r>
          </w:p>
        </w:tc>
      </w:tr>
      <w:tr>
        <w:tc>
          <w:tcPr/>
          <w:p>
            <w:pPr>
              <w:pStyle w:val="Compact"/>
            </w:pPr>
            <w:r>
              <w:t xml:space="preserve">unlocode</w:t>
            </w:r>
          </w:p>
        </w:tc>
        <w:tc>
          <w:tcPr/>
          <w:p>
            <w:pPr>
              <w:pStyle w:val="Compact"/>
            </w:pPr>
            <w:r>
              <w:t xml:space="preserve">String</w:t>
            </w:r>
          </w:p>
        </w:tc>
        <w:tc>
          <w:tcPr/>
          <w:p>
            <w:pPr>
              <w:pStyle w:val="Compact"/>
            </w:pPr>
            <w:r>
              <w:t xml:space="preserve">0..1</w:t>
            </w:r>
          </w:p>
        </w:tc>
        <w:tc>
          <w:tcPr/>
          <w:p>
            <w:pPr>
              <w:pStyle w:val="Compact"/>
            </w:pPr>
            <w:r>
              <w:t xml:space="preserve">UN/LOCODE (United Nations Code for Trade and Transport Locations) of a defined object (e.g., “CN” for China).</w:t>
            </w:r>
          </w:p>
        </w:tc>
      </w:tr>
      <w:tr>
        <w:tc>
          <w:tcPr/>
          <w:p>
            <w:pPr>
              <w:pStyle w:val="Compact"/>
            </w:pPr>
            <w:r>
              <w:t xml:space="preserve">subscriptionPeriodStart</w:t>
            </w:r>
          </w:p>
        </w:tc>
        <w:tc>
          <w:tcPr/>
          <w:p>
            <w:pPr>
              <w:pStyle w:val="Compact"/>
            </w:pPr>
            <w:r>
              <w:t xml:space="preserve">DateTime</w:t>
            </w:r>
          </w:p>
        </w:tc>
        <w:tc>
          <w:tcPr/>
          <w:p>
            <w:pPr>
              <w:pStyle w:val="Compact"/>
            </w:pPr>
            <w:r>
              <w:t xml:space="preserve">0..1</w:t>
            </w:r>
          </w:p>
        </w:tc>
        <w:tc>
          <w:tcPr/>
          <w:p>
            <w:pPr>
              <w:pStyle w:val="Compact"/>
            </w:pPr>
            <w:r>
              <w:t xml:space="preserve">The start date and time for which the subscription is active.</w:t>
            </w:r>
          </w:p>
        </w:tc>
      </w:tr>
      <w:tr>
        <w:tc>
          <w:tcPr/>
          <w:p>
            <w:pPr>
              <w:pStyle w:val="Compact"/>
            </w:pPr>
            <w:r>
              <w:t xml:space="preserve">subscriptionPeriodEnd</w:t>
            </w:r>
          </w:p>
        </w:tc>
        <w:tc>
          <w:tcPr/>
          <w:p>
            <w:pPr>
              <w:pStyle w:val="Compact"/>
            </w:pPr>
            <w:r>
              <w:t xml:space="preserve">DateTime</w:t>
            </w:r>
          </w:p>
        </w:tc>
        <w:tc>
          <w:tcPr/>
          <w:p>
            <w:pPr>
              <w:pStyle w:val="Compact"/>
            </w:pPr>
            <w:r>
              <w:t xml:space="preserve">0..1</w:t>
            </w:r>
          </w:p>
        </w:tc>
        <w:tc>
          <w:tcPr/>
          <w:p>
            <w:pPr>
              <w:pStyle w:val="Compact"/>
            </w:pPr>
            <w:r>
              <w:t xml:space="preserve">The end date and time for which the subscription is active.</w:t>
            </w:r>
          </w:p>
        </w:tc>
      </w:tr>
      <w:tr>
        <w:tc>
          <w:tcPr/>
          <w:p>
            <w:pPr>
              <w:pStyle w:val="Compact"/>
            </w:pPr>
            <w:r>
              <w:t xml:space="preserve">callbackEndpoint</w:t>
            </w:r>
          </w:p>
        </w:tc>
        <w:tc>
          <w:tcPr/>
          <w:p>
            <w:pPr>
              <w:pStyle w:val="Compact"/>
            </w:pPr>
            <w:r>
              <w:t xml:space="preserve">URL</w:t>
            </w:r>
          </w:p>
        </w:tc>
        <w:tc>
          <w:tcPr/>
          <w:p>
            <w:pPr>
              <w:pStyle w:val="Compact"/>
            </w:pPr>
            <w:r>
              <w:t xml:space="preserve">0..1</w:t>
            </w:r>
          </w:p>
        </w:tc>
        <w:tc>
          <w:tcPr/>
          <w:p>
            <w:pPr>
              <w:pStyle w:val="Compact"/>
            </w:pPr>
            <w:r>
              <w:t xml:space="preserve">Base URL to the requestor’s SECOM service Attribute Messages within subscription are sent to callbackEndpoint/object. If not availalble, the baseUrl needs to be available through search service.</w:t>
            </w:r>
          </w:p>
        </w:tc>
      </w:tr>
      <w:tr>
        <w:tc>
          <w:tcPr/>
          <w:p>
            <w:pPr>
              <w:pStyle w:val="Compact"/>
            </w:pPr>
            <w:r>
              <w:t xml:space="preserve">pushAll</w:t>
            </w:r>
          </w:p>
        </w:tc>
        <w:tc>
          <w:tcPr/>
          <w:p>
            <w:pPr>
              <w:pStyle w:val="Compact"/>
            </w:pPr>
            <w:r>
              <w:t xml:space="preserve">Boolean</w:t>
            </w:r>
          </w:p>
        </w:tc>
        <w:tc>
          <w:tcPr/>
          <w:p>
            <w:pPr>
              <w:pStyle w:val="Compact"/>
            </w:pPr>
            <w:r>
              <w:t xml:space="preserve">0..1</w:t>
            </w:r>
          </w:p>
        </w:tc>
        <w:tc>
          <w:tcPr/>
          <w:p>
            <w:pPr>
              <w:pStyle w:val="Compact"/>
            </w:pPr>
            <w:r>
              <w:t xml:space="preserve">Flag for sending an initial set of data within requested subscription and then start the subscription.</w:t>
            </w:r>
            <w:r>
              <w:t xml:space="preserve"> </w:t>
            </w:r>
            <w:r>
              <w:t xml:space="preserve">If false, only data updates from the start of the subscription will be sent.</w:t>
            </w:r>
          </w:p>
        </w:tc>
      </w:tr>
    </w:tbl>
    <w:bookmarkEnd w:id="110"/>
    <w:bookmarkEnd w:id="111"/>
    <w:bookmarkStart w:id="112" w:name="X321683171bcb3ba35cb61ce6bceb6ef6fa07486"/>
    <w:p>
      <w:pPr>
        <w:pStyle w:val="Heading4"/>
      </w:pPr>
      <w:r>
        <w:t xml:space="preserve">Interpretation Guidelines</w:t>
      </w:r>
    </w:p>
    <w:p>
      <w:pPr>
        <w:pStyle w:val="FirstParagraph"/>
      </w:pPr>
      <w:r>
        <w:t xml:space="preserve">The</w:t>
      </w:r>
      <w:r>
        <w:t xml:space="preserve"> </w:t>
      </w:r>
      <w:r>
        <w:rPr>
          <w:b/>
          <w:bCs/>
        </w:rPr>
        <w:t xml:space="preserve">dataReference</w:t>
      </w:r>
      <w:r>
        <w:t xml:space="preserve"> </w:t>
      </w:r>
      <w:r>
        <w:t xml:space="preserve">criteria means that only new updates of the specific S-125 dataset will be sent in the subscription. If the dataReference dataset is cancelled or deleted, the subscription ends.</w:t>
      </w:r>
    </w:p>
    <w:p>
      <w:pPr>
        <w:pStyle w:val="BodyText"/>
      </w:pPr>
      <w:r>
        <w:t xml:space="preserve">The</w:t>
      </w:r>
      <w:r>
        <w:t xml:space="preserve"> </w:t>
      </w:r>
      <w:r>
        <w:rPr>
          <w:b/>
          <w:bCs/>
        </w:rPr>
        <w:t xml:space="preserve">containterType</w:t>
      </w:r>
      <w:r>
        <w:t xml:space="preserve"> </w:t>
      </w:r>
      <w:r>
        <w:t xml:space="preserve">describes how the data is packaged, e.g. 0 for a S-100 DataSet, 1 for a S-100 Exchange-Set or 2 for no specific container, e.g. RTZ in XML.</w:t>
      </w:r>
    </w:p>
    <w:p>
      <w:pPr>
        <w:pStyle w:val="BodyText"/>
      </w:pPr>
      <w:r>
        <w:t xml:space="preserve">The</w:t>
      </w:r>
      <w:r>
        <w:t xml:space="preserve"> </w:t>
      </w:r>
      <w:r>
        <w:rPr>
          <w:b/>
          <w:bCs/>
        </w:rPr>
        <w:t xml:space="preserve">dataProductType</w:t>
      </w:r>
      <w:r>
        <w:t xml:space="preserve"> </w:t>
      </w:r>
      <w:r>
        <w:t xml:space="preserve">and</w:t>
      </w:r>
      <w:r>
        <w:t xml:space="preserve"> </w:t>
      </w:r>
      <w:r>
        <w:rPr>
          <w:b/>
          <w:bCs/>
        </w:rPr>
        <w:t xml:space="preserve">productVersion</w:t>
      </w:r>
      <w:r>
        <w:t xml:space="preserve"> </w:t>
      </w:r>
      <w:r>
        <w:t xml:space="preserve">criteria means that only information of the type and version will be sent in the subscription. For the purpose of this service design, the data product type must always</w:t>
      </w:r>
      <w:r>
        <w:t xml:space="preserve"> </w:t>
      </w:r>
      <w:r>
        <w:t xml:space="preserve">“S-125”</w:t>
      </w:r>
      <w:r>
        <w:t xml:space="preserve"> </w:t>
      </w:r>
      <w:r>
        <w:t xml:space="preserve">as per the format specified in S-100</w:t>
      </w:r>
      <w:r>
        <w:t xml:space="preserve"> </w:t>
      </w:r>
      <w:r>
        <w:t xml:space="preserve">[8]</w:t>
      </w:r>
      <w:r>
        <w:t xml:space="preserve">.</w:t>
      </w:r>
    </w:p>
    <w:p>
      <w:pPr>
        <w:pStyle w:val="BodyText"/>
      </w:pPr>
      <w:r>
        <w:t xml:space="preserve">The</w:t>
      </w:r>
      <w:r>
        <w:t xml:space="preserve"> </w:t>
      </w:r>
      <w:r>
        <w:rPr>
          <w:b/>
          <w:bCs/>
        </w:rPr>
        <w:t xml:space="preserve">geometry</w:t>
      </w:r>
      <w:r>
        <w:t xml:space="preserve"> </w:t>
      </w:r>
      <w:r>
        <w:t xml:space="preserve">describes geographical criteria for the data requested. The geometry is given as a one-line WKT formatted string and can contain one or more geographical objects.</w:t>
      </w:r>
    </w:p>
    <w:p>
      <w:pPr>
        <w:pStyle w:val="BodyText"/>
      </w:pPr>
      <w:r>
        <w:t xml:space="preserve">The</w:t>
      </w:r>
      <w:r>
        <w:t xml:space="preserve"> </w:t>
      </w:r>
      <w:r>
        <w:rPr>
          <w:b/>
          <w:bCs/>
        </w:rPr>
        <w:t xml:space="preserve">unlocode</w:t>
      </w:r>
      <w:r>
        <w:t xml:space="preserve"> </w:t>
      </w:r>
      <w:r>
        <w:t xml:space="preserve">criteria means that only information related to the unlocode will be sent in the subscription. If there is no unlocode related to the information provided by the service, the unlocode is ignored.</w:t>
      </w:r>
    </w:p>
    <w:p>
      <w:pPr>
        <w:pStyle w:val="BodyText"/>
      </w:pPr>
      <w:r>
        <w:t xml:space="preserve">The</w:t>
      </w:r>
      <w:r>
        <w:t xml:space="preserve"> </w:t>
      </w:r>
      <w:r>
        <w:rPr>
          <w:b/>
          <w:bCs/>
        </w:rPr>
        <w:t xml:space="preserve">subscriptionPeriodStart</w:t>
      </w:r>
      <w:r>
        <w:t xml:space="preserve"> </w:t>
      </w:r>
      <w:r>
        <w:t xml:space="preserve">and</w:t>
      </w:r>
      <w:r>
        <w:t xml:space="preserve"> </w:t>
      </w:r>
      <w:r>
        <w:rPr>
          <w:b/>
          <w:bCs/>
        </w:rPr>
        <w:t xml:space="preserve">subscriptionPeriodEnd</w:t>
      </w:r>
      <w:r>
        <w:t xml:space="preserve"> </w:t>
      </w:r>
      <w:r>
        <w:t xml:space="preserve">criteria mean that data produced in the given time period will be sent in the subscription. When subscriptionPeriodEnd is reached, the subscription shall be removed automatically. The time period is recommended to be formatted in ISO 8601 UTC as yyyy-mm-dd hh:mm:ssZ.</w:t>
      </w:r>
    </w:p>
    <w:p>
      <w:pPr>
        <w:pStyle w:val="BodyText"/>
      </w:pPr>
      <w:r>
        <w:t xml:space="preserve">The</w:t>
      </w:r>
      <w:r>
        <w:t xml:space="preserve"> </w:t>
      </w:r>
      <w:r>
        <w:rPr>
          <w:b/>
          <w:bCs/>
        </w:rPr>
        <w:t xml:space="preserve">callbackEndpoint</w:t>
      </w:r>
      <w:r>
        <w:t xml:space="preserve"> </w:t>
      </w:r>
      <w:r>
        <w:t xml:space="preserve">optionally contains the URL of the data consumers. The service may use that information to contact the data consumer when updates are available for an established subscription. If that information is not available, the data provider should search for the data consumer using the provided MRN in the appropriate Service Registry (e.g. MSR).</w:t>
      </w:r>
    </w:p>
    <w:p>
      <w:pPr>
        <w:pStyle w:val="BodyText"/>
      </w:pPr>
      <w:r>
        <w:t xml:space="preserve">The</w:t>
      </w:r>
      <w:r>
        <w:t xml:space="preserve"> </w:t>
      </w:r>
      <w:r>
        <w:rPr>
          <w:b/>
          <w:bCs/>
        </w:rPr>
        <w:t xml:space="preserve">pushAll</w:t>
      </w:r>
      <w:r>
        <w:t xml:space="preserve"> </w:t>
      </w:r>
      <w:r>
        <w:t xml:space="preserve">flag signals that the service is expected push the latest S-125 datasets covered by a subscription to the data consumer, right after the subscription has been established. This removes the requirement for data consumers to always pull the data manually when creating a subscription.</w:t>
      </w:r>
    </w:p>
    <w:bookmarkEnd w:id="112"/>
    <w:bookmarkEnd w:id="113"/>
    <w:bookmarkStart w:id="118" w:name="Xb42e42c97a53f37c9809fb0a730f8ea83423c15"/>
    <w:p>
      <w:pPr>
        <w:pStyle w:val="Heading3"/>
      </w:pPr>
      <w:r>
        <w:t xml:space="preserve">Operation Remove Subscription</w:t>
      </w:r>
    </w:p>
    <w:p>
      <w:pPr>
        <w:pStyle w:val="FirstParagraph"/>
      </w:pPr>
      <w:r>
        <w:t xml:space="preserve">The</w:t>
      </w:r>
      <w:r>
        <w:t xml:space="preserve"> </w:t>
      </w:r>
      <w:r>
        <w:rPr>
          <w:i/>
          <w:iCs/>
        </w:rPr>
        <w:t xml:space="preserve">Remove Subscription</w:t>
      </w:r>
      <w:r>
        <w:t xml:space="preserve"> </w:t>
      </w:r>
      <w:r>
        <w:t xml:space="preserve">operation can be used to remove subscriptions that were created earlier through the Subscribe operation. It follows a one-way paradigm (ONE_WAY), where a client sends data to consumer without expecting information back, other than a technical response.</w:t>
      </w:r>
    </w:p>
    <w:p>
      <w:pPr>
        <w:pStyle w:val="BodyText"/>
      </w:pPr>
      <w:r>
        <w:t xml:space="preserve">The Remove Subscription operation interface must be implemented only by the data provider.</w:t>
      </w:r>
    </w:p>
    <w:p>
      <w:pPr>
        <w:pStyle w:val="BodyText"/>
      </w:pPr>
      <w:r>
        <w:t xml:space="preserve">Use of the interface is according to the SECOM specification.</w:t>
      </w:r>
    </w:p>
    <w:p>
      <w:pPr>
        <w:pStyle w:val="Compact"/>
        <w:numPr>
          <w:ilvl w:val="0"/>
          <w:numId w:val="1016"/>
        </w:numPr>
      </w:pPr>
      <w:r>
        <w:t xml:space="preserve">Name: Remove Subscription Interface</w:t>
      </w:r>
    </w:p>
    <w:p>
      <w:pPr>
        <w:pStyle w:val="Compact"/>
        <w:numPr>
          <w:ilvl w:val="0"/>
          <w:numId w:val="1016"/>
        </w:numPr>
      </w:pPr>
      <w:r>
        <w:t xml:space="preserve">Sub-path: /v2/subscription</w:t>
      </w:r>
    </w:p>
    <w:p>
      <w:pPr>
        <w:pStyle w:val="Compact"/>
        <w:numPr>
          <w:ilvl w:val="0"/>
          <w:numId w:val="1016"/>
        </w:numPr>
      </w:pPr>
      <w:r>
        <w:t xml:space="preserve">HTTP-Method: DELETE</w:t>
      </w:r>
    </w:p>
    <w:p>
      <w:pPr>
        <w:pStyle w:val="Compact"/>
        <w:numPr>
          <w:ilvl w:val="0"/>
          <w:numId w:val="1016"/>
        </w:numPr>
      </w:pPr>
      <w:r>
        <w:t xml:space="preserve">Cookies: Session-Cookies (optional)</w:t>
      </w:r>
    </w:p>
    <w:p>
      <w:pPr>
        <w:pStyle w:val="Compact"/>
        <w:numPr>
          <w:ilvl w:val="0"/>
          <w:numId w:val="1016"/>
        </w:numPr>
      </w:pPr>
      <w:r>
        <w:t xml:space="preserve">Content-Type: application/json</w:t>
      </w:r>
    </w:p>
    <w:bookmarkStart w:id="114" w:name="X4db56b38b45308e6f52bddc728ea5ce8e34df69"/>
    <w:p>
      <w:pPr>
        <w:pStyle w:val="Heading4"/>
      </w:pPr>
      <w:r>
        <w:t xml:space="preserve">Operation Functionality</w:t>
      </w:r>
    </w:p>
    <w:p>
      <w:pPr>
        <w:pStyle w:val="FirstParagraph"/>
      </w:pPr>
      <w:r>
        <w:t xml:space="preserve">The SECOM interface specification is not clear on whether the MRN of the data consumer that originally requested the subscription is to be checked against the MRN of the actor who performed this request. It is therefore assumed that any valid data consumer can terminate an existing subscription. A notification is then expected to inform the subscribed data consumer. If no subscription identifier parameter is specified, the service will respond with an error code and an appropriate message.</w:t>
      </w:r>
    </w:p>
    <w:p>
      <w:pPr>
        <w:pStyle w:val="BodyText"/>
      </w:pPr>
      <w:r>
        <w:t xml:space="preserve">The operation interface consumes the following consumer interfaces:</w:t>
      </w:r>
    </w:p>
    <w:p>
      <w:pPr>
        <w:pStyle w:val="Compact"/>
        <w:numPr>
          <w:ilvl w:val="0"/>
          <w:numId w:val="1017"/>
        </w:numPr>
      </w:pPr>
      <w:r>
        <w:t xml:space="preserve">Subscription Notification</w:t>
      </w:r>
    </w:p>
    <w:p>
      <w:pPr>
        <w:pStyle w:val="FirstParagraph"/>
      </w:pPr>
      <w:r>
        <w:t xml:space="preserve">The Subscription Notification consumer interface is used to inform the consumer that on the status of the subscription, i.e. when it has been successfully removed.</w:t>
      </w:r>
    </w:p>
    <w:bookmarkEnd w:id="114"/>
    <w:bookmarkStart w:id="116" w:name="X59199ea899977f31328467fa29a6fde7fcbb1c9"/>
    <w:p>
      <w:pPr>
        <w:pStyle w:val="Heading4"/>
      </w:pPr>
      <w:r>
        <w:t xml:space="preserve">Operation Parameters</w:t>
      </w:r>
    </w:p>
    <w:bookmarkStart w:id="115" w:name="X4772c8611569fcb91c9b92129f66f8625501014"/>
    <w:p>
      <w:pPr>
        <w:pStyle w:val="TableCaption"/>
      </w:pPr>
      <w:r>
        <w:t xml:space="preserve">The Remove Subscription Operation Parameters.</w:t>
      </w:r>
    </w:p>
    <w:tbl>
      <w:tblPr>
        <w:tblStyle w:val="Table"/>
        <w:tblW w:type="pct" w:w="5000"/>
        <w:tblLayout w:type="fixed"/>
        <w:tblLook w:firstRow="1" w:lastRow="0" w:firstColumn="0" w:lastColumn="0" w:noHBand="0" w:noVBand="0" w:val="0020"/>
        <w:tblCaption w:val="The Remove Subscription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subscriptionIdentifier</w:t>
            </w:r>
          </w:p>
        </w:tc>
        <w:tc>
          <w:tcPr/>
          <w:p>
            <w:pPr>
              <w:pStyle w:val="Compact"/>
            </w:pPr>
            <w:r>
              <w:t xml:space="preserve">UUID</w:t>
            </w:r>
          </w:p>
        </w:tc>
        <w:tc>
          <w:tcPr/>
          <w:p>
            <w:pPr>
              <w:pStyle w:val="Compact"/>
            </w:pPr>
            <w:r>
              <w:t xml:space="preserve">1</w:t>
            </w:r>
          </w:p>
        </w:tc>
        <w:tc>
          <w:tcPr/>
          <w:p>
            <w:pPr>
              <w:pStyle w:val="Compact"/>
            </w:pPr>
            <w:r>
              <w:t xml:space="preserve">Specific identifier of the active subscription to be removed. Typically received by the data consumer after a subscription request or through a subscription notification.</w:t>
            </w:r>
          </w:p>
        </w:tc>
      </w:tr>
    </w:tbl>
    <w:bookmarkEnd w:id="115"/>
    <w:bookmarkEnd w:id="116"/>
    <w:bookmarkStart w:id="117" w:name="X9106c86090272eb126c145e456c1c58b6bb32a7"/>
    <w:p>
      <w:pPr>
        <w:pStyle w:val="Heading4"/>
      </w:pPr>
      <w:r>
        <w:t xml:space="preserve">Interpretation Guidelines</w:t>
      </w:r>
    </w:p>
    <w:p>
      <w:pPr>
        <w:pStyle w:val="FirstParagraph"/>
      </w:pPr>
      <w:r>
        <w:t xml:space="preserve">The incoming</w:t>
      </w:r>
      <w:r>
        <w:t xml:space="preserve"> </w:t>
      </w:r>
      <w:r>
        <w:rPr>
          <w:b/>
          <w:bCs/>
          <w:i/>
          <w:iCs/>
        </w:rPr>
        <w:t xml:space="preserve">subscriptionIdentifier</w:t>
      </w:r>
      <w:r>
        <w:t xml:space="preserve"> </w:t>
      </w:r>
      <w:r>
        <w:t xml:space="preserve">given when the subscription was created and provided in the Subscription Notification, is used to remove the corresponding subscription.</w:t>
      </w:r>
    </w:p>
    <w:bookmarkEnd w:id="117"/>
    <w:bookmarkEnd w:id="118"/>
    <w:bookmarkStart w:id="123" w:name="X59c21a06dcfa7ca69e3bca6a65484b6855bc793"/>
    <w:p>
      <w:pPr>
        <w:pStyle w:val="Heading3"/>
      </w:pPr>
      <w:r>
        <w:t xml:space="preserve">Operation Subscription Notification</w:t>
      </w:r>
    </w:p>
    <w:p>
      <w:pPr>
        <w:pStyle w:val="FirstParagraph"/>
      </w:pPr>
      <w:r>
        <w:t xml:space="preserve">The</w:t>
      </w:r>
      <w:r>
        <w:t xml:space="preserve"> </w:t>
      </w:r>
      <w:r>
        <w:rPr>
          <w:i/>
          <w:iCs/>
        </w:rPr>
        <w:t xml:space="preserve">Subscription Notification</w:t>
      </w:r>
      <w:r>
        <w:t xml:space="preserve"> </w:t>
      </w:r>
      <w:r>
        <w:t xml:space="preserve">operation receives notifications by data provider, when a subscription is created or removed.</w:t>
      </w:r>
    </w:p>
    <w:p>
      <w:pPr>
        <w:pStyle w:val="BodyText"/>
      </w:pPr>
      <w:r>
        <w:t xml:space="preserve">The Subscription Notification operation interface must be implemented only by the data consumer.</w:t>
      </w:r>
    </w:p>
    <w:p>
      <w:pPr>
        <w:pStyle w:val="BodyText"/>
      </w:pPr>
      <w:r>
        <w:t xml:space="preserve">Use of the interface is according to the SECOM specification.</w:t>
      </w:r>
    </w:p>
    <w:p>
      <w:pPr>
        <w:pStyle w:val="Compact"/>
        <w:numPr>
          <w:ilvl w:val="0"/>
          <w:numId w:val="1018"/>
        </w:numPr>
      </w:pPr>
      <w:r>
        <w:t xml:space="preserve">Name: Subscription Notification Interface</w:t>
      </w:r>
    </w:p>
    <w:p>
      <w:pPr>
        <w:pStyle w:val="Compact"/>
        <w:numPr>
          <w:ilvl w:val="0"/>
          <w:numId w:val="1018"/>
        </w:numPr>
      </w:pPr>
      <w:r>
        <w:t xml:space="preserve">Sub-path: /v2/subscription/notification</w:t>
      </w:r>
    </w:p>
    <w:p>
      <w:pPr>
        <w:pStyle w:val="Compact"/>
        <w:numPr>
          <w:ilvl w:val="0"/>
          <w:numId w:val="1018"/>
        </w:numPr>
      </w:pPr>
      <w:r>
        <w:t xml:space="preserve">HTTP-Method: POST</w:t>
      </w:r>
    </w:p>
    <w:p>
      <w:pPr>
        <w:pStyle w:val="Compact"/>
        <w:numPr>
          <w:ilvl w:val="0"/>
          <w:numId w:val="1018"/>
        </w:numPr>
      </w:pPr>
      <w:r>
        <w:t xml:space="preserve">Cookies: Session-Cookies (optional)</w:t>
      </w:r>
    </w:p>
    <w:p>
      <w:pPr>
        <w:pStyle w:val="Compact"/>
        <w:numPr>
          <w:ilvl w:val="0"/>
          <w:numId w:val="1018"/>
        </w:numPr>
      </w:pPr>
      <w:r>
        <w:t xml:space="preserve">Content-Type: application/json</w:t>
      </w:r>
    </w:p>
    <w:bookmarkStart w:id="119" w:name="X2bf9bbdac74bc1e187c8bccec5185cf59bd413c"/>
    <w:p>
      <w:pPr>
        <w:pStyle w:val="Heading4"/>
      </w:pPr>
      <w:r>
        <w:t xml:space="preserve">Operation Functionality</w:t>
      </w:r>
    </w:p>
    <w:p>
      <w:pPr>
        <w:pStyle w:val="FirstParagraph"/>
      </w:pPr>
      <w:r>
        <w:t xml:space="preserve">The data provider is not required to call the subscriptionNotification of the consumer unless the creation or removal of the subscription requires asynchronous action or is the result of a maintenance operation. If the subscription and removeSubscription are synchronous processes when called from the data provider, then the subscriptionNotification is not required.</w:t>
      </w:r>
    </w:p>
    <w:p>
      <w:pPr>
        <w:pStyle w:val="BodyText"/>
      </w:pPr>
      <w:r>
        <w:t xml:space="preserve">The operation two parameters, presented in more detail in Table 7. To ensure the authenticity of the operation request, these parameters are included within a signed SECOM envelope structure.</w:t>
      </w:r>
    </w:p>
    <w:bookmarkEnd w:id="119"/>
    <w:bookmarkStart w:id="121" w:name="X1bce9ac6ad41e6b25035e71d288c40cc930a663"/>
    <w:p>
      <w:pPr>
        <w:pStyle w:val="Heading4"/>
      </w:pPr>
      <w:r>
        <w:t xml:space="preserve">Operation Parameters</w:t>
      </w:r>
    </w:p>
    <w:bookmarkStart w:id="120" w:name="Xa4f5fc2e2a48fe5cd66cf61877cb24873523153"/>
    <w:p>
      <w:pPr>
        <w:pStyle w:val="TableCaption"/>
      </w:pPr>
      <w:r>
        <w:t xml:space="preserve">The Subscription Notification Operation Parameters.</w:t>
      </w:r>
    </w:p>
    <w:tbl>
      <w:tblPr>
        <w:tblStyle w:val="Table"/>
        <w:tblW w:type="pct" w:w="5000"/>
        <w:tblLayout w:type="fixed"/>
        <w:tblLook w:firstRow="1" w:lastRow="0" w:firstColumn="0" w:lastColumn="0" w:noHBand="0" w:noVBand="0" w:val="0020"/>
        <w:tblCaption w:val="The Subscription Notification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subscriptionIdentifier</w:t>
            </w:r>
          </w:p>
        </w:tc>
        <w:tc>
          <w:tcPr/>
          <w:p>
            <w:pPr>
              <w:pStyle w:val="Compact"/>
            </w:pPr>
            <w:r>
              <w:t xml:space="preserve">UUID</w:t>
            </w:r>
          </w:p>
        </w:tc>
        <w:tc>
          <w:tcPr/>
          <w:p>
            <w:pPr>
              <w:pStyle w:val="Compact"/>
            </w:pPr>
            <w:r>
              <w:t xml:space="preserve">1</w:t>
            </w:r>
          </w:p>
        </w:tc>
        <w:tc>
          <w:tcPr/>
          <w:p>
            <w:pPr>
              <w:pStyle w:val="Compact"/>
            </w:pPr>
            <w:r>
              <w:t xml:space="preserve">Specific identifier of the subscription for which the status has being updated.</w:t>
            </w:r>
          </w:p>
        </w:tc>
      </w:tr>
      <w:tr>
        <w:tc>
          <w:tcPr/>
          <w:p>
            <w:pPr>
              <w:pStyle w:val="Compact"/>
            </w:pPr>
            <w:r>
              <w:t xml:space="preserve">eventEnum</w:t>
            </w:r>
          </w:p>
        </w:tc>
        <w:tc>
          <w:tcPr/>
          <w:p>
            <w:pPr>
              <w:pStyle w:val="Compact"/>
            </w:pPr>
            <w:r>
              <w:t xml:space="preserve">SubscriptionEventEnum as defined in</w:t>
            </w:r>
            <w:r>
              <w:t xml:space="preserve"> </w:t>
            </w:r>
            <w:r>
              <w:t xml:space="preserve">[2]</w:t>
            </w:r>
            <w:r>
              <w:t xml:space="preserve">.</w:t>
            </w:r>
          </w:p>
        </w:tc>
        <w:tc>
          <w:tcPr/>
          <w:p>
            <w:pPr>
              <w:pStyle w:val="Compact"/>
            </w:pPr>
            <w:r>
              <w:t xml:space="preserve">1</w:t>
            </w:r>
          </w:p>
        </w:tc>
        <w:tc>
          <w:tcPr/>
          <w:p>
            <w:pPr>
              <w:pStyle w:val="Compact"/>
            </w:pPr>
            <w:r>
              <w:t xml:space="preserve">Type of subscription status update event e.g., Created or Removed.</w:t>
            </w:r>
          </w:p>
        </w:tc>
      </w:tr>
    </w:tbl>
    <w:bookmarkEnd w:id="120"/>
    <w:bookmarkEnd w:id="121"/>
    <w:bookmarkStart w:id="122" w:name="X52618f391124e233f83a6d777446f531d5496ff"/>
    <w:p>
      <w:pPr>
        <w:pStyle w:val="Heading4"/>
      </w:pPr>
      <w:r>
        <w:t xml:space="preserve">Interpretation Guidelines</w:t>
      </w:r>
    </w:p>
    <w:p>
      <w:pPr>
        <w:pStyle w:val="FirstParagraph"/>
      </w:pPr>
      <w:r>
        <w:t xml:space="preserve">The</w:t>
      </w:r>
      <w:r>
        <w:t xml:space="preserve"> </w:t>
      </w:r>
      <w:r>
        <w:rPr>
          <w:b/>
          <w:bCs/>
        </w:rPr>
        <w:t xml:space="preserve">subscriptionIdentifier</w:t>
      </w:r>
      <w:r>
        <w:t xml:space="preserve"> </w:t>
      </w:r>
      <w:r>
        <w:t xml:space="preserve">is the reference to the specific subscription in focus.</w:t>
      </w:r>
    </w:p>
    <w:p>
      <w:pPr>
        <w:pStyle w:val="BodyText"/>
      </w:pPr>
      <w:r>
        <w:t xml:space="preserve">The</w:t>
      </w:r>
      <w:r>
        <w:t xml:space="preserve"> </w:t>
      </w:r>
      <w:r>
        <w:rPr>
          <w:b/>
          <w:bCs/>
        </w:rPr>
        <w:t xml:space="preserve">eventEnum</w:t>
      </w:r>
      <w:r>
        <w:t xml:space="preserve"> </w:t>
      </w:r>
      <w:r>
        <w:t xml:space="preserve">describes the type of event, e.g. 1 when the subscription is created and</w:t>
      </w:r>
      <w:r>
        <w:t xml:space="preserve"> </w:t>
      </w:r>
      <w:r>
        <w:t xml:space="preserve">“2”</w:t>
      </w:r>
      <w:r>
        <w:t xml:space="preserve"> </w:t>
      </w:r>
      <w:r>
        <w:t xml:space="preserve">when the subscription is removed.</w:t>
      </w:r>
    </w:p>
    <w:bookmarkEnd w:id="122"/>
    <w:bookmarkEnd w:id="123"/>
    <w:bookmarkStart w:id="128" w:name="sec:interface_behaviour_operation_upload"/>
    <w:p>
      <w:pPr>
        <w:pStyle w:val="Heading3"/>
      </w:pPr>
      <w:r>
        <w:t xml:space="preserve">Operation Upload</w:t>
      </w:r>
    </w:p>
    <w:p>
      <w:pPr>
        <w:pStyle w:val="FirstParagraph"/>
      </w:pPr>
      <w:r>
        <w:t xml:space="preserve">The</w:t>
      </w:r>
      <w:r>
        <w:t xml:space="preserve"> </w:t>
      </w:r>
      <w:r>
        <w:rPr>
          <w:i/>
          <w:iCs/>
        </w:rPr>
        <w:t xml:space="preserve">Upload</w:t>
      </w:r>
      <w:r>
        <w:t xml:space="preserve"> </w:t>
      </w:r>
      <w:r>
        <w:t xml:space="preserve">operation enables data providers to upload (push) AtoN information to the data consumers. It allows consumers to receive S-125 datasets, while in a subscription or a due to a broadcast.</w:t>
      </w:r>
    </w:p>
    <w:p>
      <w:pPr>
        <w:pStyle w:val="BodyText"/>
      </w:pPr>
      <w:r>
        <w:t xml:space="preserve">The Upload operation interface must be implemented only by the data consumers.</w:t>
      </w:r>
    </w:p>
    <w:p>
      <w:pPr>
        <w:pStyle w:val="BodyText"/>
      </w:pPr>
      <w:r>
        <w:t xml:space="preserve">Use of the interface is according to the SECOM specification.</w:t>
      </w:r>
    </w:p>
    <w:p>
      <w:pPr>
        <w:pStyle w:val="Compact"/>
        <w:numPr>
          <w:ilvl w:val="0"/>
          <w:numId w:val="1019"/>
        </w:numPr>
      </w:pPr>
      <w:r>
        <w:t xml:space="preserve">Name: Upload Interface</w:t>
      </w:r>
    </w:p>
    <w:p>
      <w:pPr>
        <w:pStyle w:val="Compact"/>
        <w:numPr>
          <w:ilvl w:val="0"/>
          <w:numId w:val="1019"/>
        </w:numPr>
      </w:pPr>
      <w:r>
        <w:t xml:space="preserve">Sub-path: /v2/object</w:t>
      </w:r>
    </w:p>
    <w:p>
      <w:pPr>
        <w:pStyle w:val="Compact"/>
        <w:numPr>
          <w:ilvl w:val="0"/>
          <w:numId w:val="1019"/>
        </w:numPr>
      </w:pPr>
      <w:r>
        <w:t xml:space="preserve">HTTP-Method: POST</w:t>
      </w:r>
    </w:p>
    <w:p>
      <w:pPr>
        <w:pStyle w:val="Compact"/>
        <w:numPr>
          <w:ilvl w:val="0"/>
          <w:numId w:val="1019"/>
        </w:numPr>
      </w:pPr>
      <w:r>
        <w:t xml:space="preserve">Cookies: Session-Cookies (optional)</w:t>
      </w:r>
    </w:p>
    <w:p>
      <w:pPr>
        <w:pStyle w:val="Compact"/>
        <w:numPr>
          <w:ilvl w:val="0"/>
          <w:numId w:val="1019"/>
        </w:numPr>
      </w:pPr>
      <w:r>
        <w:t xml:space="preserve">Content-Type: application/json</w:t>
      </w:r>
    </w:p>
    <w:bookmarkStart w:id="124" w:name="X05f1d3f5c4c4ff0fafa647134208b8f355b1c58"/>
    <w:p>
      <w:pPr>
        <w:pStyle w:val="Heading4"/>
      </w:pPr>
      <w:r>
        <w:t xml:space="preserve">Operation Functionality</w:t>
      </w:r>
    </w:p>
    <w:p>
      <w:pPr>
        <w:pStyle w:val="FirstParagraph"/>
      </w:pPr>
      <w:r>
        <w:t xml:space="preserve">In most cases this operation will take place as part of a subscription, originally initiated by the data consumer. In those cases the</w:t>
      </w:r>
      <w:r>
        <w:t xml:space="preserve"> </w:t>
      </w:r>
      <w:r>
        <w:rPr>
          <w:rStyle w:val="VerbatimChar"/>
        </w:rPr>
        <w:t xml:space="preserve">&lt;fromSubscription&gt;</w:t>
      </w:r>
      <w:r>
        <w:t xml:space="preserve"> </w:t>
      </w:r>
      <w:r>
        <w:t xml:space="preserve">parameters is expected to be set to</w:t>
      </w:r>
      <w:r>
        <w:t xml:space="preserve"> </w:t>
      </w:r>
      <w:r>
        <w:rPr>
          <w:rStyle w:val="VerbatimChar"/>
        </w:rPr>
        <w:t xml:space="preserve">true</w:t>
      </w:r>
      <w:r>
        <w:t xml:space="preserve">. There might however, be cases where urgent AtoN information might need to be broadcasted, therefore data consumer uploads may also take place outside active subscriptions. These cases however are not covered by this service design.</w:t>
      </w:r>
    </w:p>
    <w:p>
      <w:pPr>
        <w:pStyle w:val="BodyText"/>
      </w:pPr>
      <w:r>
        <w:t xml:space="preserve">This interface operation may on request consume the following provider interfaces:</w:t>
      </w:r>
    </w:p>
    <w:p>
      <w:pPr>
        <w:pStyle w:val="Compact"/>
        <w:numPr>
          <w:ilvl w:val="0"/>
          <w:numId w:val="1020"/>
        </w:numPr>
      </w:pPr>
      <w:r>
        <w:t xml:space="preserve">Acknowledgement</w:t>
      </w:r>
    </w:p>
    <w:p>
      <w:pPr>
        <w:pStyle w:val="FirstParagraph"/>
      </w:pPr>
      <w:r>
        <w:t xml:space="preserve">In an upload operation, an acknowledgement can be requested via the</w:t>
      </w:r>
      <w:r>
        <w:t xml:space="preserve"> </w:t>
      </w:r>
      <w:r>
        <w:rPr>
          <w:rStyle w:val="VerbatimChar"/>
        </w:rPr>
        <w:t xml:space="preserve">&lt;ackRequest&gt;</w:t>
      </w:r>
      <w:r>
        <w:t xml:space="preserve"> </w:t>
      </w:r>
      <w:r>
        <w:t xml:space="preserve">parameter. The acknowledgment is expected to be received when the uploaded S-125 dataset has been delivered to the end‑system (technical acknowledgement), and/or (if supported) when the message has been opened/read by the end‑user (operational acknowledgement).</w:t>
      </w:r>
    </w:p>
    <w:p>
      <w:pPr>
        <w:pStyle w:val="BodyText"/>
      </w:pPr>
      <w:r>
        <w:t xml:space="preserve">The data consumer may then use the URL available in the</w:t>
      </w:r>
      <w:r>
        <w:t xml:space="preserve"> </w:t>
      </w:r>
      <w:r>
        <w:rPr>
          <w:rStyle w:val="VerbatimChar"/>
        </w:rPr>
        <w:t xml:space="preserve">&lt;callbackEndpoint&gt;</w:t>
      </w:r>
      <w:r>
        <w:t xml:space="preserve"> </w:t>
      </w:r>
      <w:r>
        <w:t xml:space="preserve">parameter to contact the data provider directly and send the required acknowledgement. In the absence of a valid callback endpoint value, the data consumer may discover the server URL utilising an appropriate Service Registry (e.g. MSR). The data provider can be identified through its MRN, contained in the HTTPS request certificate provided during the TLS/SSL authentication step, as in Section 6.2.4.1. More information on the dynamic behaviour of this operation and its relation to the SECOM-compliant service registry is provided in Section 7.2.</w:t>
      </w:r>
    </w:p>
    <w:p>
      <w:pPr>
        <w:pStyle w:val="BodyText"/>
      </w:pPr>
      <w:r>
        <w:t xml:space="preserve">The operation supports multiple other parameters, which are presented in more detail in Table 8. To ensure the authenticity of the operation request, these parameters are included within a signed SECOM envelope structure.</w:t>
      </w:r>
    </w:p>
    <w:bookmarkEnd w:id="124"/>
    <w:bookmarkStart w:id="126" w:name="X78e3cfa7089ddc8e72ef9934acb41dd6bfd9c30"/>
    <w:p>
      <w:pPr>
        <w:pStyle w:val="Heading4"/>
      </w:pPr>
      <w:r>
        <w:t xml:space="preserve">Operation Parameters</w:t>
      </w:r>
    </w:p>
    <w:bookmarkStart w:id="125" w:name="tbl:upload_operation_parameters"/>
    <w:p>
      <w:pPr>
        <w:pStyle w:val="TableCaption"/>
      </w:pPr>
      <w:r>
        <w:t xml:space="preserve">The Upload Operation Parameters.</w:t>
      </w:r>
    </w:p>
    <w:tbl>
      <w:tblPr>
        <w:tblStyle w:val="Table"/>
        <w:tblW w:type="pct" w:w="5000"/>
        <w:tblLayout w:type="fixed"/>
        <w:tblLook w:firstRow="1" w:lastRow="0" w:firstColumn="0" w:lastColumn="0" w:noHBand="0" w:noVBand="0" w:val="0020"/>
        <w:tblCaption w:val="The Upload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data</w:t>
            </w:r>
          </w:p>
        </w:tc>
        <w:tc>
          <w:tcPr/>
          <w:p>
            <w:pPr>
              <w:pStyle w:val="Compact"/>
            </w:pPr>
            <w:r>
              <w:t xml:space="preserve">Base64</w:t>
            </w:r>
          </w:p>
        </w:tc>
        <w:tc>
          <w:tcPr/>
          <w:p>
            <w:pPr>
              <w:pStyle w:val="Compact"/>
            </w:pPr>
            <w:r>
              <w:t xml:space="preserve">1</w:t>
            </w:r>
          </w:p>
        </w:tc>
        <w:tc>
          <w:tcPr/>
          <w:p>
            <w:pPr>
              <w:pStyle w:val="Compact"/>
            </w:pPr>
            <w:r>
              <w:t xml:space="preserve">The S-125 XML payload, Base64 encoded. Optionally, the data can protected and/or compressed. This should be reflected in the exchangeMetadata structure.</w:t>
            </w:r>
          </w:p>
        </w:tc>
      </w:tr>
      <w:tr>
        <w:tc>
          <w:tcPr/>
          <w:p>
            <w:pPr>
              <w:pStyle w:val="Compact"/>
            </w:pPr>
            <w:r>
              <w:t xml:space="preserve">containerType</w:t>
            </w:r>
          </w:p>
        </w:tc>
        <w:tc>
          <w:tcPr/>
          <w:p>
            <w:pPr>
              <w:pStyle w:val="Compact"/>
            </w:pPr>
            <w:r>
              <w:t xml:space="preserve">Integer</w:t>
            </w:r>
          </w:p>
        </w:tc>
        <w:tc>
          <w:tcPr/>
          <w:p>
            <w:pPr>
              <w:pStyle w:val="Compact"/>
            </w:pPr>
            <w:r>
              <w:t xml:space="preserve">0..1</w:t>
            </w:r>
          </w:p>
        </w:tc>
        <w:tc>
          <w:tcPr/>
          <w:p>
            <w:pPr>
              <w:pStyle w:val="Compact"/>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Compact"/>
            </w:pPr>
            <w:r>
              <w:t xml:space="preserve">dataProductType</w:t>
            </w:r>
          </w:p>
        </w:tc>
        <w:tc>
          <w:tcPr/>
          <w:p>
            <w:pPr>
              <w:pStyle w:val="Compact"/>
            </w:pPr>
            <w:r>
              <w:t xml:space="preserve">String</w:t>
            </w:r>
          </w:p>
        </w:tc>
        <w:tc>
          <w:tcPr/>
          <w:p>
            <w:pPr>
              <w:pStyle w:val="Compact"/>
            </w:pPr>
            <w:r>
              <w:t xml:space="preserve">0..1</w:t>
            </w:r>
          </w:p>
        </w:tc>
        <w:tc>
          <w:tcPr/>
          <w:p>
            <w:pPr>
              <w:pStyle w:val="Compact"/>
            </w:pPr>
            <w:r>
              <w:t xml:space="preserve">Data product type as described in</w:t>
            </w:r>
            <w:r>
              <w:t xml:space="preserve"> </w:t>
            </w:r>
            <w:r>
              <w:t xml:space="preserve">[2]</w:t>
            </w:r>
            <w:r>
              <w:t xml:space="preserve">.</w:t>
            </w:r>
          </w:p>
        </w:tc>
      </w:tr>
      <w:tr>
        <w:tc>
          <w:tcPr/>
          <w:p>
            <w:pPr>
              <w:pStyle w:val="Compact"/>
            </w:pPr>
            <w:r>
              <w:t xml:space="preserve">exchangeMetadata</w:t>
            </w:r>
          </w:p>
        </w:tc>
        <w:tc>
          <w:tcPr/>
          <w:p>
            <w:pPr>
              <w:pStyle w:val="Compact"/>
            </w:pPr>
            <w:r>
              <w:t xml:space="preserve">SECOM_ExchangeMetadata as defined in</w:t>
            </w:r>
            <w:r>
              <w:t xml:space="preserve"> </w:t>
            </w:r>
            <w:r>
              <w:t xml:space="preserve">[2]</w:t>
            </w:r>
          </w:p>
        </w:tc>
        <w:tc>
          <w:tcPr/>
          <w:p>
            <w:pPr>
              <w:pStyle w:val="Compact"/>
            </w:pPr>
            <w:r>
              <w:t xml:space="preserve">1</w:t>
            </w:r>
          </w:p>
        </w:tc>
        <w:tc>
          <w:tcPr/>
          <w:p>
            <w:pPr>
              <w:pStyle w:val="Compact"/>
            </w:pPr>
            <w:r>
              <w:t xml:space="preserve">The exchange metadata that contains information regarding the protection scheme, compression, signature and claimed identity.</w:t>
            </w:r>
          </w:p>
        </w:tc>
      </w:tr>
      <w:tr>
        <w:tc>
          <w:tcPr/>
          <w:p>
            <w:pPr>
              <w:pStyle w:val="Compact"/>
            </w:pPr>
            <w:r>
              <w:t xml:space="preserve">fromSubscription</w:t>
            </w:r>
          </w:p>
        </w:tc>
        <w:tc>
          <w:tcPr/>
          <w:p>
            <w:pPr>
              <w:pStyle w:val="Compact"/>
            </w:pPr>
            <w:r>
              <w:t xml:space="preserve">Boolean</w:t>
            </w:r>
          </w:p>
        </w:tc>
        <w:tc>
          <w:tcPr/>
          <w:p>
            <w:pPr>
              <w:pStyle w:val="Compact"/>
            </w:pPr>
            <w:r>
              <w:t xml:space="preserve">1</w:t>
            </w:r>
          </w:p>
        </w:tc>
        <w:tc>
          <w:tcPr/>
          <w:p>
            <w:pPr>
              <w:pStyle w:val="Compact"/>
            </w:pPr>
            <w:r>
              <w:t xml:space="preserve">A flag that indicates whether the data has been uploaded within an active subscription or not.</w:t>
            </w:r>
          </w:p>
        </w:tc>
      </w:tr>
      <w:tr>
        <w:tc>
          <w:tcPr/>
          <w:p>
            <w:pPr>
              <w:pStyle w:val="Compact"/>
            </w:pPr>
            <w:r>
              <w:t xml:space="preserve">subscriptionIdentifier</w:t>
            </w:r>
          </w:p>
        </w:tc>
        <w:tc>
          <w:tcPr/>
          <w:p>
            <w:pPr>
              <w:pStyle w:val="Compact"/>
            </w:pPr>
            <w:r>
              <w:t xml:space="preserve">UUID</w:t>
            </w:r>
          </w:p>
        </w:tc>
        <w:tc>
          <w:tcPr/>
          <w:p>
            <w:pPr>
              <w:pStyle w:val="Compact"/>
            </w:pPr>
            <w:r>
              <w:t xml:space="preserve">0..1</w:t>
            </w:r>
          </w:p>
        </w:tc>
        <w:tc>
          <w:tcPr/>
          <w:p>
            <w:pPr>
              <w:pStyle w:val="Compact"/>
            </w:pPr>
            <w:r>
              <w:t xml:space="preserve">Subscription identifier is specified if the object is uploaded within a subscription.</w:t>
            </w:r>
          </w:p>
        </w:tc>
      </w:tr>
      <w:tr>
        <w:tc>
          <w:tcPr/>
          <w:p>
            <w:pPr>
              <w:pStyle w:val="Compact"/>
            </w:pPr>
            <w:r>
              <w:t xml:space="preserve">ackRequest</w:t>
            </w:r>
          </w:p>
        </w:tc>
        <w:tc>
          <w:tcPr/>
          <w:p>
            <w:pPr>
              <w:pStyle w:val="Compact"/>
            </w:pPr>
            <w:r>
              <w:t xml:space="preserve">AckRequestEnum as defined in</w:t>
            </w:r>
            <w:r>
              <w:t xml:space="preserve"> </w:t>
            </w:r>
            <w:r>
              <w:t xml:space="preserve">[2]</w:t>
            </w:r>
          </w:p>
        </w:tc>
        <w:tc>
          <w:tcPr/>
          <w:p>
            <w:pPr>
              <w:pStyle w:val="Compact"/>
            </w:pPr>
            <w:r>
              <w:t xml:space="preserve">1</w:t>
            </w:r>
          </w:p>
        </w:tc>
        <w:tc>
          <w:tcPr/>
          <w:p>
            <w:pPr>
              <w:pStyle w:val="Compact"/>
            </w:pPr>
            <w:r>
              <w:t xml:space="preserve">Flag to indicate that acknowledgement is expected to be returned when the data is delivered to the end user, and/or when the content of the data is processed (opened) by the end user.</w:t>
            </w:r>
          </w:p>
        </w:tc>
      </w:tr>
      <w:tr>
        <w:tc>
          <w:tcPr/>
          <w:p>
            <w:pPr>
              <w:pStyle w:val="Compact"/>
            </w:pPr>
            <w:r>
              <w:t xml:space="preserve">callbackEndpoint</w:t>
            </w:r>
          </w:p>
        </w:tc>
        <w:tc>
          <w:tcPr/>
          <w:p>
            <w:pPr>
              <w:pStyle w:val="Compact"/>
            </w:pPr>
            <w:r>
              <w:t xml:space="preserve">URL</w:t>
            </w:r>
          </w:p>
        </w:tc>
        <w:tc>
          <w:tcPr/>
          <w:p>
            <w:pPr>
              <w:pStyle w:val="Compact"/>
            </w:pPr>
            <w:r>
              <w:t xml:space="preserve">0..1</w:t>
            </w:r>
          </w:p>
        </w:tc>
        <w:tc>
          <w:tcPr/>
          <w:p>
            <w:pPr>
              <w:pStyle w:val="Compact"/>
            </w:pPr>
            <w:r>
              <w:t xml:space="preserve">Base URL without trailing slash to the requestor SECOM service Endpoint where to send an acknowledgement. If not available, the endpoint needs to be available through the search service.</w:t>
            </w:r>
          </w:p>
        </w:tc>
      </w:tr>
      <w:tr>
        <w:tc>
          <w:tcPr/>
          <w:p>
            <w:pPr>
              <w:pStyle w:val="Compact"/>
            </w:pPr>
            <w:r>
              <w:t xml:space="preserve">transactionIdentifier</w:t>
            </w:r>
          </w:p>
        </w:tc>
        <w:tc>
          <w:tcPr/>
          <w:p>
            <w:pPr>
              <w:pStyle w:val="Compact"/>
            </w:pPr>
            <w:r>
              <w:t xml:space="preserve">UUID</w:t>
            </w:r>
          </w:p>
        </w:tc>
        <w:tc>
          <w:tcPr/>
          <w:p>
            <w:pPr>
              <w:pStyle w:val="Compact"/>
            </w:pPr>
            <w:r>
              <w:t xml:space="preserve">1</w:t>
            </w:r>
          </w:p>
        </w:tc>
        <w:tc>
          <w:tcPr/>
          <w:p>
            <w:pPr>
              <w:pStyle w:val="Compact"/>
            </w:pPr>
            <w:r>
              <w:t xml:space="preserve">Unique transaction UUID to be used e.g. in acknowledgement.</w:t>
            </w:r>
          </w:p>
        </w:tc>
      </w:tr>
      <w:tr>
        <w:tc>
          <w:tcPr/>
          <w:p>
            <w:pPr>
              <w:pStyle w:val="Compact"/>
            </w:pPr>
            <w:r>
              <w:t xml:space="preserve">envelopeSignatureCertificate</w:t>
            </w:r>
          </w:p>
        </w:tc>
        <w:tc>
          <w:tcPr/>
          <w:p>
            <w:pPr>
              <w:pStyle w:val="Compact"/>
            </w:pPr>
            <w:r>
              <w:t xml:space="preserve">String</w:t>
            </w:r>
          </w:p>
        </w:tc>
        <w:tc>
          <w:tcPr/>
          <w:p>
            <w:pPr>
              <w:pStyle w:val="Compact"/>
            </w:pPr>
            <w:r>
              <w:t xml:space="preserve">1..*</w:t>
            </w:r>
          </w:p>
        </w:tc>
        <w:tc>
          <w:tcPr/>
          <w:p>
            <w:pPr>
              <w:pStyle w:val="Compact"/>
            </w:pPr>
            <w:r>
              <w:t xml:space="preserve">The public certificate(s) of the sender. Used to verify the envelope object signature.</w:t>
            </w:r>
          </w:p>
        </w:tc>
      </w:tr>
      <w:tr>
        <w:tc>
          <w:tcPr/>
          <w:p>
            <w:pPr>
              <w:pStyle w:val="Compact"/>
            </w:pPr>
            <w:r>
              <w:t xml:space="preserve">envelopeRootCertificateThumbprint</w:t>
            </w:r>
          </w:p>
        </w:tc>
        <w:tc>
          <w:tcPr/>
          <w:p>
            <w:pPr>
              <w:pStyle w:val="Compact"/>
            </w:pPr>
            <w:r>
              <w:t xml:space="preserve">String</w:t>
            </w:r>
          </w:p>
        </w:tc>
        <w:tc>
          <w:tcPr/>
          <w:p>
            <w:pPr>
              <w:pStyle w:val="Compact"/>
            </w:pPr>
            <w:r>
              <w:t xml:space="preserve">1</w:t>
            </w:r>
          </w:p>
        </w:tc>
        <w:tc>
          <w:tcPr/>
          <w:p>
            <w:pPr>
              <w:pStyle w:val="Compact"/>
            </w:pPr>
            <w:r>
              <w:t xml:space="preserve">Claimed Thumbprint for Signed Root Key (X.509 Certificate) SHA256 and base64 as format</w:t>
            </w:r>
          </w:p>
        </w:tc>
      </w:tr>
      <w:tr>
        <w:tc>
          <w:tcPr/>
          <w:p>
            <w:pPr>
              <w:pStyle w:val="Compact"/>
            </w:pPr>
            <w:r>
              <w:t xml:space="preserve">envelopeSignatureTime</w:t>
            </w:r>
          </w:p>
        </w:tc>
        <w:tc>
          <w:tcPr/>
          <w:p>
            <w:pPr>
              <w:pStyle w:val="Compact"/>
            </w:pPr>
            <w:r>
              <w:t xml:space="preserve">DateTime</w:t>
            </w:r>
          </w:p>
        </w:tc>
        <w:tc>
          <w:tcPr/>
          <w:p>
            <w:pPr>
              <w:pStyle w:val="Compact"/>
            </w:pPr>
            <w:r>
              <w:t xml:space="preserve">1</w:t>
            </w:r>
          </w:p>
        </w:tc>
        <w:tc>
          <w:tcPr/>
          <w:p>
            <w:pPr>
              <w:pStyle w:val="Compact"/>
            </w:pPr>
            <w:r>
              <w:t xml:space="preserve">Timestamp when the envelope is signed.</w:t>
            </w:r>
          </w:p>
        </w:tc>
      </w:tr>
      <w:tr>
        <w:tc>
          <w:tcPr/>
          <w:p>
            <w:pPr>
              <w:pStyle w:val="Compact"/>
            </w:pPr>
            <w:r>
              <w:t xml:space="preserve">envelopeSignatureReference</w:t>
            </w:r>
          </w:p>
        </w:tc>
        <w:tc>
          <w:tcPr/>
          <w:p>
            <w:pPr>
              <w:pStyle w:val="Compact"/>
            </w:pPr>
            <w:r>
              <w:t xml:space="preserve">String</w:t>
            </w:r>
          </w:p>
        </w:tc>
        <w:tc>
          <w:tcPr/>
          <w:p>
            <w:pPr>
              <w:pStyle w:val="Compact"/>
            </w:pPr>
            <w:r>
              <w:t xml:space="preserve">1</w:t>
            </w:r>
          </w:p>
        </w:tc>
        <w:tc>
          <w:tcPr/>
          <w:p>
            <w:pPr>
              <w:pStyle w:val="Compact"/>
            </w:pPr>
            <w:r>
              <w:t xml:space="preserve">(S-100) Specifies the algorithm used to compute the envelopeSignature For example</w:t>
            </w:r>
            <w:r>
              <w:t xml:space="preserve"> </w:t>
            </w:r>
            <w:r>
              <w:t xml:space="preserve">“ECDSA-384-SHA2”</w:t>
            </w:r>
            <w:r>
              <w:t xml:space="preserve">.</w:t>
            </w:r>
          </w:p>
        </w:tc>
      </w:tr>
    </w:tbl>
    <w:bookmarkEnd w:id="125"/>
    <w:bookmarkEnd w:id="126"/>
    <w:bookmarkStart w:id="127" w:name="X8a41ed6c078c393b0367eb515464f2b91772f63"/>
    <w:p>
      <w:pPr>
        <w:pStyle w:val="Heading4"/>
      </w:pPr>
      <w:r>
        <w:t xml:space="preserve">Interpretation Guidelines</w:t>
      </w:r>
    </w:p>
    <w:p>
      <w:pPr>
        <w:pStyle w:val="FirstParagraph"/>
      </w:pPr>
      <w:r>
        <w:t xml:space="preserve">If any of the upload request S-125 datasets is too large, the returned HTTP status code must be 413. The S-125 datasets must then be shared using the upload link interface.</w:t>
      </w:r>
    </w:p>
    <w:p>
      <w:pPr>
        <w:pStyle w:val="BodyText"/>
      </w:pPr>
      <w:r>
        <w:t xml:space="preserve">The data consumer may return HTTP status 403 if the uploaded AtoN information it receives that it has not requested.</w:t>
      </w:r>
    </w:p>
    <w:bookmarkEnd w:id="127"/>
    <w:bookmarkEnd w:id="128"/>
    <w:bookmarkStart w:id="133" w:name="Xb4114b320ac95ac56003e9b2bb78038f2a3e187"/>
    <w:p>
      <w:pPr>
        <w:pStyle w:val="Heading3"/>
      </w:pPr>
      <w:r>
        <w:t xml:space="preserve">Operation Upload by Link</w:t>
      </w:r>
    </w:p>
    <w:p>
      <w:pPr>
        <w:pStyle w:val="FirstParagraph"/>
      </w:pPr>
      <w:r>
        <w:t xml:space="preserve">The</w:t>
      </w:r>
      <w:r>
        <w:t xml:space="preserve"> </w:t>
      </w:r>
      <w:r>
        <w:rPr>
          <w:i/>
          <w:iCs/>
        </w:rPr>
        <w:t xml:space="preserve">Upload by Link</w:t>
      </w:r>
      <w:r>
        <w:t xml:space="preserve"> </w:t>
      </w:r>
      <w:r>
        <w:t xml:space="preserve">operation enables data providers to provide a link to large volumes of AtoN information to data consumers. This interface shall be used instead of the Upload operation, when the size of the data to be exchanged exceeds the predefined SECOM limits. It allows data consumers to receive large S-125 datasets, while in a subscription or a due to a broadcast.</w:t>
      </w:r>
    </w:p>
    <w:p>
      <w:pPr>
        <w:pStyle w:val="BodyText"/>
      </w:pPr>
      <w:r>
        <w:t xml:space="preserve">The Upload by Link operation interface must be implemented only by the data consumers.</w:t>
      </w:r>
    </w:p>
    <w:p>
      <w:pPr>
        <w:pStyle w:val="BodyText"/>
      </w:pPr>
      <w:r>
        <w:t xml:space="preserve">Use of the interface is according to the SECOM specification.</w:t>
      </w:r>
    </w:p>
    <w:p>
      <w:pPr>
        <w:pStyle w:val="Compact"/>
        <w:numPr>
          <w:ilvl w:val="0"/>
          <w:numId w:val="1021"/>
        </w:numPr>
      </w:pPr>
      <w:r>
        <w:t xml:space="preserve">Name: Upload by Link Interface</w:t>
      </w:r>
    </w:p>
    <w:p>
      <w:pPr>
        <w:pStyle w:val="Compact"/>
        <w:numPr>
          <w:ilvl w:val="0"/>
          <w:numId w:val="1021"/>
        </w:numPr>
      </w:pPr>
      <w:r>
        <w:t xml:space="preserve">Sub-path: /v2/object/link</w:t>
      </w:r>
    </w:p>
    <w:p>
      <w:pPr>
        <w:pStyle w:val="Compact"/>
        <w:numPr>
          <w:ilvl w:val="0"/>
          <w:numId w:val="1021"/>
        </w:numPr>
      </w:pPr>
      <w:r>
        <w:t xml:space="preserve">HTTP-Method: POST</w:t>
      </w:r>
    </w:p>
    <w:p>
      <w:pPr>
        <w:pStyle w:val="Compact"/>
        <w:numPr>
          <w:ilvl w:val="0"/>
          <w:numId w:val="1021"/>
        </w:numPr>
      </w:pPr>
      <w:r>
        <w:t xml:space="preserve">Cookies: Session-Cookies (optional)</w:t>
      </w:r>
    </w:p>
    <w:p>
      <w:pPr>
        <w:pStyle w:val="Compact"/>
        <w:numPr>
          <w:ilvl w:val="0"/>
          <w:numId w:val="1021"/>
        </w:numPr>
      </w:pPr>
      <w:r>
        <w:t xml:space="preserve">Content-Type: application/json</w:t>
      </w:r>
    </w:p>
    <w:bookmarkStart w:id="129" w:name="Xf659f104fee1cbe5ede5c8bbc46def5fb0e211e"/>
    <w:p>
      <w:pPr>
        <w:pStyle w:val="Heading4"/>
      </w:pPr>
      <w:r>
        <w:t xml:space="preserve">Operation Functionality</w:t>
      </w:r>
    </w:p>
    <w:p>
      <w:pPr>
        <w:pStyle w:val="FirstParagraph"/>
      </w:pPr>
      <w:r>
        <w:t xml:space="preserve">In most cases the Upload by Link operation will take place as part of a subscription, initiated by the data consumer. It must be used instead of the Upload operation when the S-125 datasets to be transmitted exceed 350 kbs. In those cases, the</w:t>
      </w:r>
      <w:r>
        <w:t xml:space="preserve"> </w:t>
      </w:r>
      <w:r>
        <w:rPr>
          <w:rStyle w:val="VerbatimChar"/>
        </w:rPr>
        <w:t xml:space="preserve">&lt;fromSubscription&gt;</w:t>
      </w:r>
      <w:r>
        <w:t xml:space="preserve"> </w:t>
      </w:r>
      <w:r>
        <w:t xml:space="preserve">parameters is expected to be set to</w:t>
      </w:r>
      <w:r>
        <w:t xml:space="preserve"> </w:t>
      </w:r>
      <w:r>
        <w:rPr>
          <w:rStyle w:val="VerbatimChar"/>
        </w:rPr>
        <w:t xml:space="preserve">true</w:t>
      </w:r>
      <w:r>
        <w:t xml:space="preserve">. There might however, be cases where urgent AtoN information might need to be broadcasted, therefore data consumer uploads may also take place outside active subscriptions. These cases however are not covered by this service design.</w:t>
      </w:r>
    </w:p>
    <w:p>
      <w:pPr>
        <w:pStyle w:val="BodyText"/>
      </w:pPr>
      <w:r>
        <w:t xml:space="preserve">This interface operation may on request consume the following provider interfaces:</w:t>
      </w:r>
    </w:p>
    <w:p>
      <w:pPr>
        <w:pStyle w:val="Compact"/>
        <w:numPr>
          <w:ilvl w:val="0"/>
          <w:numId w:val="1022"/>
        </w:numPr>
      </w:pPr>
      <w:r>
        <w:t xml:space="preserve">Acknowledgement</w:t>
      </w:r>
    </w:p>
    <w:p>
      <w:pPr>
        <w:pStyle w:val="FirstParagraph"/>
      </w:pPr>
      <w:r>
        <w:t xml:space="preserve">In an upload by link operation, an acknowledgement can be requested via the</w:t>
      </w:r>
      <w:r>
        <w:t xml:space="preserve"> </w:t>
      </w:r>
      <w:r>
        <w:rPr>
          <w:rStyle w:val="VerbatimChar"/>
        </w:rPr>
        <w:t xml:space="preserve">&lt;ackRequest&gt;</w:t>
      </w:r>
      <w:r>
        <w:t xml:space="preserve"> </w:t>
      </w:r>
      <w:r>
        <w:t xml:space="preserve">parameter. The acknowledgment is expected to be received when the uploaded S-125 dataset has been delivered to the end‑system (technical acknowledgement), and/or (if supported) when the message has been opened/read by the end‑user (operational acknowledgement).</w:t>
      </w:r>
    </w:p>
    <w:p>
      <w:pPr>
        <w:pStyle w:val="BodyText"/>
      </w:pPr>
      <w:r>
        <w:t xml:space="preserve">The data consumer may then use the URL available in the</w:t>
      </w:r>
      <w:r>
        <w:t xml:space="preserve"> </w:t>
      </w:r>
      <w:r>
        <w:rPr>
          <w:rStyle w:val="VerbatimChar"/>
        </w:rPr>
        <w:t xml:space="preserve">&lt;callbackEndpoint&gt;</w:t>
      </w:r>
      <w:r>
        <w:t xml:space="preserve"> </w:t>
      </w:r>
      <w:r>
        <w:t xml:space="preserve">parameter to contact the data provider directly and get the advertised S-125 datasets, as well as send the required acknowledgement. In the absence of a valid callback endpoint value, the data consumer may discover the server URL utilising an appropriate Service Registry (e.g. MSR). The data provider can be identified through its MRN, contained in the HTTPS request certificate provided during the TLS/SSL authentication step, as in Section 6.2.4.1. More information on the dynamic behaviour of this operation and its relation to the SECOM-compliant service registry is provided in Section 7.2.</w:t>
      </w:r>
    </w:p>
    <w:p>
      <w:pPr>
        <w:pStyle w:val="BodyText"/>
      </w:pPr>
      <w:r>
        <w:t xml:space="preserve">As in the Upload operation described previously, this operation supports multiple other parameters, which are presented in more detail in Table 9. To ensure the authenticity of the operation request, these parameters are included within a signed SECOM envelope structure.</w:t>
      </w:r>
    </w:p>
    <w:bookmarkEnd w:id="129"/>
    <w:bookmarkStart w:id="131" w:name="X55badd61dc3ff910f34569529cbc22b81634e8a"/>
    <w:p>
      <w:pPr>
        <w:pStyle w:val="Heading4"/>
      </w:pPr>
      <w:r>
        <w:t xml:space="preserve">Operation Parameters</w:t>
      </w:r>
    </w:p>
    <w:bookmarkStart w:id="130" w:name="tbl:upload_by_link_operation_parameters"/>
    <w:p>
      <w:pPr>
        <w:pStyle w:val="TableCaption"/>
      </w:pPr>
      <w:r>
        <w:t xml:space="preserve">The Upload Operation Parameters.</w:t>
      </w:r>
    </w:p>
    <w:tbl>
      <w:tblPr>
        <w:tblStyle w:val="Table"/>
        <w:tblW w:type="pct" w:w="5000"/>
        <w:tblLayout w:type="fixed"/>
        <w:tblLook w:firstRow="1" w:lastRow="0" w:firstColumn="0" w:lastColumn="0" w:noHBand="0" w:noVBand="0" w:val="0020"/>
        <w:tblCaption w:val="The Upload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containerType</w:t>
            </w:r>
          </w:p>
        </w:tc>
        <w:tc>
          <w:tcPr/>
          <w:p>
            <w:pPr>
              <w:pStyle w:val="Compact"/>
            </w:pPr>
            <w:r>
              <w:t xml:space="preserve">Integer</w:t>
            </w:r>
          </w:p>
        </w:tc>
        <w:tc>
          <w:tcPr/>
          <w:p>
            <w:pPr>
              <w:pStyle w:val="Compact"/>
            </w:pPr>
            <w:r>
              <w:t xml:space="preserve">0..1</w:t>
            </w:r>
          </w:p>
        </w:tc>
        <w:tc>
          <w:tcPr/>
          <w:p>
            <w:pPr>
              <w:pStyle w:val="Compact"/>
            </w:pPr>
            <w:r>
              <w:t xml:space="preserve">Requested encoding of the data as described in</w:t>
            </w:r>
            <w:r>
              <w:t xml:space="preserve"> </w:t>
            </w:r>
            <w:r>
              <w:t xml:space="preserve">[2]</w:t>
            </w:r>
            <w:r>
              <w:t xml:space="preserve">. If not provided, the service provider determines the standard encoding.</w:t>
            </w:r>
          </w:p>
        </w:tc>
      </w:tr>
      <w:tr>
        <w:tc>
          <w:tcPr/>
          <w:p>
            <w:pPr>
              <w:pStyle w:val="Compact"/>
            </w:pPr>
            <w:r>
              <w:t xml:space="preserve">dataProductType</w:t>
            </w:r>
          </w:p>
        </w:tc>
        <w:tc>
          <w:tcPr/>
          <w:p>
            <w:pPr>
              <w:pStyle w:val="Compact"/>
            </w:pPr>
            <w:r>
              <w:t xml:space="preserve">String</w:t>
            </w:r>
          </w:p>
        </w:tc>
        <w:tc>
          <w:tcPr/>
          <w:p>
            <w:pPr>
              <w:pStyle w:val="Compact"/>
            </w:pPr>
            <w:r>
              <w:t xml:space="preserve">0..1</w:t>
            </w:r>
          </w:p>
        </w:tc>
        <w:tc>
          <w:tcPr/>
          <w:p>
            <w:pPr>
              <w:pStyle w:val="Compact"/>
            </w:pPr>
            <w:r>
              <w:t xml:space="preserve">Data product type as described in</w:t>
            </w:r>
            <w:r>
              <w:t xml:space="preserve"> </w:t>
            </w:r>
            <w:r>
              <w:t xml:space="preserve">[2]</w:t>
            </w:r>
            <w:r>
              <w:t xml:space="preserve">.</w:t>
            </w:r>
          </w:p>
        </w:tc>
      </w:tr>
      <w:tr>
        <w:tc>
          <w:tcPr/>
          <w:p>
            <w:pPr>
              <w:pStyle w:val="Compact"/>
            </w:pPr>
            <w:r>
              <w:t xml:space="preserve">exchangeMetadata</w:t>
            </w:r>
          </w:p>
        </w:tc>
        <w:tc>
          <w:tcPr/>
          <w:p>
            <w:pPr>
              <w:pStyle w:val="Compact"/>
            </w:pPr>
            <w:r>
              <w:t xml:space="preserve">SECOM_ExchangeMetadata as defined in</w:t>
            </w:r>
            <w:r>
              <w:t xml:space="preserve"> </w:t>
            </w:r>
            <w:r>
              <w:t xml:space="preserve">[2]</w:t>
            </w:r>
          </w:p>
        </w:tc>
        <w:tc>
          <w:tcPr/>
          <w:p>
            <w:pPr>
              <w:pStyle w:val="Compact"/>
            </w:pPr>
            <w:r>
              <w:t xml:space="preserve">1</w:t>
            </w:r>
          </w:p>
        </w:tc>
        <w:tc>
          <w:tcPr/>
          <w:p>
            <w:pPr>
              <w:pStyle w:val="Compact"/>
            </w:pPr>
            <w:r>
              <w:t xml:space="preserve">The exchange metadata that contains information regarding the protection scheme, compression, signature and claimed identity.</w:t>
            </w:r>
          </w:p>
        </w:tc>
      </w:tr>
      <w:tr>
        <w:tc>
          <w:tcPr/>
          <w:p>
            <w:pPr>
              <w:pStyle w:val="Compact"/>
            </w:pPr>
            <w:r>
              <w:t xml:space="preserve">fromSubscription</w:t>
            </w:r>
          </w:p>
        </w:tc>
        <w:tc>
          <w:tcPr/>
          <w:p>
            <w:pPr>
              <w:pStyle w:val="Compact"/>
            </w:pPr>
            <w:r>
              <w:t xml:space="preserve">Boolean</w:t>
            </w:r>
          </w:p>
        </w:tc>
        <w:tc>
          <w:tcPr/>
          <w:p>
            <w:pPr>
              <w:pStyle w:val="Compact"/>
            </w:pPr>
            <w:r>
              <w:t xml:space="preserve">1</w:t>
            </w:r>
          </w:p>
        </w:tc>
        <w:tc>
          <w:tcPr/>
          <w:p>
            <w:pPr>
              <w:pStyle w:val="Compact"/>
            </w:pPr>
            <w:r>
              <w:t xml:space="preserve">A flag that indicates whether the data has been uploaded within an active subscription or not.</w:t>
            </w:r>
          </w:p>
        </w:tc>
      </w:tr>
      <w:tr>
        <w:tc>
          <w:tcPr/>
          <w:p>
            <w:pPr>
              <w:pStyle w:val="Compact"/>
            </w:pPr>
            <w:r>
              <w:t xml:space="preserve">subscriptionIdentifier</w:t>
            </w:r>
          </w:p>
        </w:tc>
        <w:tc>
          <w:tcPr/>
          <w:p>
            <w:pPr>
              <w:pStyle w:val="Compact"/>
            </w:pPr>
            <w:r>
              <w:t xml:space="preserve">UUID</w:t>
            </w:r>
          </w:p>
        </w:tc>
        <w:tc>
          <w:tcPr/>
          <w:p>
            <w:pPr>
              <w:pStyle w:val="Compact"/>
            </w:pPr>
            <w:r>
              <w:t xml:space="preserve">0..1</w:t>
            </w:r>
          </w:p>
        </w:tc>
        <w:tc>
          <w:tcPr/>
          <w:p>
            <w:pPr>
              <w:pStyle w:val="Compact"/>
            </w:pPr>
            <w:r>
              <w:t xml:space="preserve">Subscription identifier is specified if the object is uploaded within a subscription.</w:t>
            </w:r>
          </w:p>
        </w:tc>
      </w:tr>
      <w:tr>
        <w:tc>
          <w:tcPr/>
          <w:p>
            <w:pPr>
              <w:pStyle w:val="Compact"/>
            </w:pPr>
            <w:r>
              <w:t xml:space="preserve">ackRequest</w:t>
            </w:r>
          </w:p>
        </w:tc>
        <w:tc>
          <w:tcPr/>
          <w:p>
            <w:pPr>
              <w:pStyle w:val="Compact"/>
            </w:pPr>
            <w:r>
              <w:t xml:space="preserve">AckRequestEnum as defined in</w:t>
            </w:r>
            <w:r>
              <w:t xml:space="preserve"> </w:t>
            </w:r>
            <w:r>
              <w:t xml:space="preserve">[2]</w:t>
            </w:r>
          </w:p>
        </w:tc>
        <w:tc>
          <w:tcPr/>
          <w:p>
            <w:pPr>
              <w:pStyle w:val="Compact"/>
            </w:pPr>
            <w:r>
              <w:t xml:space="preserve">1</w:t>
            </w:r>
          </w:p>
        </w:tc>
        <w:tc>
          <w:tcPr/>
          <w:p>
            <w:pPr>
              <w:pStyle w:val="Compact"/>
            </w:pPr>
            <w:r>
              <w:t xml:space="preserve">Flag to indicate that acknowledgement is expected to be returned when the data is delivered to the end user, and/or when the content of the data is processed (opened) by the end user.</w:t>
            </w:r>
          </w:p>
        </w:tc>
      </w:tr>
      <w:tr>
        <w:tc>
          <w:tcPr/>
          <w:p>
            <w:pPr>
              <w:pStyle w:val="Compact"/>
            </w:pPr>
            <w:r>
              <w:t xml:space="preserve">callbackEndpoint</w:t>
            </w:r>
          </w:p>
        </w:tc>
        <w:tc>
          <w:tcPr/>
          <w:p>
            <w:pPr>
              <w:pStyle w:val="Compact"/>
            </w:pPr>
            <w:r>
              <w:t xml:space="preserve">URL</w:t>
            </w:r>
          </w:p>
        </w:tc>
        <w:tc>
          <w:tcPr/>
          <w:p>
            <w:pPr>
              <w:pStyle w:val="Compact"/>
            </w:pPr>
            <w:r>
              <w:t xml:space="preserve">0..1</w:t>
            </w:r>
          </w:p>
        </w:tc>
        <w:tc>
          <w:tcPr/>
          <w:p>
            <w:pPr>
              <w:pStyle w:val="Compact"/>
            </w:pPr>
            <w:r>
              <w:t xml:space="preserve">Base URL without trailing slash to the requestor SECOM service Endpoint where to send an acknowledgement. If not available, the endpoint needs to be available through the search service.</w:t>
            </w:r>
          </w:p>
        </w:tc>
      </w:tr>
      <w:tr>
        <w:tc>
          <w:tcPr/>
          <w:p>
            <w:pPr>
              <w:pStyle w:val="Compact"/>
            </w:pPr>
            <w:r>
              <w:t xml:space="preserve">transactionIdentifier</w:t>
            </w:r>
          </w:p>
        </w:tc>
        <w:tc>
          <w:tcPr/>
          <w:p>
            <w:pPr>
              <w:pStyle w:val="Compact"/>
            </w:pPr>
            <w:r>
              <w:t xml:space="preserve">UUID</w:t>
            </w:r>
          </w:p>
        </w:tc>
        <w:tc>
          <w:tcPr/>
          <w:p>
            <w:pPr>
              <w:pStyle w:val="Compact"/>
            </w:pPr>
            <w:r>
              <w:t xml:space="preserve">1</w:t>
            </w:r>
          </w:p>
        </w:tc>
        <w:tc>
          <w:tcPr/>
          <w:p>
            <w:pPr>
              <w:pStyle w:val="Compact"/>
            </w:pPr>
            <w:r>
              <w:t xml:space="preserve">Unique transaction UUID to be used e.g. in acknowledgement.</w:t>
            </w:r>
          </w:p>
        </w:tc>
      </w:tr>
      <w:tr>
        <w:tc>
          <w:tcPr/>
          <w:p>
            <w:pPr>
              <w:pStyle w:val="Compact"/>
            </w:pPr>
            <w:r>
              <w:t xml:space="preserve">envelopeSignatureCertificate</w:t>
            </w:r>
          </w:p>
        </w:tc>
        <w:tc>
          <w:tcPr/>
          <w:p>
            <w:pPr>
              <w:pStyle w:val="Compact"/>
            </w:pPr>
            <w:r>
              <w:t xml:space="preserve">String</w:t>
            </w:r>
          </w:p>
        </w:tc>
        <w:tc>
          <w:tcPr/>
          <w:p>
            <w:pPr>
              <w:pStyle w:val="Compact"/>
            </w:pPr>
            <w:r>
              <w:t xml:space="preserve">1..*</w:t>
            </w:r>
          </w:p>
        </w:tc>
        <w:tc>
          <w:tcPr/>
          <w:p>
            <w:pPr>
              <w:pStyle w:val="Compact"/>
            </w:pPr>
            <w:r>
              <w:t xml:space="preserve">The public certificate(s) of the sender. Used to verify the envelope object signature.</w:t>
            </w:r>
          </w:p>
        </w:tc>
      </w:tr>
      <w:tr>
        <w:tc>
          <w:tcPr/>
          <w:p>
            <w:pPr>
              <w:pStyle w:val="Compact"/>
            </w:pPr>
            <w:r>
              <w:t xml:space="preserve">envelopeRootCertificateThumbprint</w:t>
            </w:r>
          </w:p>
        </w:tc>
        <w:tc>
          <w:tcPr/>
          <w:p>
            <w:pPr>
              <w:pStyle w:val="Compact"/>
            </w:pPr>
            <w:r>
              <w:t xml:space="preserve">String</w:t>
            </w:r>
          </w:p>
        </w:tc>
        <w:tc>
          <w:tcPr/>
          <w:p>
            <w:pPr>
              <w:pStyle w:val="Compact"/>
            </w:pPr>
            <w:r>
              <w:t xml:space="preserve">1</w:t>
            </w:r>
          </w:p>
        </w:tc>
        <w:tc>
          <w:tcPr/>
          <w:p>
            <w:pPr>
              <w:pStyle w:val="Compact"/>
            </w:pPr>
            <w:r>
              <w:t xml:space="preserve">Claimed Thumbprint for Signed Root Key (X.509 Certificate) SHA256 and base64 as format</w:t>
            </w:r>
          </w:p>
        </w:tc>
      </w:tr>
      <w:tr>
        <w:tc>
          <w:tcPr/>
          <w:p>
            <w:pPr>
              <w:pStyle w:val="Compact"/>
            </w:pPr>
            <w:r>
              <w:t xml:space="preserve">size</w:t>
            </w:r>
          </w:p>
        </w:tc>
        <w:tc>
          <w:tcPr/>
          <w:p>
            <w:pPr>
              <w:pStyle w:val="Compact"/>
            </w:pPr>
            <w:r>
              <w:t xml:space="preserve">Integer</w:t>
            </w:r>
          </w:p>
        </w:tc>
        <w:tc>
          <w:tcPr/>
          <w:p>
            <w:pPr>
              <w:pStyle w:val="Compact"/>
            </w:pPr>
            <w:r>
              <w:t xml:space="preserve">1</w:t>
            </w:r>
          </w:p>
        </w:tc>
        <w:tc>
          <w:tcPr/>
          <w:p>
            <w:pPr>
              <w:pStyle w:val="Compact"/>
            </w:pPr>
            <w:r>
              <w:t xml:space="preserve">Size of the data in kBytes to be downloaded.</w:t>
            </w:r>
          </w:p>
        </w:tc>
      </w:tr>
      <w:tr>
        <w:tc>
          <w:tcPr/>
          <w:p>
            <w:pPr>
              <w:pStyle w:val="Compact"/>
            </w:pPr>
            <w:r>
              <w:t xml:space="preserve">timeToLive</w:t>
            </w:r>
          </w:p>
        </w:tc>
        <w:tc>
          <w:tcPr/>
          <w:p>
            <w:pPr>
              <w:pStyle w:val="Compact"/>
            </w:pPr>
            <w:r>
              <w:t xml:space="preserve">DateTime</w:t>
            </w:r>
          </w:p>
        </w:tc>
        <w:tc>
          <w:tcPr/>
          <w:p>
            <w:pPr>
              <w:pStyle w:val="Compact"/>
            </w:pPr>
            <w:r>
              <w:t xml:space="preserve">1</w:t>
            </w:r>
          </w:p>
        </w:tc>
        <w:tc>
          <w:tcPr/>
          <w:p>
            <w:pPr>
              <w:pStyle w:val="Compact"/>
            </w:pPr>
            <w:r>
              <w:t xml:space="preserve">Timestamp when data will be deleted on server. The data need to be fetched before this time.</w:t>
            </w:r>
          </w:p>
        </w:tc>
      </w:tr>
      <w:tr>
        <w:tc>
          <w:tcPr/>
          <w:p>
            <w:pPr>
              <w:pStyle w:val="Compact"/>
            </w:pPr>
            <w:r>
              <w:t xml:space="preserve">envelopeSignatureTime</w:t>
            </w:r>
          </w:p>
        </w:tc>
        <w:tc>
          <w:tcPr/>
          <w:p>
            <w:pPr>
              <w:pStyle w:val="Compact"/>
            </w:pPr>
            <w:r>
              <w:t xml:space="preserve">DateTime</w:t>
            </w:r>
          </w:p>
        </w:tc>
        <w:tc>
          <w:tcPr/>
          <w:p>
            <w:pPr>
              <w:pStyle w:val="Compact"/>
            </w:pPr>
            <w:r>
              <w:t xml:space="preserve">1</w:t>
            </w:r>
          </w:p>
        </w:tc>
        <w:tc>
          <w:tcPr/>
          <w:p>
            <w:pPr>
              <w:pStyle w:val="Compact"/>
            </w:pPr>
            <w:r>
              <w:t xml:space="preserve">Timestamp when the envelope is signed.</w:t>
            </w:r>
          </w:p>
        </w:tc>
      </w:tr>
      <w:tr>
        <w:tc>
          <w:tcPr/>
          <w:p>
            <w:pPr>
              <w:pStyle w:val="Compact"/>
            </w:pPr>
            <w:r>
              <w:t xml:space="preserve">envelopeSignatureReference</w:t>
            </w:r>
          </w:p>
        </w:tc>
        <w:tc>
          <w:tcPr/>
          <w:p>
            <w:pPr>
              <w:pStyle w:val="Compact"/>
            </w:pPr>
            <w:r>
              <w:t xml:space="preserve">String</w:t>
            </w:r>
          </w:p>
        </w:tc>
        <w:tc>
          <w:tcPr/>
          <w:p>
            <w:pPr>
              <w:pStyle w:val="Compact"/>
            </w:pPr>
            <w:r>
              <w:t xml:space="preserve">1</w:t>
            </w:r>
          </w:p>
        </w:tc>
        <w:tc>
          <w:tcPr/>
          <w:p>
            <w:pPr>
              <w:pStyle w:val="Compact"/>
            </w:pPr>
            <w:r>
              <w:t xml:space="preserve">(S-100) Specifies the algorithm used to compute the envelopeSignature For example</w:t>
            </w:r>
            <w:r>
              <w:t xml:space="preserve"> </w:t>
            </w:r>
            <w:r>
              <w:t xml:space="preserve">“ECDSA-384-SHA2”</w:t>
            </w:r>
          </w:p>
        </w:tc>
      </w:tr>
    </w:tbl>
    <w:bookmarkEnd w:id="130"/>
    <w:bookmarkEnd w:id="131"/>
    <w:bookmarkStart w:id="132" w:name="X844cdc36fcad9308ea3994dc77318cb8e7461d4"/>
    <w:p>
      <w:pPr>
        <w:pStyle w:val="Heading4"/>
      </w:pPr>
      <w:r>
        <w:t xml:space="preserve">Interpretation Guidelines</w:t>
      </w:r>
    </w:p>
    <w:p>
      <w:pPr>
        <w:pStyle w:val="FirstParagraph"/>
      </w:pPr>
      <w:r>
        <w:t xml:space="preserve">The Upload by Link operation should always be used when the server identifies that the size of the data to be transmitted exceed the predefined SECOM limit, or when the previously attempted upload operation failed with an HTTP 413 error code.</w:t>
      </w:r>
    </w:p>
    <w:p>
      <w:pPr>
        <w:pStyle w:val="BodyText"/>
      </w:pPr>
      <w:r>
        <w:t xml:space="preserve">The data consumer may return HTTP status 403 if the uploaded AtoN information it receives that it has not requested.</w:t>
      </w:r>
    </w:p>
    <w:bookmarkEnd w:id="132"/>
    <w:bookmarkEnd w:id="133"/>
    <w:bookmarkStart w:id="138" w:name="Xa00984e3467d7ce637a243d66299822689381b7"/>
    <w:p>
      <w:pPr>
        <w:pStyle w:val="Heading3"/>
      </w:pPr>
      <w:r>
        <w:t xml:space="preserve">Operation Acknowledgment</w:t>
      </w:r>
    </w:p>
    <w:p>
      <w:pPr>
        <w:pStyle w:val="FirstParagraph"/>
      </w:pPr>
      <w:r>
        <w:t xml:space="preserve">The</w:t>
      </w:r>
      <w:r>
        <w:t xml:space="preserve"> </w:t>
      </w:r>
      <w:r>
        <w:rPr>
          <w:i/>
          <w:iCs/>
        </w:rPr>
        <w:t xml:space="preserve">Acknowledgment</w:t>
      </w:r>
      <w:r>
        <w:t xml:space="preserve"> </w:t>
      </w:r>
      <w:r>
        <w:t xml:space="preserve">operation allows data consumers to asynchronously confirm whether an uploaded S-125 dataset has been successfully received and/or opened by an end-user.</w:t>
      </w:r>
    </w:p>
    <w:p>
      <w:pPr>
        <w:pStyle w:val="BodyText"/>
      </w:pPr>
      <w:r>
        <w:t xml:space="preserve">It is not yet clear on whether acknowledgements are necessary for the provision of AtoN information to end-users. Regardless, for the purposes of this service design,the Acknowledgment operation interface must be implemented only by the data consumers.</w:t>
      </w:r>
    </w:p>
    <w:p>
      <w:pPr>
        <w:pStyle w:val="BodyText"/>
      </w:pPr>
      <w:r>
        <w:t xml:space="preserve">Use of the interface is according to the SECOM specification.</w:t>
      </w:r>
    </w:p>
    <w:p>
      <w:pPr>
        <w:pStyle w:val="Compact"/>
        <w:numPr>
          <w:ilvl w:val="0"/>
          <w:numId w:val="1023"/>
        </w:numPr>
      </w:pPr>
      <w:r>
        <w:t xml:space="preserve">Name: Acknowledgment Interface</w:t>
      </w:r>
    </w:p>
    <w:p>
      <w:pPr>
        <w:pStyle w:val="Compact"/>
        <w:numPr>
          <w:ilvl w:val="0"/>
          <w:numId w:val="1023"/>
        </w:numPr>
      </w:pPr>
      <w:r>
        <w:t xml:space="preserve">Sub-path: /v2/acknowledgement</w:t>
      </w:r>
    </w:p>
    <w:p>
      <w:pPr>
        <w:pStyle w:val="Compact"/>
        <w:numPr>
          <w:ilvl w:val="0"/>
          <w:numId w:val="1023"/>
        </w:numPr>
      </w:pPr>
      <w:r>
        <w:t xml:space="preserve">HTTP-Method: POST</w:t>
      </w:r>
    </w:p>
    <w:p>
      <w:pPr>
        <w:pStyle w:val="Compact"/>
        <w:numPr>
          <w:ilvl w:val="0"/>
          <w:numId w:val="1023"/>
        </w:numPr>
      </w:pPr>
      <w:r>
        <w:t xml:space="preserve">Cookies: Session-Cookies (optional)</w:t>
      </w:r>
    </w:p>
    <w:p>
      <w:pPr>
        <w:pStyle w:val="Compact"/>
        <w:numPr>
          <w:ilvl w:val="0"/>
          <w:numId w:val="1023"/>
        </w:numPr>
      </w:pPr>
      <w:r>
        <w:t xml:space="preserve">Content-Type: application/json</w:t>
      </w:r>
    </w:p>
    <w:bookmarkStart w:id="134" w:name="Xf5f3d452c47406964133a5d3df6ef2cf1baf796"/>
    <w:p>
      <w:pPr>
        <w:pStyle w:val="Heading4"/>
      </w:pPr>
      <w:r>
        <w:t xml:space="preserve">Operation Functionality</w:t>
      </w:r>
    </w:p>
    <w:p>
      <w:pPr>
        <w:pStyle w:val="FirstParagraph"/>
      </w:pPr>
      <w:r>
        <w:t xml:space="preserve">The operation validates the given transactionIdentifier and handles the acknowledgement of sent data. The acknowledgement can be either for when the S-125 dataset has been delivered, opened or both. The acknowledgement contains a reference to the object delivered and has no time limit.</w:t>
      </w:r>
    </w:p>
    <w:bookmarkEnd w:id="134"/>
    <w:bookmarkStart w:id="136" w:name="X1f3a8de698efa1da9ccc7231cd5dbcc6bbafe76"/>
    <w:p>
      <w:pPr>
        <w:pStyle w:val="Heading4"/>
      </w:pPr>
      <w:r>
        <w:t xml:space="preserve">Operation Parameters</w:t>
      </w:r>
    </w:p>
    <w:bookmarkStart w:id="135" w:name="tbl:acknowledgment_operation_parameters"/>
    <w:p>
      <w:pPr>
        <w:pStyle w:val="TableCaption"/>
      </w:pPr>
      <w:r>
        <w:t xml:space="preserve">The Acknowledgment Operation Parameters.</w:t>
      </w:r>
    </w:p>
    <w:tbl>
      <w:tblPr>
        <w:tblStyle w:val="Table"/>
        <w:tblW w:type="pct" w:w="5000"/>
        <w:tblLayout w:type="fixed"/>
        <w:tblLook w:firstRow="1" w:lastRow="0" w:firstColumn="0" w:lastColumn="0" w:noHBand="0" w:noVBand="0" w:val="0020"/>
        <w:tblCaption w:val="The Acknowledgment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Descriptions</w:t>
            </w:r>
          </w:p>
        </w:tc>
      </w:tr>
      <w:tr>
        <w:tc>
          <w:tcPr/>
          <w:p>
            <w:pPr>
              <w:pStyle w:val="Compact"/>
            </w:pPr>
            <w:r>
              <w:t xml:space="preserve">createdAt</w:t>
            </w:r>
          </w:p>
        </w:tc>
        <w:tc>
          <w:tcPr/>
          <w:p>
            <w:pPr>
              <w:pStyle w:val="Compact"/>
            </w:pPr>
            <w:r>
              <w:t xml:space="preserve">DateTime</w:t>
            </w:r>
          </w:p>
        </w:tc>
        <w:tc>
          <w:tcPr/>
          <w:p>
            <w:pPr>
              <w:pStyle w:val="Compact"/>
            </w:pPr>
            <w:r>
              <w:t xml:space="preserve">1</w:t>
            </w:r>
          </w:p>
        </w:tc>
        <w:tc>
          <w:tcPr/>
          <w:p>
            <w:pPr>
              <w:pStyle w:val="Compact"/>
            </w:pPr>
            <w:r>
              <w:t xml:space="preserve">Creation time for the acknowledgement.</w:t>
            </w:r>
          </w:p>
        </w:tc>
      </w:tr>
      <w:tr>
        <w:tc>
          <w:tcPr/>
          <w:p>
            <w:pPr>
              <w:pStyle w:val="Compact"/>
            </w:pPr>
            <w:r>
              <w:t xml:space="preserve">envelopeCertificate</w:t>
            </w:r>
          </w:p>
        </w:tc>
        <w:tc>
          <w:tcPr/>
          <w:p>
            <w:pPr>
              <w:pStyle w:val="Compact"/>
            </w:pPr>
            <w:r>
              <w:t xml:space="preserve">String</w:t>
            </w:r>
          </w:p>
        </w:tc>
        <w:tc>
          <w:tcPr/>
          <w:p>
            <w:pPr>
              <w:pStyle w:val="Compact"/>
            </w:pPr>
            <w:r>
              <w:t xml:space="preserve">1..*</w:t>
            </w:r>
          </w:p>
        </w:tc>
        <w:tc>
          <w:tcPr/>
          <w:p>
            <w:pPr>
              <w:pStyle w:val="Compact"/>
            </w:pPr>
            <w:r>
              <w:t xml:space="preserve">The public certificate of the sender. used to verify the envelope signature</w:t>
            </w:r>
          </w:p>
        </w:tc>
      </w:tr>
      <w:tr>
        <w:tc>
          <w:tcPr/>
          <w:p>
            <w:pPr>
              <w:pStyle w:val="Compact"/>
            </w:pPr>
            <w:r>
              <w:t xml:space="preserve">envelopeRootCertificateThumbprint</w:t>
            </w:r>
          </w:p>
        </w:tc>
        <w:tc>
          <w:tcPr/>
          <w:p>
            <w:pPr>
              <w:pStyle w:val="Compact"/>
            </w:pPr>
            <w:r>
              <w:t xml:space="preserve">String</w:t>
            </w:r>
          </w:p>
        </w:tc>
        <w:tc>
          <w:tcPr/>
          <w:p>
            <w:pPr>
              <w:pStyle w:val="Compact"/>
            </w:pPr>
            <w:r>
              <w:t xml:space="preserve">1</w:t>
            </w:r>
          </w:p>
        </w:tc>
        <w:tc>
          <w:tcPr/>
          <w:p>
            <w:pPr>
              <w:pStyle w:val="Compact"/>
            </w:pPr>
            <w:r>
              <w:t xml:space="preserve">Claimed Thumbprint for Signed Root Key (X.509 Certificate) SHA256 and base64 as format.</w:t>
            </w:r>
          </w:p>
        </w:tc>
      </w:tr>
      <w:tr>
        <w:tc>
          <w:tcPr/>
          <w:p>
            <w:pPr>
              <w:pStyle w:val="Compact"/>
            </w:pPr>
            <w:r>
              <w:t xml:space="preserve">transactionIdentifier</w:t>
            </w:r>
          </w:p>
        </w:tc>
        <w:tc>
          <w:tcPr/>
          <w:p>
            <w:pPr>
              <w:pStyle w:val="Compact"/>
            </w:pPr>
            <w:r>
              <w:t xml:space="preserve">String</w:t>
            </w:r>
          </w:p>
        </w:tc>
        <w:tc>
          <w:tcPr/>
          <w:p>
            <w:pPr>
              <w:pStyle w:val="Compact"/>
            </w:pPr>
            <w:r>
              <w:t xml:space="preserve">1</w:t>
            </w:r>
          </w:p>
        </w:tc>
        <w:tc>
          <w:tcPr/>
          <w:p>
            <w:pPr>
              <w:pStyle w:val="Compact"/>
            </w:pPr>
            <w:r>
              <w:t xml:space="preserve">Reference identifier given in upload.</w:t>
            </w:r>
          </w:p>
        </w:tc>
      </w:tr>
      <w:tr>
        <w:tc>
          <w:tcPr/>
          <w:p>
            <w:pPr>
              <w:pStyle w:val="Compact"/>
            </w:pPr>
            <w:r>
              <w:t xml:space="preserve">ackType</w:t>
            </w:r>
          </w:p>
        </w:tc>
        <w:tc>
          <w:tcPr/>
          <w:p>
            <w:pPr>
              <w:pStyle w:val="Compact"/>
            </w:pPr>
            <w:r>
              <w:t xml:space="preserve">AckTypeEnumType as defined in</w:t>
            </w:r>
            <w:r>
              <w:t xml:space="preserve"> </w:t>
            </w:r>
            <w:r>
              <w:t xml:space="preserve">[2]</w:t>
            </w:r>
          </w:p>
        </w:tc>
        <w:tc>
          <w:tcPr/>
          <w:p>
            <w:pPr>
              <w:pStyle w:val="Compact"/>
            </w:pPr>
            <w:r>
              <w:t xml:space="preserve">1</w:t>
            </w:r>
          </w:p>
        </w:tc>
        <w:tc>
          <w:tcPr/>
          <w:p>
            <w:pPr>
              <w:pStyle w:val="Compact"/>
            </w:pPr>
            <w:r>
              <w:t xml:space="preserve">Type of of acknowledgement.</w:t>
            </w:r>
          </w:p>
        </w:tc>
      </w:tr>
      <w:tr>
        <w:tc>
          <w:tcPr/>
          <w:p>
            <w:pPr>
              <w:pStyle w:val="Compact"/>
            </w:pPr>
            <w:r>
              <w:t xml:space="preserve">nackType</w:t>
            </w:r>
          </w:p>
        </w:tc>
        <w:tc>
          <w:tcPr/>
          <w:p>
            <w:pPr>
              <w:pStyle w:val="Compact"/>
            </w:pPr>
            <w:r>
              <w:t xml:space="preserve">NackTypeEnum as defined in</w:t>
            </w:r>
            <w:r>
              <w:t xml:space="preserve"> </w:t>
            </w:r>
            <w:r>
              <w:t xml:space="preserve">[2]</w:t>
            </w:r>
          </w:p>
        </w:tc>
        <w:tc>
          <w:tcPr/>
          <w:p>
            <w:pPr>
              <w:pStyle w:val="Compact"/>
            </w:pPr>
            <w:r>
              <w:t xml:space="preserve">0..1</w:t>
            </w:r>
          </w:p>
        </w:tc>
        <w:tc>
          <w:tcPr/>
          <w:p>
            <w:pPr>
              <w:pStyle w:val="Compact"/>
            </w:pPr>
            <w:r>
              <w:t xml:space="preserve">NackTypeEnum Information details if error.</w:t>
            </w:r>
          </w:p>
        </w:tc>
      </w:tr>
      <w:tr>
        <w:tc>
          <w:tcPr/>
          <w:p>
            <w:pPr>
              <w:pStyle w:val="Compact"/>
            </w:pPr>
            <w:r>
              <w:t xml:space="preserve">envelopeSignatureTime</w:t>
            </w:r>
          </w:p>
        </w:tc>
        <w:tc>
          <w:tcPr/>
          <w:p>
            <w:pPr>
              <w:pStyle w:val="Compact"/>
            </w:pPr>
            <w:r>
              <w:t xml:space="preserve">DateTime</w:t>
            </w:r>
          </w:p>
        </w:tc>
        <w:tc>
          <w:tcPr/>
          <w:p>
            <w:pPr>
              <w:pStyle w:val="Compact"/>
            </w:pPr>
            <w:r>
              <w:t xml:space="preserve">0..1</w:t>
            </w:r>
          </w:p>
        </w:tc>
        <w:tc>
          <w:tcPr/>
          <w:p>
            <w:pPr>
              <w:pStyle w:val="Compact"/>
            </w:pPr>
            <w:r>
              <w:t xml:space="preserve">Timestamp when the envelope is signed</w:t>
            </w:r>
          </w:p>
        </w:tc>
      </w:tr>
      <w:tr>
        <w:tc>
          <w:tcPr/>
          <w:p>
            <w:pPr>
              <w:pStyle w:val="Compact"/>
            </w:pPr>
            <w:r>
              <w:t xml:space="preserve">envelopeSignatureReference</w:t>
            </w:r>
          </w:p>
        </w:tc>
        <w:tc>
          <w:tcPr/>
          <w:p>
            <w:pPr>
              <w:pStyle w:val="Compact"/>
            </w:pPr>
            <w:r>
              <w:t xml:space="preserve">String</w:t>
            </w:r>
          </w:p>
        </w:tc>
        <w:tc>
          <w:tcPr/>
          <w:p>
            <w:pPr>
              <w:pStyle w:val="Compact"/>
            </w:pPr>
            <w:r>
              <w:t xml:space="preserve">1</w:t>
            </w:r>
          </w:p>
        </w:tc>
        <w:tc>
          <w:tcPr/>
          <w:p>
            <w:pPr>
              <w:pStyle w:val="Compact"/>
            </w:pPr>
            <w:r>
              <w:t xml:space="preserve">Specifies the algorithm used to compute envelope signature. For example</w:t>
            </w:r>
            <w:r>
              <w:t xml:space="preserve"> </w:t>
            </w:r>
            <w:r>
              <w:t xml:space="preserve">“ECDSA-384-SHA2”</w:t>
            </w:r>
          </w:p>
        </w:tc>
      </w:tr>
    </w:tbl>
    <w:bookmarkEnd w:id="135"/>
    <w:bookmarkEnd w:id="136"/>
    <w:bookmarkStart w:id="137" w:name="X2b820bb7f442ebf568a7c500a39a412a89f4eff"/>
    <w:p>
      <w:pPr>
        <w:pStyle w:val="Heading4"/>
      </w:pPr>
      <w:r>
        <w:t xml:space="preserve">Interpretation Guidelines</w:t>
      </w:r>
    </w:p>
    <w:p>
      <w:pPr>
        <w:pStyle w:val="FirstParagraph"/>
      </w:pPr>
      <w:r>
        <w:t xml:space="preserve">The</w:t>
      </w:r>
      <w:r>
        <w:t xml:space="preserve"> </w:t>
      </w:r>
      <w:r>
        <w:rPr>
          <w:b/>
          <w:bCs/>
        </w:rPr>
        <w:t xml:space="preserve">transactionIdentifier</w:t>
      </w:r>
      <w:r>
        <w:t xml:space="preserve"> </w:t>
      </w:r>
      <w:r>
        <w:t xml:space="preserve">describes the reference to what sending transaction of data that is acknowledged.</w:t>
      </w:r>
    </w:p>
    <w:p>
      <w:pPr>
        <w:pStyle w:val="BodyText"/>
      </w:pPr>
      <w:r>
        <w:t xml:space="preserve">The response can be either positive acknowledgement (ackType = 1 or 2) or negative acknowledgement (ackType = 3 (error)). If negative acknowledgement is given, the error message is expected to be provided in nackType (0-4) describing the error.</w:t>
      </w:r>
    </w:p>
    <w:p>
      <w:r>
        <w:br w:type="page"/>
      </w:r>
    </w:p>
    <w:bookmarkEnd w:id="137"/>
    <w:bookmarkEnd w:id="138"/>
    <w:bookmarkEnd w:id="139"/>
    <w:bookmarkEnd w:id="140"/>
    <w:bookmarkStart w:id="156" w:name="sec:service-dynamic-behaviour"/>
    <w:p>
      <w:pPr>
        <w:pStyle w:val="Heading1"/>
      </w:pPr>
      <w:r>
        <w:t xml:space="preserve">Service Dynamic Behaviour</w:t>
      </w:r>
    </w:p>
    <w:p>
      <w:pPr>
        <w:pStyle w:val="FirstParagraph"/>
      </w:pPr>
      <w:r>
        <w:t xml:space="preserve">In the following diagrams and descriptions, the communication between the vessel’s onboard systems and its SECOM service is out of scope for the purposes of this design.</w:t>
      </w:r>
    </w:p>
    <w:p>
      <w:pPr>
        <w:pStyle w:val="BodyText"/>
      </w:pPr>
      <w:r>
        <w:t xml:space="preserve">Similarly, the communication and interfaces between the service and the on-board ship system is out of scope of this design.</w:t>
      </w:r>
    </w:p>
    <w:bookmarkStart w:id="141" w:name="sec:dynamic_behaviour_signature_sequence"/>
    <w:p>
      <w:pPr>
        <w:pStyle w:val="Heading2"/>
      </w:pPr>
      <w:r>
        <w:t xml:space="preserve">Generic sequence for signatures</w:t>
      </w:r>
    </w:p>
    <w:p>
      <w:pPr>
        <w:pStyle w:val="FirstParagraph"/>
      </w:pPr>
      <w:r>
        <w:t xml:space="preserve">This sequence assumes the following actors:</w:t>
      </w:r>
    </w:p>
    <w:p>
      <w:pPr>
        <w:pStyle w:val="BodyText"/>
      </w:pPr>
      <w:r>
        <w:t xml:space="preserve">Data Provider → Data Server → Data Receiver → Data Consumer</w:t>
      </w:r>
    </w:p>
    <w:p>
      <w:pPr>
        <w:pStyle w:val="BodyText"/>
      </w:pPr>
      <w:r>
        <w:t xml:space="preserve">The sequence describes the data from its source through transport using SECOM to the end-user.</w:t>
      </w:r>
    </w:p>
    <w:p>
      <w:pPr>
        <w:pStyle w:val="BodyText"/>
      </w:pPr>
      <w:r>
        <w:t xml:space="preserve">Data Provider preparation:</w:t>
      </w:r>
    </w:p>
    <w:p>
      <w:pPr>
        <w:pStyle w:val="Compact"/>
        <w:numPr>
          <w:ilvl w:val="0"/>
          <w:numId w:val="1024"/>
        </w:numPr>
      </w:pPr>
      <w:r>
        <w:t xml:space="preserve">The data provider must have an identity in trusted PKI system</w:t>
      </w:r>
    </w:p>
    <w:p>
      <w:pPr>
        <w:pStyle w:val="Compact"/>
        <w:numPr>
          <w:ilvl w:val="0"/>
          <w:numId w:val="1024"/>
        </w:numPr>
      </w:pPr>
      <w:r>
        <w:t xml:space="preserve">The data provider creates a private-public key pair</w:t>
      </w:r>
    </w:p>
    <w:p>
      <w:pPr>
        <w:pStyle w:val="Compact"/>
        <w:numPr>
          <w:ilvl w:val="0"/>
          <w:numId w:val="1024"/>
        </w:numPr>
      </w:pPr>
      <w:r>
        <w:t xml:space="preserve">The data provider sends the public key to PKI system to get it signed and connected to a specific identity/identifier in the PKI system (Certificate Signing Request)</w:t>
      </w:r>
    </w:p>
    <w:p>
      <w:pPr>
        <w:pStyle w:val="FirstParagraph"/>
      </w:pPr>
      <w:r>
        <w:t xml:space="preserve">Data Sender preparation:</w:t>
      </w:r>
    </w:p>
    <w:p>
      <w:pPr>
        <w:pStyle w:val="Compact"/>
        <w:numPr>
          <w:ilvl w:val="0"/>
          <w:numId w:val="1025"/>
        </w:numPr>
      </w:pPr>
      <w:r>
        <w:t xml:space="preserve">The data sender must have an identity in trusted PKI system</w:t>
      </w:r>
    </w:p>
    <w:p>
      <w:pPr>
        <w:pStyle w:val="Compact"/>
        <w:numPr>
          <w:ilvl w:val="0"/>
          <w:numId w:val="1025"/>
        </w:numPr>
      </w:pPr>
      <w:r>
        <w:t xml:space="preserve">The data sender creates a private-public key pair</w:t>
      </w:r>
    </w:p>
    <w:p>
      <w:pPr>
        <w:pStyle w:val="Compact"/>
        <w:numPr>
          <w:ilvl w:val="0"/>
          <w:numId w:val="1025"/>
        </w:numPr>
      </w:pPr>
      <w:r>
        <w:t xml:space="preserve">The data sender sends the public key to PKI system to get it signed and connected to a specific identity/identifier in the PKI system (Certificate Signing Request)</w:t>
      </w:r>
    </w:p>
    <w:p>
      <w:pPr>
        <w:pStyle w:val="FirstParagraph"/>
      </w:pPr>
      <w:r>
        <w:t xml:space="preserve">Data Provider and Data Sender:</w:t>
      </w:r>
    </w:p>
    <w:p>
      <w:pPr>
        <w:pStyle w:val="Compact"/>
        <w:numPr>
          <w:ilvl w:val="0"/>
          <w:numId w:val="1026"/>
        </w:numPr>
      </w:pPr>
      <w:r>
        <w:t xml:space="preserve">The data provider selects identifier and certificate to use for the data signing</w:t>
      </w:r>
    </w:p>
    <w:p>
      <w:pPr>
        <w:pStyle w:val="Compact"/>
        <w:numPr>
          <w:ilvl w:val="0"/>
          <w:numId w:val="1026"/>
        </w:numPr>
      </w:pPr>
      <w:r>
        <w:t xml:space="preserve">The data provider creates a signature for the data</w:t>
      </w:r>
    </w:p>
    <w:p>
      <w:pPr>
        <w:pStyle w:val="Compact"/>
        <w:numPr>
          <w:ilvl w:val="0"/>
          <w:numId w:val="1026"/>
        </w:numPr>
      </w:pPr>
      <w:r>
        <w:t xml:space="preserve">The data provider transfers the data with its signature to the data sender.</w:t>
      </w:r>
    </w:p>
    <w:p>
      <w:pPr>
        <w:pStyle w:val="Compact"/>
        <w:numPr>
          <w:ilvl w:val="0"/>
          <w:numId w:val="1026"/>
        </w:numPr>
      </w:pPr>
      <w:r>
        <w:t xml:space="preserve">The data sender protects the data transferring by the selected communication mechanism, e.g. SECOM. SECOM Upload wraps the data, the signature and metadata into an envelope. The envelope is signed by the data sender.</w:t>
      </w:r>
    </w:p>
    <w:p>
      <w:pPr>
        <w:pStyle w:val="Compact"/>
        <w:numPr>
          <w:ilvl w:val="0"/>
          <w:numId w:val="1026"/>
        </w:numPr>
      </w:pPr>
      <w:r>
        <w:t xml:space="preserve">The data sends contacts the data receiver and transfers the data</w:t>
      </w:r>
    </w:p>
    <w:p>
      <w:pPr>
        <w:pStyle w:val="FirstParagraph"/>
      </w:pPr>
      <w:r>
        <w:t xml:space="preserve">Data Receiver and Data Consumer:</w:t>
      </w:r>
    </w:p>
    <w:p>
      <w:pPr>
        <w:pStyle w:val="Compact"/>
        <w:numPr>
          <w:ilvl w:val="0"/>
          <w:numId w:val="1027"/>
        </w:numPr>
      </w:pPr>
      <w:r>
        <w:t xml:space="preserve">The data receiver receives the transferred object with envelope. The envelope signature is verified.</w:t>
      </w:r>
    </w:p>
    <w:p>
      <w:pPr>
        <w:pStyle w:val="Compact"/>
        <w:numPr>
          <w:ilvl w:val="0"/>
          <w:numId w:val="1027"/>
        </w:numPr>
      </w:pPr>
      <w:r>
        <w:t xml:space="preserve">The data receiver forwards the data and data signature to the data consumer</w:t>
      </w:r>
    </w:p>
    <w:p>
      <w:pPr>
        <w:pStyle w:val="Compact"/>
        <w:numPr>
          <w:ilvl w:val="0"/>
          <w:numId w:val="1027"/>
        </w:numPr>
      </w:pPr>
      <w:r>
        <w:t xml:space="preserve">The data consumer verifies the data signature</w:t>
      </w:r>
    </w:p>
    <w:bookmarkEnd w:id="141"/>
    <w:bookmarkStart w:id="150" w:name="Xa8c46ada8d3a71107c9f5d2dc04e5eb37dc6132"/>
    <w:p>
      <w:pPr>
        <w:pStyle w:val="Heading2"/>
      </w:pPr>
      <w:r>
        <w:t xml:space="preserve">Client-initiated Retrieval of AtoN Information</w:t>
      </w:r>
    </w:p>
    <w:p>
      <w:pPr>
        <w:pStyle w:val="FirstParagraph"/>
      </w:pPr>
      <w:r>
        <w:t xml:space="preserve">The client-initiated retrieval is triggered by the consumer consumer, when they issue a request on an appropriate AtoN information data receiver (i.e. Get and Get Summary). This functionality covers</w:t>
      </w:r>
      <w:r>
        <w:t xml:space="preserve"> </w:t>
      </w:r>
      <w:r>
        <w:rPr>
          <w:b/>
          <w:bCs/>
          <w:i/>
          <w:iCs/>
        </w:rPr>
        <w:t xml:space="preserve">Use Case #1</w:t>
      </w:r>
      <w:r>
        <w:t xml:space="preserve">,</w:t>
      </w:r>
      <w:r>
        <w:t xml:space="preserve"> </w:t>
      </w:r>
      <w:r>
        <w:rPr>
          <w:b/>
          <w:bCs/>
          <w:i/>
          <w:iCs/>
        </w:rPr>
        <w:t xml:space="preserve">Use Case #2</w:t>
      </w:r>
      <w:r>
        <w:t xml:space="preserve"> </w:t>
      </w:r>
      <w:r>
        <w:t xml:space="preserve">and</w:t>
      </w:r>
      <w:r>
        <w:t xml:space="preserve"> </w:t>
      </w:r>
      <w:r>
        <w:rPr>
          <w:b/>
          <w:bCs/>
          <w:i/>
          <w:iCs/>
        </w:rPr>
        <w:t xml:space="preserve">Use Case #4</w:t>
      </w:r>
      <w:r>
        <w:t xml:space="preserve">, as outlined in relevant service specification</w:t>
      </w:r>
      <w:r>
        <w:t xml:space="preserve"> </w:t>
      </w:r>
      <w:r>
        <w:t xml:space="preserve">[1]</w:t>
      </w:r>
      <w:r>
        <w:t xml:space="preserve">. All three use cases can be achieved by two methods:</w:t>
      </w:r>
    </w:p>
    <w:p>
      <w:pPr>
        <w:pStyle w:val="Compact"/>
        <w:numPr>
          <w:ilvl w:val="0"/>
          <w:numId w:val="1028"/>
        </w:numPr>
      </w:pPr>
      <w:r>
        <w:t xml:space="preserve">By directly requesting specific S-125 datasets, using the operation parameters of the Get operation, or;</w:t>
      </w:r>
    </w:p>
    <w:p>
      <w:pPr>
        <w:pStyle w:val="Compact"/>
        <w:numPr>
          <w:ilvl w:val="0"/>
          <w:numId w:val="1028"/>
        </w:numPr>
      </w:pPr>
      <w:r>
        <w:t xml:space="preserve">By requesting the S-125 dataset summary information through the Get Summary operation first, and then using the provided dataset reference identifiers, to retrieve the corresponding S-125 datasets.</w:t>
      </w:r>
    </w:p>
    <w:p>
      <w:pPr>
        <w:pStyle w:val="FirstParagraph"/>
      </w:pPr>
      <w:r>
        <w:t xml:space="preserve">The first method is presented in Figure 2, where the service consumer contacts directly the Get operation of the service provider. Utilising the available operation parameters such as the geometry, area name and time-period, only specific S-125 datasets matching the specified criteria and/or have updates on the specified time-period interval, will be retrieved, packaged into an S-100 Exchange Set, and returned as a response.</w:t>
      </w:r>
    </w:p>
    <w:bookmarkStart w:id="145" w:name="fig:dynamic_behaviour_get_operation"/>
    <w:p>
      <w:pPr>
        <w:pStyle w:val="CaptionedFigure"/>
      </w:pPr>
      <w:r>
        <w:drawing>
          <wp:inline>
            <wp:extent cx="6477000" cy="2371044"/>
            <wp:effectExtent b="0" l="0" r="0" t="0"/>
            <wp:docPr descr="Client-Initiated AtoN Information Retrieval through the Get operation." title="" id="143" name="Picture"/>
            <a:graphic>
              <a:graphicData uri="http://schemas.openxmlformats.org/drawingml/2006/picture">
                <pic:pic>
                  <pic:nvPicPr>
                    <pic:cNvPr descr="source/guideline/./dynamic_behaviour-1.png" id="144" name="Picture"/>
                    <pic:cNvPicPr>
                      <a:picLocks noChangeArrowheads="1" noChangeAspect="1"/>
                    </pic:cNvPicPr>
                  </pic:nvPicPr>
                  <pic:blipFill>
                    <a:blip r:embed="rId142"/>
                    <a:stretch>
                      <a:fillRect/>
                    </a:stretch>
                  </pic:blipFill>
                  <pic:spPr bwMode="auto">
                    <a:xfrm>
                      <a:off x="0" y="0"/>
                      <a:ext cx="6477000" cy="2371044"/>
                    </a:xfrm>
                    <a:prstGeom prst="rect">
                      <a:avLst/>
                    </a:prstGeom>
                    <a:noFill/>
                    <a:ln w="9525">
                      <a:noFill/>
                      <a:headEnd/>
                      <a:tailEnd/>
                    </a:ln>
                  </pic:spPr>
                </pic:pic>
              </a:graphicData>
            </a:graphic>
          </wp:inline>
        </w:drawing>
      </w:r>
    </w:p>
    <w:p>
      <w:pPr>
        <w:pStyle w:val="ImageCaption"/>
      </w:pPr>
      <w:r>
        <w:t xml:space="preserve">Client-Initiated AtoN Information Retrieval through the Get operation.</w:t>
      </w:r>
    </w:p>
    <w:bookmarkEnd w:id="145"/>
    <w:p>
      <w:pPr>
        <w:pStyle w:val="BodyText"/>
      </w:pPr>
      <w:r>
        <w:t xml:space="preserve">In cases where the service consumer requires more information, before making a decision on which datasets should be downloaded, the second retrieval method can be employed, utilising the Get Summary operation. This is demonstrated in Figure 3, where the data consumer initially requests the list of the available S-125 dataset metadata via the summary operation and directly receives a response from the data provider. The service consumer can then select a dataset reference identifier from the returned list and request the detailed information (i.e. the complete S-125 dataset) back, through the Get operation of the data provider. Each of the corresponding S-125 dataset (and/or its corresponding updates) will be packaged as an individual S-100 Exchange Set and will be sent back to the data consumer as direct response.</w:t>
      </w:r>
    </w:p>
    <w:bookmarkStart w:id="149" w:name="Xa799260ab5ee587eb408857f814c1960d725c5c"/>
    <w:p>
      <w:pPr>
        <w:pStyle w:val="CaptionedFigure"/>
      </w:pPr>
      <w:r>
        <w:drawing>
          <wp:inline>
            <wp:extent cx="6477000" cy="3825065"/>
            <wp:effectExtent b="0" l="0" r="0" t="0"/>
            <wp:docPr descr="Client-Initiated AtoN Information Retrieval through the Get Summary operation." title="" id="147" name="Picture"/>
            <a:graphic>
              <a:graphicData uri="http://schemas.openxmlformats.org/drawingml/2006/picture">
                <pic:pic>
                  <pic:nvPicPr>
                    <pic:cNvPr descr="source/guideline/./dynamic_behaviour-2.png" id="148" name="Picture"/>
                    <pic:cNvPicPr>
                      <a:picLocks noChangeArrowheads="1" noChangeAspect="1"/>
                    </pic:cNvPicPr>
                  </pic:nvPicPr>
                  <pic:blipFill>
                    <a:blip r:embed="rId146"/>
                    <a:stretch>
                      <a:fillRect/>
                    </a:stretch>
                  </pic:blipFill>
                  <pic:spPr bwMode="auto">
                    <a:xfrm>
                      <a:off x="0" y="0"/>
                      <a:ext cx="6477000" cy="3825065"/>
                    </a:xfrm>
                    <a:prstGeom prst="rect">
                      <a:avLst/>
                    </a:prstGeom>
                    <a:noFill/>
                    <a:ln w="9525">
                      <a:noFill/>
                      <a:headEnd/>
                      <a:tailEnd/>
                    </a:ln>
                  </pic:spPr>
                </pic:pic>
              </a:graphicData>
            </a:graphic>
          </wp:inline>
        </w:drawing>
      </w:r>
    </w:p>
    <w:p>
      <w:pPr>
        <w:pStyle w:val="ImageCaption"/>
      </w:pPr>
      <w:r>
        <w:t xml:space="preserve">Client-Initiated AtoN Information Retrieval through the Get Summary operation.</w:t>
      </w:r>
    </w:p>
    <w:bookmarkEnd w:id="149"/>
    <w:p>
      <w:pPr>
        <w:pStyle w:val="BodyText"/>
      </w:pPr>
      <w:r>
        <w:t xml:space="preserve">The Get Summary operation accepts the same operation parameters as Get, which can be employed to filter the summary response list. This feature improves the flexibility of the whole operation. For example, even if a provided geometry operation parameter matches more than one S-125 datasets, only the required dataset will eventually be retrieved by the service consumer, by using its respective dataset reference identifier.</w:t>
      </w:r>
    </w:p>
    <w:bookmarkEnd w:id="150"/>
    <w:bookmarkStart w:id="155" w:name="Xe1f4ba8c3d22d57be3c4dbcc66dda18514f615b"/>
    <w:p>
      <w:pPr>
        <w:pStyle w:val="Heading2"/>
      </w:pPr>
      <w:r>
        <w:t xml:space="preserve">Subscription-based AtoN Information Propagation</w:t>
      </w:r>
    </w:p>
    <w:p>
      <w:pPr>
        <w:pStyle w:val="FirstParagraph"/>
      </w:pPr>
      <w:r>
        <w:t xml:space="preserve">The subscription on AtoN Information is an alternative method of data propagation, in which a data consumer actively registers its interest to receive updates either on a specific S-125 dataset or alternatively, on all available S-125 datasets. This operation covers Use</w:t>
      </w:r>
      <w:r>
        <w:t xml:space="preserve"> </w:t>
      </w:r>
      <w:r>
        <w:rPr>
          <w:b/>
          <w:bCs/>
          <w:i/>
          <w:iCs/>
        </w:rPr>
        <w:t xml:space="preserve">Case #3</w:t>
      </w:r>
      <w:r>
        <w:t xml:space="preserve">, as outlined in</w:t>
      </w:r>
      <w:r>
        <w:t xml:space="preserve"> </w:t>
      </w:r>
      <w:r>
        <w:t xml:space="preserve">[1]</w:t>
      </w:r>
      <w:r>
        <w:t xml:space="preserve">.</w:t>
      </w:r>
    </w:p>
    <w:p>
      <w:pPr>
        <w:pStyle w:val="BodyText"/>
      </w:pPr>
      <w:r>
        <w:t xml:space="preserve">Figure 3 illustrates the typical behaviour of the subscription operation. Initially, the data consumer is required to initiate the subscription through the Subscription operation of the data provider. Utilising the available operation parameters such as the geometry, the area name and the subscription period, updates only on the S-125 datasets matching the specified criteria will be provided. Once the subscription request has been received, processed and accepted by the data server, a notification may be sent back to the data consumer, using its Subscription Notification operation. This notification will indicate that the requested subscription has commenced and should include the UUID identifier reference of the established subscription.</w:t>
      </w:r>
    </w:p>
    <w:p>
      <w:pPr>
        <w:pStyle w:val="BodyText"/>
      </w:pPr>
      <w:r>
        <w:t xml:space="preserve">Whenever an update is made available on the set of S-125 datasets covered by a subscription, the Upload operation is used to deliver those updates, packaged as S-100 Exchange Sets, to the data consumer. Depending on the implementation of the service, the data consumer may be required to respond to this operation by sending an acknowledgement message back to the service provider. The subscription updates will continue to be provided until</w:t>
      </w:r>
      <w:r>
        <w:t xml:space="preserve"> </w:t>
      </w:r>
      <w:r>
        <w:rPr>
          <w:b/>
          <w:bCs/>
        </w:rPr>
        <w:t xml:space="preserve">one</w:t>
      </w:r>
      <w:r>
        <w:t xml:space="preserve"> </w:t>
      </w:r>
      <w:r>
        <w:t xml:space="preserve">of the following conditions are met:</w:t>
      </w:r>
    </w:p>
    <w:p>
      <w:pPr>
        <w:pStyle w:val="Compact"/>
        <w:numPr>
          <w:ilvl w:val="0"/>
          <w:numId w:val="1029"/>
        </w:numPr>
      </w:pPr>
      <w:r>
        <w:t xml:space="preserve">The subscription period initially set by the data consumer has expired.</w:t>
      </w:r>
    </w:p>
    <w:p>
      <w:pPr>
        <w:pStyle w:val="Compact"/>
        <w:numPr>
          <w:ilvl w:val="0"/>
          <w:numId w:val="1029"/>
        </w:numPr>
      </w:pPr>
      <w:r>
        <w:t xml:space="preserve">The valid and authorised actor requests an end to the active subscription, using the Remove Subscription operation of the data provider.</w:t>
      </w:r>
    </w:p>
    <w:p>
      <w:pPr>
        <w:pStyle w:val="Compact"/>
        <w:numPr>
          <w:ilvl w:val="0"/>
          <w:numId w:val="1029"/>
        </w:numPr>
      </w:pPr>
      <w:r>
        <w:t xml:space="preserve">The data provider removes the information objects covered by the subscription.</w:t>
      </w:r>
    </w:p>
    <w:p>
      <w:pPr>
        <w:pStyle w:val="Compact"/>
        <w:numPr>
          <w:ilvl w:val="0"/>
          <w:numId w:val="1029"/>
        </w:numPr>
      </w:pPr>
      <w:r>
        <w:t xml:space="preserve">An expected incident/unexpected error forces the data provider to terminate the subscription.</w:t>
      </w:r>
    </w:p>
    <w:bookmarkStart w:id="154" w:name="X44dc000e6680f1b6a51373a720de64285719f5e"/>
    <w:p>
      <w:pPr>
        <w:pStyle w:val="CaptionedFigure"/>
      </w:pPr>
      <w:r>
        <w:drawing>
          <wp:inline>
            <wp:extent cx="6477000" cy="4494244"/>
            <wp:effectExtent b="0" l="0" r="0" t="0"/>
            <wp:docPr descr="Subscription requested by external service." title="" id="152" name="Picture"/>
            <a:graphic>
              <a:graphicData uri="http://schemas.openxmlformats.org/drawingml/2006/picture">
                <pic:pic>
                  <pic:nvPicPr>
                    <pic:cNvPr descr="source/guideline/./dynamic_behaviour-3.png" id="153" name="Picture"/>
                    <pic:cNvPicPr>
                      <a:picLocks noChangeArrowheads="1" noChangeAspect="1"/>
                    </pic:cNvPicPr>
                  </pic:nvPicPr>
                  <pic:blipFill>
                    <a:blip r:embed="rId151"/>
                    <a:stretch>
                      <a:fillRect/>
                    </a:stretch>
                  </pic:blipFill>
                  <pic:spPr bwMode="auto">
                    <a:xfrm>
                      <a:off x="0" y="0"/>
                      <a:ext cx="6477000" cy="4494244"/>
                    </a:xfrm>
                    <a:prstGeom prst="rect">
                      <a:avLst/>
                    </a:prstGeom>
                    <a:noFill/>
                    <a:ln w="9525">
                      <a:noFill/>
                      <a:headEnd/>
                      <a:tailEnd/>
                    </a:ln>
                  </pic:spPr>
                </pic:pic>
              </a:graphicData>
            </a:graphic>
          </wp:inline>
        </w:drawing>
      </w:r>
    </w:p>
    <w:p>
      <w:pPr>
        <w:pStyle w:val="ImageCaption"/>
      </w:pPr>
      <w:r>
        <w:t xml:space="preserve">Subscription requested by external service.</w:t>
      </w:r>
    </w:p>
    <w:bookmarkEnd w:id="154"/>
    <w:p>
      <w:pPr>
        <w:pStyle w:val="BodyText"/>
      </w:pPr>
      <w:r>
        <w:t xml:space="preserve">In the sequence diagram presented in Figure 4, the established subscription is terminated though a service consumer request. This should include the identifier reference of the subscription to be terminated. If no subscription identifier is provided, the service server must not terminate any of the active subscriptions of the data consumer performing the request. Once the data consumer’s request has been received, processed, and accepted by the data server, another notification will be sent back to the service consumer’s Subscription Notification operation, to inform them of the successful termination of the subscription.</w:t>
      </w:r>
    </w:p>
    <w:p>
      <w:pPr>
        <w:pStyle w:val="BodyText"/>
      </w:pPr>
      <w:r>
        <w:t xml:space="preserve">Note that the full contents of the S-125 datasets covered by a subscription, are not send back to the service consumer, unless a new dataset is created within the active period of an existing subscription that covers it. In all other cases, only the S-125 dataset changes will be transferred, in order to conserve bandwidth. Therefore, the service consumer needs to utilise the Get (and Get Summary) operations, if the full contents of the S-125 datasets are required.</w:t>
      </w:r>
    </w:p>
    <w:p>
      <w:r>
        <w:br w:type="page"/>
      </w:r>
    </w:p>
    <w:bookmarkEnd w:id="155"/>
    <w:bookmarkEnd w:id="156"/>
    <w:bookmarkStart w:id="157" w:name="definitions"/>
    <w:p>
      <w:pPr>
        <w:pStyle w:val="Heading1"/>
      </w:pPr>
      <w:r>
        <w:t xml:space="preserve">Definitions</w:t>
      </w:r>
    </w:p>
    <w:p>
      <w:pPr>
        <w:pStyle w:val="FirstParagraph"/>
      </w:pPr>
      <w:r>
        <w:t xml:space="preserve">The definitions of terms used in this IALA Guideline can be found in the International Dictionary of Marine Aids to Navigation (IALA Dictionary) and were checked as correct at the time of going to print. Where conflict arises, the IALA Dictionary shall be considered as the authoritative source of definitions used in IALA documents.</w:t>
      </w:r>
    </w:p>
    <w:p>
      <w:pPr>
        <w:pStyle w:val="TableCaption"/>
      </w:pPr>
      <w:r>
        <w:t xml:space="preserve">List of Definitions. {#tab:definitions}</w:t>
      </w:r>
    </w:p>
    <w:tbl>
      <w:tblPr>
        <w:tblStyle w:val="Table"/>
        <w:tblW w:type="pct" w:w="5000"/>
        <w:tblLayout w:type="fixed"/>
        <w:tblLook w:firstRow="1" w:lastRow="0" w:firstColumn="0" w:lastColumn="0" w:noHBand="0" w:noVBand="0" w:val="0020"/>
        <w:tblCaption w:val="List of Definitions. {#tab:definitions}"/>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External Data Model</w:t>
            </w:r>
          </w:p>
        </w:tc>
        <w:tc>
          <w:tcPr/>
          <w:p>
            <w:pPr>
              <w:pStyle w:val="Compact"/>
            </w:pPr>
            <w:r>
              <w:t xml:space="preserve">Describes the semantics of the ‘maritime world’ (or a significant part thereof) by defining data structures and their relations. This could be at logical level (e.g. in UML) or at physical level (e.g. in XSD schema definitions), as for example standard data models, or S-100 based data produce specifications.</w:t>
            </w:r>
          </w:p>
        </w:tc>
      </w:tr>
      <w:tr>
        <w:tc>
          <w:tcPr/>
          <w:p>
            <w:pPr>
              <w:pStyle w:val="Compact"/>
            </w:pPr>
            <w:r>
              <w:t xml:space="preserve">Message Exchange Pattern</w:t>
            </w:r>
          </w:p>
        </w:tc>
        <w:tc>
          <w:tcPr/>
          <w:p>
            <w:pPr>
              <w:pStyle w:val="BodyText"/>
            </w:pPr>
            <w:r>
              <w:t xml:space="preserve">Describes the principles two different parts of a message passing system (in our case: the service provider and the service consumer) use to interact and communicate with each other. Examples:</w:t>
            </w:r>
          </w:p>
          <w:p>
            <w:pPr>
              <w:pStyle w:val="BodyText"/>
            </w:pPr>
            <w:r>
              <w:t xml:space="preserve">In the Request/Response MEP, the service consumer sends a request to the service provider to obtain certain information; the service provider provides the requested information in a dedicated response.</w:t>
            </w:r>
          </w:p>
          <w:p>
            <w:pPr>
              <w:pStyle w:val="BodyText"/>
            </w:pPr>
            <w:r>
              <w:t xml:space="preserve">In the Publish/Subscribe MEP, the service consumer establishes a subscription with the service provider to obtain certain information; the service provider publishes information (either in regular intervals or upon change) to all subscribed service consumers.</w:t>
            </w:r>
          </w:p>
        </w:tc>
      </w:tr>
    </w:tbl>
    <w:p>
      <w:r>
        <w:br w:type="page"/>
      </w:r>
    </w:p>
    <w:bookmarkEnd w:id="157"/>
    <w:bookmarkStart w:id="158" w:name="acronyms"/>
    <w:p>
      <w:pPr>
        <w:pStyle w:val="Heading1"/>
      </w:pPr>
      <w:r>
        <w:t xml:space="preserve">Acronyms</w:t>
      </w:r>
    </w:p>
    <w:p>
      <w:pPr>
        <w:pStyle w:val="TableCaption"/>
      </w:pPr>
      <w:r>
        <w:t xml:space="preserve">List of Acronyms. {#tab:acronyms}</w:t>
      </w:r>
    </w:p>
    <w:tbl>
      <w:tblPr>
        <w:tblStyle w:val="Table"/>
        <w:tblW w:type="auto" w:w="0"/>
        <w:tblLook w:firstRow="1" w:lastRow="0" w:firstColumn="0" w:lastColumn="0" w:noHBand="0" w:noVBand="0" w:val="0020"/>
        <w:tblCaption w:val="List of Acronyms. {#tab:acronyms}"/>
      </w:tblPr>
      <w:tblGrid>
        <w:gridCol w:w="3960"/>
        <w:gridCol w:w="3960"/>
      </w:tblGrid>
      <w:tr>
        <w:trPr>
          <w:tblHeader w:val="on"/>
        </w:trPr>
        <w:tc>
          <w:tcPr/>
          <w:p>
            <w:pPr>
              <w:pStyle w:val="Compact"/>
            </w:pPr>
            <w:r>
              <w:t xml:space="preserve">Acronum</w:t>
            </w:r>
          </w:p>
        </w:tc>
        <w:tc>
          <w:tcPr/>
          <w:p>
            <w:pPr>
              <w:pStyle w:val="Compact"/>
            </w:pPr>
            <w:r>
              <w:t xml:space="preserve">Definition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ECDIS</w:t>
            </w:r>
          </w:p>
        </w:tc>
        <w:tc>
          <w:tcPr/>
          <w:p>
            <w:pPr>
              <w:pStyle w:val="Compact"/>
            </w:pPr>
            <w:r>
              <w:t xml:space="preserve">Electronic Chart Display and Information System</w:t>
            </w:r>
          </w:p>
        </w:tc>
      </w:tr>
      <w:tr>
        <w:tc>
          <w:tcPr/>
          <w:p>
            <w:pPr>
              <w:pStyle w:val="Compact"/>
            </w:pPr>
            <w:r>
              <w:t xml:space="preserve">ECS</w:t>
            </w:r>
          </w:p>
        </w:tc>
        <w:tc>
          <w:tcPr/>
          <w:p>
            <w:pPr>
              <w:pStyle w:val="Compact"/>
            </w:pPr>
            <w:r>
              <w:t xml:space="preserve">Electronic Chart System</w:t>
            </w:r>
          </w:p>
        </w:tc>
      </w:tr>
      <w:tr>
        <w:tc>
          <w:tcPr/>
          <w:p>
            <w:pPr>
              <w:pStyle w:val="Compact"/>
            </w:pPr>
            <w:r>
              <w:t xml:space="preserve">HO</w:t>
            </w:r>
          </w:p>
        </w:tc>
        <w:tc>
          <w:tcPr/>
          <w:p>
            <w:pPr>
              <w:pStyle w:val="Compact"/>
            </w:pPr>
            <w:r>
              <w:t xml:space="preserve">Hydrographic Office</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IMO</w:t>
            </w:r>
          </w:p>
        </w:tc>
        <w:tc>
          <w:tcPr/>
          <w:p>
            <w:pPr>
              <w:pStyle w:val="Compact"/>
            </w:pPr>
            <w:r>
              <w:t xml:space="preserve">International Maritime Organization</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MIR</w:t>
            </w:r>
          </w:p>
        </w:tc>
        <w:tc>
          <w:tcPr/>
          <w:p>
            <w:pPr>
              <w:pStyle w:val="Compact"/>
            </w:pPr>
            <w:r>
              <w:t xml:space="preserve">Maritime Identity Registry</w:t>
            </w:r>
          </w:p>
        </w:tc>
      </w:tr>
      <w:tr>
        <w:tc>
          <w:tcPr/>
          <w:p>
            <w:pPr>
              <w:pStyle w:val="Compact"/>
            </w:pPr>
            <w:r>
              <w:t xml:space="preserve">MRN</w:t>
            </w:r>
          </w:p>
        </w:tc>
        <w:tc>
          <w:tcPr/>
          <w:p>
            <w:pPr>
              <w:pStyle w:val="Compact"/>
            </w:pPr>
            <w:r>
              <w:t xml:space="preserve">Maritime Resource Name</w:t>
            </w:r>
          </w:p>
        </w:tc>
      </w:tr>
      <w:tr>
        <w:tc>
          <w:tcPr/>
          <w:p>
            <w:pPr>
              <w:pStyle w:val="Compact"/>
            </w:pPr>
            <w:r>
              <w:t xml:space="preserve">MS</w:t>
            </w:r>
          </w:p>
        </w:tc>
        <w:tc>
          <w:tcPr/>
          <w:p>
            <w:pPr>
              <w:pStyle w:val="Compact"/>
            </w:pPr>
            <w:r>
              <w:t xml:space="preserve">Maritime Service</w:t>
            </w:r>
          </w:p>
        </w:tc>
      </w:tr>
      <w:tr>
        <w:tc>
          <w:tcPr/>
          <w:p>
            <w:pPr>
              <w:pStyle w:val="Compact"/>
            </w:pPr>
            <w:r>
              <w:t xml:space="preserve">MSI</w:t>
            </w:r>
          </w:p>
        </w:tc>
        <w:tc>
          <w:tcPr/>
          <w:p>
            <w:pPr>
              <w:pStyle w:val="Compact"/>
            </w:pPr>
            <w:r>
              <w:t xml:space="preserve">Maritime Safety Information</w:t>
            </w:r>
          </w:p>
        </w:tc>
      </w:tr>
      <w:tr>
        <w:tc>
          <w:tcPr/>
          <w:p>
            <w:pPr>
              <w:pStyle w:val="Compact"/>
            </w:pPr>
            <w:r>
              <w:t xml:space="preserve">MSR</w:t>
            </w:r>
          </w:p>
        </w:tc>
        <w:tc>
          <w:tcPr/>
          <w:p>
            <w:pPr>
              <w:pStyle w:val="Compact"/>
            </w:pPr>
            <w:r>
              <w:t xml:space="preserve">Maritime Service Registry</w:t>
            </w:r>
          </w:p>
        </w:tc>
      </w:tr>
      <w:tr>
        <w:tc>
          <w:tcPr/>
          <w:p>
            <w:pPr>
              <w:pStyle w:val="Compact"/>
            </w:pPr>
            <w:r>
              <w:t xml:space="preserve">RENC</w:t>
            </w:r>
          </w:p>
        </w:tc>
        <w:tc>
          <w:tcPr/>
          <w:p>
            <w:pPr>
              <w:pStyle w:val="Compact"/>
            </w:pPr>
            <w:r>
              <w:t xml:space="preserve">Regional ENC Coordination Centre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XML</w:t>
            </w:r>
          </w:p>
        </w:tc>
        <w:tc>
          <w:tcPr/>
          <w:p>
            <w:pPr>
              <w:pStyle w:val="Compact"/>
            </w:pPr>
            <w:r>
              <w:t xml:space="preserve">Extensible Markup Language</w:t>
            </w:r>
          </w:p>
        </w:tc>
      </w:tr>
    </w:tbl>
    <w:bookmarkEnd w:id="158"/>
    <w:bookmarkStart w:id="170" w:name="references"/>
    <w:p>
      <w:pPr>
        <w:pStyle w:val="Heading1"/>
      </w:pPr>
      <w:r>
        <w:t xml:space="preserve">References</w:t>
      </w:r>
    </w:p>
    <w:bookmarkStart w:id="169" w:name="refs"/>
    <w:bookmarkStart w:id="159" w:name="ref-cite:iala-aton_info_service_spec"/>
    <w:p>
      <w:pPr>
        <w:pStyle w:val="Bibliography"/>
      </w:pPr>
      <w:r>
        <w:t xml:space="preserve">[1]</w:t>
      </w:r>
      <w:r>
        <w:t xml:space="preserve"> </w:t>
      </w:r>
      <w:r>
        <w:t xml:space="preserve">	</w:t>
      </w:r>
      <w:r>
        <w:t xml:space="preserve">International Organization for Marine Aids to Navigation (IALA),</w:t>
      </w:r>
      <w:r>
        <w:t xml:space="preserve"> </w:t>
      </w:r>
      <w:r>
        <w:t xml:space="preserve">“IALA marine aids to navigation (AtoN) service specification - provision of AtoN information to end-users,”</w:t>
      </w:r>
      <w:r>
        <w:t xml:space="preserve"> </w:t>
      </w:r>
      <w:r>
        <w:t xml:space="preserve">IALA G1128 Service Specification ssXXXX.</w:t>
      </w:r>
    </w:p>
    <w:bookmarkEnd w:id="159"/>
    <w:bookmarkStart w:id="161" w:name="ref-cite:iec-63173-2"/>
    <w:p>
      <w:pPr>
        <w:pStyle w:val="Bibliography"/>
      </w:pPr>
      <w:r>
        <w:t xml:space="preserve">[2]</w:t>
      </w:r>
      <w:r>
        <w:t xml:space="preserve"> </w:t>
      </w:r>
      <w:r>
        <w:t xml:space="preserve">	</w:t>
      </w:r>
      <w:r>
        <w:t xml:space="preserve">International Electrotechnical Commission (IEC),</w:t>
      </w:r>
      <w:r>
        <w:t xml:space="preserve"> </w:t>
      </w:r>
      <w:r>
        <w:t xml:space="preserve">“Maritime navigation and radiocommunication equipment and systems - data interfaces - part 2: Secure communication between ship and shore (SECOM),”</w:t>
      </w:r>
      <w:r>
        <w:t xml:space="preserve"> </w:t>
      </w:r>
      <w:r>
        <w:t xml:space="preserve">Guideline 63173-2. Available:</w:t>
      </w:r>
      <w:r>
        <w:t xml:space="preserve"> </w:t>
      </w:r>
      <w:hyperlink r:id="rId160">
        <w:r>
          <w:rPr>
            <w:rStyle w:val="Hyperlink"/>
          </w:rPr>
          <w:t xml:space="preserve">https://webstore.iec.ch/en/publication/64543</w:t>
        </w:r>
      </w:hyperlink>
    </w:p>
    <w:bookmarkEnd w:id="161"/>
    <w:bookmarkStart w:id="162" w:name="ref-cite:imo-msc-1-circ1610-rev1-2024"/>
    <w:p>
      <w:pPr>
        <w:pStyle w:val="Bibliography"/>
      </w:pPr>
      <w:r>
        <w:t xml:space="preserve">[3]</w:t>
      </w:r>
      <w:r>
        <w:t xml:space="preserve"> </w:t>
      </w:r>
      <w:r>
        <w:t xml:space="preserve">	</w:t>
      </w:r>
      <w:r>
        <w:t xml:space="preserve">International Maritime Organization (IMO),</w:t>
      </w:r>
      <w:r>
        <w:t xml:space="preserve"> </w:t>
      </w:r>
      <w:r>
        <w:t xml:space="preserve">“Descriptions of maritime services in the context of e-navigation,”</w:t>
      </w:r>
      <w:r>
        <w:t xml:space="preserve"> </w:t>
      </w:r>
      <w:r>
        <w:t xml:space="preserve">Circular</w:t>
      </w:r>
      <w:r>
        <w:t xml:space="preserve"> </w:t>
      </w:r>
      <w:r>
        <w:t xml:space="preserve">IMO</w:t>
      </w:r>
      <w:r>
        <w:t xml:space="preserve">-MSC.1/Circ.1610/Rev.1, 2024.</w:t>
      </w:r>
    </w:p>
    <w:bookmarkEnd w:id="162"/>
    <w:bookmarkStart w:id="163" w:name="ref-cite:iala-g1128"/>
    <w:p>
      <w:pPr>
        <w:pStyle w:val="Bibliography"/>
      </w:pPr>
      <w:r>
        <w:t xml:space="preserve">[4]</w:t>
      </w:r>
      <w:r>
        <w:t xml:space="preserve"> </w:t>
      </w:r>
      <w:r>
        <w:t xml:space="preserve">	</w:t>
      </w:r>
      <w:r>
        <w:t xml:space="preserve">International Organization for Marine Aids to Navigation (IALA),</w:t>
      </w:r>
      <w:r>
        <w:t xml:space="preserve"> </w:t>
      </w:r>
      <w:r>
        <w:t xml:space="preserve">“G1128 - the specification of e-navigation technical services,”</w:t>
      </w:r>
      <w:r>
        <w:t xml:space="preserve"> </w:t>
      </w:r>
      <w:r>
        <w:t xml:space="preserve">Guideline 1128.</w:t>
      </w:r>
    </w:p>
    <w:bookmarkEnd w:id="163"/>
    <w:bookmarkStart w:id="164" w:name="ref-cite:iala-g1128-annex-d"/>
    <w:p>
      <w:pPr>
        <w:pStyle w:val="Bibliography"/>
      </w:pPr>
      <w:r>
        <w:t xml:space="preserve">[5]</w:t>
      </w:r>
      <w:r>
        <w:t xml:space="preserve"> </w:t>
      </w:r>
      <w:r>
        <w:t xml:space="preserve">	</w:t>
      </w:r>
      <w:r>
        <w:t xml:space="preserve">International Organization for Marine Aids to Navigation (IALA),</w:t>
      </w:r>
      <w:r>
        <w:t xml:space="preserve"> </w:t>
      </w:r>
      <w:r>
        <w:t xml:space="preserve">“G1128 - annex d - service design template for SECOM service,”</w:t>
      </w:r>
      <w:r>
        <w:t xml:space="preserve"> </w:t>
      </w:r>
      <w:r>
        <w:t xml:space="preserve">Guideline 1128-D.</w:t>
      </w:r>
    </w:p>
    <w:bookmarkEnd w:id="164"/>
    <w:bookmarkStart w:id="165" w:name="ref-cite:iala-g1143"/>
    <w:p>
      <w:pPr>
        <w:pStyle w:val="Bibliography"/>
      </w:pPr>
      <w:r>
        <w:t xml:space="preserve">[6]</w:t>
      </w:r>
      <w:r>
        <w:t xml:space="preserve"> </w:t>
      </w:r>
      <w:r>
        <w:t xml:space="preserve">	</w:t>
      </w:r>
      <w:r>
        <w:t xml:space="preserve">International Organization for Marine Aids to Navigation (IALA),</w:t>
      </w:r>
      <w:r>
        <w:t xml:space="preserve"> </w:t>
      </w:r>
      <w:r>
        <w:t xml:space="preserve">“G1143 - unique identifiers for maritime resources,”</w:t>
      </w:r>
      <w:r>
        <w:t xml:space="preserve"> </w:t>
      </w:r>
      <w:r>
        <w:t xml:space="preserve">Guideline 1143.</w:t>
      </w:r>
    </w:p>
    <w:bookmarkEnd w:id="165"/>
    <w:bookmarkStart w:id="166" w:name="ref-cite:iala-g1191"/>
    <w:p>
      <w:pPr>
        <w:pStyle w:val="Bibliography"/>
      </w:pPr>
      <w:r>
        <w:t xml:space="preserve">[7]</w:t>
      </w:r>
      <w:r>
        <w:t xml:space="preserve"> </w:t>
      </w:r>
      <w:r>
        <w:t xml:space="preserve">	</w:t>
      </w:r>
      <w:r>
        <w:t xml:space="preserve">International Organization for Marine Aids to Navigation (IALA),</w:t>
      </w:r>
      <w:r>
        <w:t xml:space="preserve"> </w:t>
      </w:r>
      <w:r>
        <w:t xml:space="preserve">“G1191 - maritime service registry (MSR) technical specification,”</w:t>
      </w:r>
      <w:r>
        <w:t xml:space="preserve"> </w:t>
      </w:r>
      <w:r>
        <w:t xml:space="preserve">Guideline 1191.</w:t>
      </w:r>
    </w:p>
    <w:bookmarkEnd w:id="166"/>
    <w:bookmarkStart w:id="168" w:name="ref-cite:iho-s100"/>
    <w:p>
      <w:pPr>
        <w:pStyle w:val="Bibliography"/>
      </w:pPr>
      <w:r>
        <w:t xml:space="preserve">[8]</w:t>
      </w:r>
      <w:r>
        <w:t xml:space="preserve"> </w:t>
      </w:r>
      <w:r>
        <w:t xml:space="preserve">	</w:t>
      </w:r>
      <w:r>
        <w:t xml:space="preserve">International Hydrographic Organization (IHO),</w:t>
      </w:r>
      <w:r>
        <w:t xml:space="preserve"> </w:t>
      </w:r>
      <w:r>
        <w:t xml:space="preserve">“S-100 – universal hydrographic data model,”</w:t>
      </w:r>
      <w:r>
        <w:t xml:space="preserve"> </w:t>
      </w:r>
      <w:r>
        <w:t xml:space="preserve">Standard 5.2.0. Available:</w:t>
      </w:r>
      <w:r>
        <w:t xml:space="preserve"> </w:t>
      </w:r>
      <w:hyperlink r:id="rId167">
        <w:r>
          <w:rPr>
            <w:rStyle w:val="Hyperlink"/>
          </w:rPr>
          <w:t xml:space="preserve">https://iho.int/uploads/user/pubs/standards/s-100/S-100_5.2.0_Final_Clean.pdf</w:t>
        </w:r>
      </w:hyperlink>
    </w:p>
    <w:bookmarkEnd w:id="168"/>
    <w:bookmarkEnd w:id="169"/>
    <w:p>
      <w:r>
        <w:br w:type="page"/>
      </w:r>
    </w:p>
    <w:bookmarkEnd w:id="170"/>
    <w:bookmarkStart w:id="171" w:name="sec:openapi"/>
    <w:p>
      <w:pPr>
        <w:pStyle w:val="Heading1"/>
      </w:pPr>
      <w:r>
        <w:t xml:space="preserve">Annex A. OpenAPI Template</w:t>
      </w:r>
    </w:p>
    <w:p>
      <w:pPr>
        <w:pStyle w:val="SourceCode"/>
      </w:pPr>
      <w:r>
        <w:rPr>
          <w:rStyle w:val="FunctionTok"/>
        </w:rPr>
        <w:t xml:space="preserve">{</w:t>
      </w:r>
      <w:r>
        <w:br/>
      </w:r>
      <w:r>
        <w:rPr>
          <w:rStyle w:val="NormalTok"/>
        </w:rPr>
        <w:t xml:space="preserve">  </w:t>
      </w:r>
      <w:r>
        <w:rPr>
          <w:rStyle w:val="DataTypeTok"/>
        </w:rPr>
        <w:t xml:space="preserve">"openapi"</w:t>
      </w:r>
      <w:r>
        <w:rPr>
          <w:rStyle w:val="FunctionTok"/>
        </w:rPr>
        <w:t xml:space="preserve">:</w:t>
      </w:r>
      <w:r>
        <w:rPr>
          <w:rStyle w:val="NormalTok"/>
        </w:rPr>
        <w:t xml:space="preserve"> </w:t>
      </w:r>
      <w:r>
        <w:rPr>
          <w:rStyle w:val="StringTok"/>
        </w:rPr>
        <w:t xml:space="preserve">"3.0.1"</w:t>
      </w: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"AtoN Service - SECOM v1.0 Interfaces"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SECOM interfaces of the AtoN Service"</w:t>
      </w:r>
      <w:r>
        <w:rPr>
          <w:rStyle w:val="FunctionTok"/>
        </w:rPr>
        <w:t xml:space="preserve">,</w:t>
      </w:r>
      <w:r>
        <w:br/>
      </w:r>
      <w:r>
        <w:rPr>
          <w:rStyle w:val="NormalTok"/>
        </w:rPr>
        <w:t xml:space="preserve">    </w:t>
      </w:r>
      <w:r>
        <w:rPr>
          <w:rStyle w:val="DataTypeTok"/>
        </w:rPr>
        <w:t xml:space="preserve">"termsOfService"</w:t>
      </w:r>
      <w:r>
        <w:rPr>
          <w:rStyle w:val="FunctionTok"/>
        </w:rPr>
        <w:t xml:space="preserve">:</w:t>
      </w:r>
      <w:r>
        <w:rPr>
          <w:rStyle w:val="NormalTok"/>
        </w:rPr>
        <w:t xml:space="preserve"> </w:t>
      </w:r>
      <w:r>
        <w:rPr>
          <w:rStyle w:val="StringTok"/>
        </w:rPr>
        <w:t xml:space="preserve">"https://gla-rad.org/"</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"Nikolaos.Vastardis@gla-rad.org"</w:t>
      </w:r>
      <w:r>
        <w:br/>
      </w:r>
      <w:r>
        <w:rPr>
          <w:rStyle w:val="NormalTok"/>
        </w:rPr>
        <w:t xml:space="preserve">    </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"Apache 2.0"</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"http://www.apache.org/licenses/LICENSE-2.0.html"</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"v0.0.1"</w:t>
      </w:r>
      <w:r>
        <w:br/>
      </w:r>
      <w:r>
        <w:rPr>
          <w:rStyle w:val="NormalTok"/>
        </w:rPr>
        <w:t xml:space="preserve">  </w:t>
      </w:r>
      <w:r>
        <w:rPr>
          <w:rStyle w:val="FunctionTok"/>
        </w:rPr>
        <w:t xml:space="preserve">},</w:t>
      </w:r>
      <w:r>
        <w:br/>
      </w:r>
      <w:r>
        <w:rPr>
          <w:rStyle w:val="NormalTok"/>
        </w:rPr>
        <w:t xml:space="preserve">  </w:t>
      </w:r>
      <w:r>
        <w:rPr>
          <w:rStyle w:val="DataTypeTok"/>
        </w:rPr>
        <w:t xml:space="preserve">"externalDocs"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"SpringShop Wiki Documentation"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"https://springshop.wiki.github.org/docs"</w:t>
      </w:r>
      <w:r>
        <w:br/>
      </w:r>
      <w:r>
        <w:rPr>
          <w:rStyle w:val="NormalTok"/>
        </w:rPr>
        <w:t xml:space="preserve">  </w:t>
      </w: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"/api/secom"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"/v1/acknowledgement"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"acknowledgment"</w:t>
      </w:r>
      <w:r>
        <w:rPr>
          <w:rStyle w:val="FunctionTok"/>
        </w:rPr>
        <w:t xml:space="preserve">,</w:t>
      </w:r>
      <w:r>
        <w:br/>
      </w:r>
      <w:r>
        <w:rPr>
          <w:rStyle w:val="NormalTok"/>
        </w:rPr>
        <w:t xml:space="preserve">        </w:t>
      </w:r>
      <w:r>
        <w:rPr>
          <w:rStyle w:val="DataTypeTok"/>
        </w:rPr>
        <w:t xml:space="preserve">"requestBody"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"#/components/schemas/AcknowledgementObject"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"#/components/schemas/AcknowledgementResponseObject"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"/v1/capability"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"capability"</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"#/components/schemas/CapabilityResponseObject"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"/v1/object"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"dataReference"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"containerType"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w:t>
      </w:r>
      <w:r>
        <w:rPr>
          <w:rStyle w:val="OtherTok"/>
        </w:rPr>
        <w:t xml:space="preserve">,</w:t>
      </w:r>
      <w:r>
        <w:br/>
      </w:r>
      <w:r>
        <w:rPr>
          <w:rStyle w:val="NormalTok"/>
        </w:rPr>
        <w:t xml:space="preserve">                </w:t>
      </w:r>
      <w:r>
        <w:rPr>
          <w:rStyle w:val="StringTok"/>
        </w:rPr>
        <w:t xml:space="preserve">"1"</w:t>
      </w:r>
      <w:r>
        <w:rPr>
          <w:rStyle w:val="OtherTok"/>
        </w:rPr>
        <w:t xml:space="preserve">,</w:t>
      </w:r>
      <w:r>
        <w:br/>
      </w:r>
      <w:r>
        <w:rPr>
          <w:rStyle w:val="NormalTok"/>
        </w:rPr>
        <w:t xml:space="preserve">                </w:t>
      </w:r>
      <w:r>
        <w:rPr>
          <w:rStyle w:val="StringTok"/>
        </w:rPr>
        <w:t xml:space="preserve">"2"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"dataProductType"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"OTHER"</w:t>
      </w:r>
      <w:r>
        <w:rPr>
          <w:rStyle w:val="OtherTok"/>
        </w:rPr>
        <w:t xml:space="preserve">,</w:t>
      </w:r>
      <w:r>
        <w:br/>
      </w:r>
      <w:r>
        <w:rPr>
          <w:rStyle w:val="NormalTok"/>
        </w:rPr>
        <w:t xml:space="preserve">                </w:t>
      </w:r>
      <w:r>
        <w:rPr>
          <w:rStyle w:val="StringTok"/>
        </w:rPr>
        <w:t xml:space="preserve">"S57"</w:t>
      </w:r>
      <w:r>
        <w:rPr>
          <w:rStyle w:val="OtherTok"/>
        </w:rPr>
        <w:t xml:space="preserve">,</w:t>
      </w:r>
      <w:r>
        <w:br/>
      </w:r>
      <w:r>
        <w:rPr>
          <w:rStyle w:val="NormalTok"/>
        </w:rPr>
        <w:t xml:space="preserve">                </w:t>
      </w:r>
      <w:r>
        <w:rPr>
          <w:rStyle w:val="StringTok"/>
        </w:rPr>
        <w:t xml:space="preserve">"S101"</w:t>
      </w:r>
      <w:r>
        <w:rPr>
          <w:rStyle w:val="OtherTok"/>
        </w:rPr>
        <w:t xml:space="preserve">,</w:t>
      </w:r>
      <w:r>
        <w:br/>
      </w:r>
      <w:r>
        <w:rPr>
          <w:rStyle w:val="NormalTok"/>
        </w:rPr>
        <w:t xml:space="preserve">                </w:t>
      </w:r>
      <w:r>
        <w:rPr>
          <w:rStyle w:val="StringTok"/>
        </w:rPr>
        <w:t xml:space="preserve">"S102"</w:t>
      </w:r>
      <w:r>
        <w:rPr>
          <w:rStyle w:val="OtherTok"/>
        </w:rPr>
        <w:t xml:space="preserve">,</w:t>
      </w:r>
      <w:r>
        <w:br/>
      </w:r>
      <w:r>
        <w:rPr>
          <w:rStyle w:val="NormalTok"/>
        </w:rPr>
        <w:t xml:space="preserve">                </w:t>
      </w:r>
      <w:r>
        <w:rPr>
          <w:rStyle w:val="StringTok"/>
        </w:rPr>
        <w:t xml:space="preserve">"S104"</w:t>
      </w:r>
      <w:r>
        <w:rPr>
          <w:rStyle w:val="OtherTok"/>
        </w:rPr>
        <w:t xml:space="preserve">,</w:t>
      </w:r>
      <w:r>
        <w:br/>
      </w:r>
      <w:r>
        <w:rPr>
          <w:rStyle w:val="NormalTok"/>
        </w:rPr>
        <w:t xml:space="preserve">                </w:t>
      </w:r>
      <w:r>
        <w:rPr>
          <w:rStyle w:val="StringTok"/>
        </w:rPr>
        <w:t xml:space="preserve">"S111"</w:t>
      </w:r>
      <w:r>
        <w:rPr>
          <w:rStyle w:val="OtherTok"/>
        </w:rPr>
        <w:t xml:space="preserve">,</w:t>
      </w:r>
      <w:r>
        <w:br/>
      </w:r>
      <w:r>
        <w:rPr>
          <w:rStyle w:val="NormalTok"/>
        </w:rPr>
        <w:t xml:space="preserve">                </w:t>
      </w:r>
      <w:r>
        <w:rPr>
          <w:rStyle w:val="StringTok"/>
        </w:rPr>
        <w:t xml:space="preserve">"S122"</w:t>
      </w:r>
      <w:r>
        <w:rPr>
          <w:rStyle w:val="OtherTok"/>
        </w:rPr>
        <w:t xml:space="preserve">,</w:t>
      </w:r>
      <w:r>
        <w:br/>
      </w:r>
      <w:r>
        <w:rPr>
          <w:rStyle w:val="NormalTok"/>
        </w:rPr>
        <w:t xml:space="preserve">                </w:t>
      </w:r>
      <w:r>
        <w:rPr>
          <w:rStyle w:val="StringTok"/>
        </w:rPr>
        <w:t xml:space="preserve">"S123"</w:t>
      </w:r>
      <w:r>
        <w:rPr>
          <w:rStyle w:val="OtherTok"/>
        </w:rPr>
        <w:t xml:space="preserve">,</w:t>
      </w:r>
      <w:r>
        <w:br/>
      </w:r>
      <w:r>
        <w:rPr>
          <w:rStyle w:val="NormalTok"/>
        </w:rPr>
        <w:t xml:space="preserve">                </w:t>
      </w:r>
      <w:r>
        <w:rPr>
          <w:rStyle w:val="StringTok"/>
        </w:rPr>
        <w:t xml:space="preserve">"S124"</w:t>
      </w:r>
      <w:r>
        <w:rPr>
          <w:rStyle w:val="OtherTok"/>
        </w:rPr>
        <w:t xml:space="preserve">,</w:t>
      </w:r>
      <w:r>
        <w:br/>
      </w:r>
      <w:r>
        <w:rPr>
          <w:rStyle w:val="NormalTok"/>
        </w:rPr>
        <w:t xml:space="preserve">                </w:t>
      </w:r>
      <w:r>
        <w:rPr>
          <w:rStyle w:val="StringTok"/>
        </w:rPr>
        <w:t xml:space="preserve">"S125"</w:t>
      </w:r>
      <w:r>
        <w:rPr>
          <w:rStyle w:val="OtherTok"/>
        </w:rPr>
        <w:t xml:space="preserve">,</w:t>
      </w:r>
      <w:r>
        <w:br/>
      </w:r>
      <w:r>
        <w:rPr>
          <w:rStyle w:val="NormalTok"/>
        </w:rPr>
        <w:t xml:space="preserve">                </w:t>
      </w:r>
      <w:r>
        <w:rPr>
          <w:rStyle w:val="StringTok"/>
        </w:rPr>
        <w:t xml:space="preserve">"S126"</w:t>
      </w:r>
      <w:r>
        <w:rPr>
          <w:rStyle w:val="OtherTok"/>
        </w:rPr>
        <w:t xml:space="preserve">,</w:t>
      </w:r>
      <w:r>
        <w:br/>
      </w:r>
      <w:r>
        <w:rPr>
          <w:rStyle w:val="NormalTok"/>
        </w:rPr>
        <w:t xml:space="preserve">                </w:t>
      </w:r>
      <w:r>
        <w:rPr>
          <w:rStyle w:val="StringTok"/>
        </w:rPr>
        <w:t xml:space="preserve">"S127"</w:t>
      </w:r>
      <w:r>
        <w:rPr>
          <w:rStyle w:val="OtherTok"/>
        </w:rPr>
        <w:t xml:space="preserve">,</w:t>
      </w:r>
      <w:r>
        <w:br/>
      </w:r>
      <w:r>
        <w:rPr>
          <w:rStyle w:val="NormalTok"/>
        </w:rPr>
        <w:t xml:space="preserve">                </w:t>
      </w:r>
      <w:r>
        <w:rPr>
          <w:rStyle w:val="StringTok"/>
        </w:rPr>
        <w:t xml:space="preserve">"S128"</w:t>
      </w:r>
      <w:r>
        <w:rPr>
          <w:rStyle w:val="OtherTok"/>
        </w:rPr>
        <w:t xml:space="preserve">,</w:t>
      </w:r>
      <w:r>
        <w:br/>
      </w:r>
      <w:r>
        <w:rPr>
          <w:rStyle w:val="NormalTok"/>
        </w:rPr>
        <w:t xml:space="preserve">                </w:t>
      </w:r>
      <w:r>
        <w:rPr>
          <w:rStyle w:val="StringTok"/>
        </w:rPr>
        <w:t xml:space="preserve">"S129"</w:t>
      </w:r>
      <w:r>
        <w:rPr>
          <w:rStyle w:val="OtherTok"/>
        </w:rPr>
        <w:t xml:space="preserve">,</w:t>
      </w:r>
      <w:r>
        <w:br/>
      </w:r>
      <w:r>
        <w:rPr>
          <w:rStyle w:val="NormalTok"/>
        </w:rPr>
        <w:t xml:space="preserve">                </w:t>
      </w:r>
      <w:r>
        <w:rPr>
          <w:rStyle w:val="StringTok"/>
        </w:rPr>
        <w:t xml:space="preserve">"S131"</w:t>
      </w:r>
      <w:r>
        <w:rPr>
          <w:rStyle w:val="OtherTok"/>
        </w:rPr>
        <w:t xml:space="preserve">,</w:t>
      </w:r>
      <w:r>
        <w:br/>
      </w:r>
      <w:r>
        <w:rPr>
          <w:rStyle w:val="NormalTok"/>
        </w:rPr>
        <w:t xml:space="preserve">                </w:t>
      </w:r>
      <w:r>
        <w:rPr>
          <w:rStyle w:val="StringTok"/>
        </w:rPr>
        <w:t xml:space="preserve">"S201"</w:t>
      </w:r>
      <w:r>
        <w:rPr>
          <w:rStyle w:val="OtherTok"/>
        </w:rPr>
        <w:t xml:space="preserve">,</w:t>
      </w:r>
      <w:r>
        <w:br/>
      </w:r>
      <w:r>
        <w:rPr>
          <w:rStyle w:val="NormalTok"/>
        </w:rPr>
        <w:t xml:space="preserve">                </w:t>
      </w:r>
      <w:r>
        <w:rPr>
          <w:rStyle w:val="StringTok"/>
        </w:rPr>
        <w:t xml:space="preserve">"S210"</w:t>
      </w:r>
      <w:r>
        <w:rPr>
          <w:rStyle w:val="OtherTok"/>
        </w:rPr>
        <w:t xml:space="preserve">,</w:t>
      </w:r>
      <w:r>
        <w:br/>
      </w:r>
      <w:r>
        <w:rPr>
          <w:rStyle w:val="NormalTok"/>
        </w:rPr>
        <w:t xml:space="preserve">                </w:t>
      </w:r>
      <w:r>
        <w:rPr>
          <w:rStyle w:val="StringTok"/>
        </w:rPr>
        <w:t xml:space="preserve">"S211"</w:t>
      </w:r>
      <w:r>
        <w:rPr>
          <w:rStyle w:val="OtherTok"/>
        </w:rPr>
        <w:t xml:space="preserve">,</w:t>
      </w:r>
      <w:r>
        <w:br/>
      </w:r>
      <w:r>
        <w:rPr>
          <w:rStyle w:val="NormalTok"/>
        </w:rPr>
        <w:t xml:space="preserve">                </w:t>
      </w:r>
      <w:r>
        <w:rPr>
          <w:rStyle w:val="StringTok"/>
        </w:rPr>
        <w:t xml:space="preserve">"S212"</w:t>
      </w:r>
      <w:r>
        <w:rPr>
          <w:rStyle w:val="OtherTok"/>
        </w:rPr>
        <w:t xml:space="preserve">,</w:t>
      </w:r>
      <w:r>
        <w:br/>
      </w:r>
      <w:r>
        <w:rPr>
          <w:rStyle w:val="NormalTok"/>
        </w:rPr>
        <w:t xml:space="preserve">                </w:t>
      </w:r>
      <w:r>
        <w:rPr>
          <w:rStyle w:val="StringTok"/>
        </w:rPr>
        <w:t xml:space="preserve">"S401"</w:t>
      </w:r>
      <w:r>
        <w:rPr>
          <w:rStyle w:val="OtherTok"/>
        </w:rPr>
        <w:t xml:space="preserve">,</w:t>
      </w:r>
      <w:r>
        <w:br/>
      </w:r>
      <w:r>
        <w:rPr>
          <w:rStyle w:val="NormalTok"/>
        </w:rPr>
        <w:t xml:space="preserve">                </w:t>
      </w:r>
      <w:r>
        <w:rPr>
          <w:rStyle w:val="StringTok"/>
        </w:rPr>
        <w:t xml:space="preserve">"S402"</w:t>
      </w:r>
      <w:r>
        <w:rPr>
          <w:rStyle w:val="OtherTok"/>
        </w:rPr>
        <w:t xml:space="preserve">,</w:t>
      </w:r>
      <w:r>
        <w:br/>
      </w:r>
      <w:r>
        <w:rPr>
          <w:rStyle w:val="NormalTok"/>
        </w:rPr>
        <w:t xml:space="preserve">                </w:t>
      </w:r>
      <w:r>
        <w:rPr>
          <w:rStyle w:val="StringTok"/>
        </w:rPr>
        <w:t xml:space="preserve">"S411"</w:t>
      </w:r>
      <w:r>
        <w:rPr>
          <w:rStyle w:val="OtherTok"/>
        </w:rPr>
        <w:t xml:space="preserve">,</w:t>
      </w:r>
      <w:r>
        <w:br/>
      </w:r>
      <w:r>
        <w:rPr>
          <w:rStyle w:val="NormalTok"/>
        </w:rPr>
        <w:t xml:space="preserve">                </w:t>
      </w:r>
      <w:r>
        <w:rPr>
          <w:rStyle w:val="StringTok"/>
        </w:rPr>
        <w:t xml:space="preserve">"S412"</w:t>
      </w:r>
      <w:r>
        <w:rPr>
          <w:rStyle w:val="OtherTok"/>
        </w:rPr>
        <w:t xml:space="preserve">,</w:t>
      </w:r>
      <w:r>
        <w:br/>
      </w:r>
      <w:r>
        <w:rPr>
          <w:rStyle w:val="NormalTok"/>
        </w:rPr>
        <w:t xml:space="preserve">                </w:t>
      </w:r>
      <w:r>
        <w:rPr>
          <w:rStyle w:val="StringTok"/>
        </w:rPr>
        <w:t xml:space="preserve">"S413"</w:t>
      </w:r>
      <w:r>
        <w:rPr>
          <w:rStyle w:val="OtherTok"/>
        </w:rPr>
        <w:t xml:space="preserve">,</w:t>
      </w:r>
      <w:r>
        <w:br/>
      </w:r>
      <w:r>
        <w:rPr>
          <w:rStyle w:val="NormalTok"/>
        </w:rPr>
        <w:t xml:space="preserve">                </w:t>
      </w:r>
      <w:r>
        <w:rPr>
          <w:rStyle w:val="StringTok"/>
        </w:rPr>
        <w:t xml:space="preserve">"S414"</w:t>
      </w:r>
      <w:r>
        <w:rPr>
          <w:rStyle w:val="OtherTok"/>
        </w:rPr>
        <w:t xml:space="preserve">,</w:t>
      </w:r>
      <w:r>
        <w:br/>
      </w:r>
      <w:r>
        <w:rPr>
          <w:rStyle w:val="NormalTok"/>
        </w:rPr>
        <w:t xml:space="preserve">                </w:t>
      </w:r>
      <w:r>
        <w:rPr>
          <w:rStyle w:val="StringTok"/>
        </w:rPr>
        <w:t xml:space="preserve">"S421"</w:t>
      </w:r>
      <w:r>
        <w:rPr>
          <w:rStyle w:val="OtherTok"/>
        </w:rPr>
        <w:t xml:space="preserve">,</w:t>
      </w:r>
      <w:r>
        <w:br/>
      </w:r>
      <w:r>
        <w:rPr>
          <w:rStyle w:val="NormalTok"/>
        </w:rPr>
        <w:t xml:space="preserve">                </w:t>
      </w:r>
      <w:r>
        <w:rPr>
          <w:rStyle w:val="StringTok"/>
        </w:rPr>
        <w:t xml:space="preserve">"RTZ"</w:t>
      </w:r>
      <w:r>
        <w:rPr>
          <w:rStyle w:val="OtherTok"/>
        </w:rPr>
        <w:t xml:space="preserve">,</w:t>
      </w:r>
      <w:r>
        <w:br/>
      </w:r>
      <w:r>
        <w:rPr>
          <w:rStyle w:val="NormalTok"/>
        </w:rPr>
        <w:t xml:space="preserve">                </w:t>
      </w:r>
      <w:r>
        <w:rPr>
          <w:rStyle w:val="StringTok"/>
        </w:rPr>
        <w:t xml:space="preserve">"EPC"</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"productVersion"</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"geometry"</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"unlocode"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"validFrom"</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"20200101T123000"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"validTo"</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"20200101T123000"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"pageSize"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"#/components/schemas/GetResponseObject"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"/v1/object/summary"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"getSummary"</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"containerType"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w:t>
      </w:r>
      <w:r>
        <w:rPr>
          <w:rStyle w:val="OtherTok"/>
        </w:rPr>
        <w:t xml:space="preserve">,</w:t>
      </w:r>
      <w:r>
        <w:br/>
      </w:r>
      <w:r>
        <w:rPr>
          <w:rStyle w:val="NormalTok"/>
        </w:rPr>
        <w:t xml:space="preserve">                </w:t>
      </w:r>
      <w:r>
        <w:rPr>
          <w:rStyle w:val="StringTok"/>
        </w:rPr>
        <w:t xml:space="preserve">"1"</w:t>
      </w:r>
      <w:r>
        <w:rPr>
          <w:rStyle w:val="OtherTok"/>
        </w:rPr>
        <w:t xml:space="preserve">,</w:t>
      </w:r>
      <w:r>
        <w:br/>
      </w:r>
      <w:r>
        <w:rPr>
          <w:rStyle w:val="NormalTok"/>
        </w:rPr>
        <w:t xml:space="preserve">                </w:t>
      </w:r>
      <w:r>
        <w:rPr>
          <w:rStyle w:val="StringTok"/>
        </w:rPr>
        <w:t xml:space="preserve">"2"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"dataProductType"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"OTHER"</w:t>
      </w:r>
      <w:r>
        <w:rPr>
          <w:rStyle w:val="OtherTok"/>
        </w:rPr>
        <w:t xml:space="preserve">,</w:t>
      </w:r>
      <w:r>
        <w:br/>
      </w:r>
      <w:r>
        <w:rPr>
          <w:rStyle w:val="NormalTok"/>
        </w:rPr>
        <w:t xml:space="preserve">                </w:t>
      </w:r>
      <w:r>
        <w:rPr>
          <w:rStyle w:val="StringTok"/>
        </w:rPr>
        <w:t xml:space="preserve">"S57"</w:t>
      </w:r>
      <w:r>
        <w:rPr>
          <w:rStyle w:val="OtherTok"/>
        </w:rPr>
        <w:t xml:space="preserve">,</w:t>
      </w:r>
      <w:r>
        <w:br/>
      </w:r>
      <w:r>
        <w:rPr>
          <w:rStyle w:val="NormalTok"/>
        </w:rPr>
        <w:t xml:space="preserve">                </w:t>
      </w:r>
      <w:r>
        <w:rPr>
          <w:rStyle w:val="StringTok"/>
        </w:rPr>
        <w:t xml:space="preserve">"S101"</w:t>
      </w:r>
      <w:r>
        <w:rPr>
          <w:rStyle w:val="OtherTok"/>
        </w:rPr>
        <w:t xml:space="preserve">,</w:t>
      </w:r>
      <w:r>
        <w:br/>
      </w:r>
      <w:r>
        <w:rPr>
          <w:rStyle w:val="NormalTok"/>
        </w:rPr>
        <w:t xml:space="preserve">                </w:t>
      </w:r>
      <w:r>
        <w:rPr>
          <w:rStyle w:val="StringTok"/>
        </w:rPr>
        <w:t xml:space="preserve">"S102"</w:t>
      </w:r>
      <w:r>
        <w:rPr>
          <w:rStyle w:val="OtherTok"/>
        </w:rPr>
        <w:t xml:space="preserve">,</w:t>
      </w:r>
      <w:r>
        <w:br/>
      </w:r>
      <w:r>
        <w:rPr>
          <w:rStyle w:val="NormalTok"/>
        </w:rPr>
        <w:t xml:space="preserve">                </w:t>
      </w:r>
      <w:r>
        <w:rPr>
          <w:rStyle w:val="StringTok"/>
        </w:rPr>
        <w:t xml:space="preserve">"S104"</w:t>
      </w:r>
      <w:r>
        <w:rPr>
          <w:rStyle w:val="OtherTok"/>
        </w:rPr>
        <w:t xml:space="preserve">,</w:t>
      </w:r>
      <w:r>
        <w:br/>
      </w:r>
      <w:r>
        <w:rPr>
          <w:rStyle w:val="NormalTok"/>
        </w:rPr>
        <w:t xml:space="preserve">                </w:t>
      </w:r>
      <w:r>
        <w:rPr>
          <w:rStyle w:val="StringTok"/>
        </w:rPr>
        <w:t xml:space="preserve">"S111"</w:t>
      </w:r>
      <w:r>
        <w:rPr>
          <w:rStyle w:val="OtherTok"/>
        </w:rPr>
        <w:t xml:space="preserve">,</w:t>
      </w:r>
      <w:r>
        <w:br/>
      </w:r>
      <w:r>
        <w:rPr>
          <w:rStyle w:val="NormalTok"/>
        </w:rPr>
        <w:t xml:space="preserve">                </w:t>
      </w:r>
      <w:r>
        <w:rPr>
          <w:rStyle w:val="StringTok"/>
        </w:rPr>
        <w:t xml:space="preserve">"S122"</w:t>
      </w:r>
      <w:r>
        <w:rPr>
          <w:rStyle w:val="OtherTok"/>
        </w:rPr>
        <w:t xml:space="preserve">,</w:t>
      </w:r>
      <w:r>
        <w:br/>
      </w:r>
      <w:r>
        <w:rPr>
          <w:rStyle w:val="NormalTok"/>
        </w:rPr>
        <w:t xml:space="preserve">                </w:t>
      </w:r>
      <w:r>
        <w:rPr>
          <w:rStyle w:val="StringTok"/>
        </w:rPr>
        <w:t xml:space="preserve">"S123"</w:t>
      </w:r>
      <w:r>
        <w:rPr>
          <w:rStyle w:val="OtherTok"/>
        </w:rPr>
        <w:t xml:space="preserve">,</w:t>
      </w:r>
      <w:r>
        <w:br/>
      </w:r>
      <w:r>
        <w:rPr>
          <w:rStyle w:val="NormalTok"/>
        </w:rPr>
        <w:t xml:space="preserve">                </w:t>
      </w:r>
      <w:r>
        <w:rPr>
          <w:rStyle w:val="StringTok"/>
        </w:rPr>
        <w:t xml:space="preserve">"S124"</w:t>
      </w:r>
      <w:r>
        <w:rPr>
          <w:rStyle w:val="OtherTok"/>
        </w:rPr>
        <w:t xml:space="preserve">,</w:t>
      </w:r>
      <w:r>
        <w:br/>
      </w:r>
      <w:r>
        <w:rPr>
          <w:rStyle w:val="NormalTok"/>
        </w:rPr>
        <w:t xml:space="preserve">                </w:t>
      </w:r>
      <w:r>
        <w:rPr>
          <w:rStyle w:val="StringTok"/>
        </w:rPr>
        <w:t xml:space="preserve">"S125"</w:t>
      </w:r>
      <w:r>
        <w:rPr>
          <w:rStyle w:val="OtherTok"/>
        </w:rPr>
        <w:t xml:space="preserve">,</w:t>
      </w:r>
      <w:r>
        <w:br/>
      </w:r>
      <w:r>
        <w:rPr>
          <w:rStyle w:val="NormalTok"/>
        </w:rPr>
        <w:t xml:space="preserve">                </w:t>
      </w:r>
      <w:r>
        <w:rPr>
          <w:rStyle w:val="StringTok"/>
        </w:rPr>
        <w:t xml:space="preserve">"S126"</w:t>
      </w:r>
      <w:r>
        <w:rPr>
          <w:rStyle w:val="OtherTok"/>
        </w:rPr>
        <w:t xml:space="preserve">,</w:t>
      </w:r>
      <w:r>
        <w:br/>
      </w:r>
      <w:r>
        <w:rPr>
          <w:rStyle w:val="NormalTok"/>
        </w:rPr>
        <w:t xml:space="preserve">                </w:t>
      </w:r>
      <w:r>
        <w:rPr>
          <w:rStyle w:val="StringTok"/>
        </w:rPr>
        <w:t xml:space="preserve">"S127"</w:t>
      </w:r>
      <w:r>
        <w:rPr>
          <w:rStyle w:val="OtherTok"/>
        </w:rPr>
        <w:t xml:space="preserve">,</w:t>
      </w:r>
      <w:r>
        <w:br/>
      </w:r>
      <w:r>
        <w:rPr>
          <w:rStyle w:val="NormalTok"/>
        </w:rPr>
        <w:t xml:space="preserve">                </w:t>
      </w:r>
      <w:r>
        <w:rPr>
          <w:rStyle w:val="StringTok"/>
        </w:rPr>
        <w:t xml:space="preserve">"S128"</w:t>
      </w:r>
      <w:r>
        <w:rPr>
          <w:rStyle w:val="OtherTok"/>
        </w:rPr>
        <w:t xml:space="preserve">,</w:t>
      </w:r>
      <w:r>
        <w:br/>
      </w:r>
      <w:r>
        <w:rPr>
          <w:rStyle w:val="NormalTok"/>
        </w:rPr>
        <w:t xml:space="preserve">                </w:t>
      </w:r>
      <w:r>
        <w:rPr>
          <w:rStyle w:val="StringTok"/>
        </w:rPr>
        <w:t xml:space="preserve">"S129"</w:t>
      </w:r>
      <w:r>
        <w:rPr>
          <w:rStyle w:val="OtherTok"/>
        </w:rPr>
        <w:t xml:space="preserve">,</w:t>
      </w:r>
      <w:r>
        <w:br/>
      </w:r>
      <w:r>
        <w:rPr>
          <w:rStyle w:val="NormalTok"/>
        </w:rPr>
        <w:t xml:space="preserve">                </w:t>
      </w:r>
      <w:r>
        <w:rPr>
          <w:rStyle w:val="StringTok"/>
        </w:rPr>
        <w:t xml:space="preserve">"S131"</w:t>
      </w:r>
      <w:r>
        <w:rPr>
          <w:rStyle w:val="OtherTok"/>
        </w:rPr>
        <w:t xml:space="preserve">,</w:t>
      </w:r>
      <w:r>
        <w:br/>
      </w:r>
      <w:r>
        <w:rPr>
          <w:rStyle w:val="NormalTok"/>
        </w:rPr>
        <w:t xml:space="preserve">                </w:t>
      </w:r>
      <w:r>
        <w:rPr>
          <w:rStyle w:val="StringTok"/>
        </w:rPr>
        <w:t xml:space="preserve">"S201"</w:t>
      </w:r>
      <w:r>
        <w:rPr>
          <w:rStyle w:val="OtherTok"/>
        </w:rPr>
        <w:t xml:space="preserve">,</w:t>
      </w:r>
      <w:r>
        <w:br/>
      </w:r>
      <w:r>
        <w:rPr>
          <w:rStyle w:val="NormalTok"/>
        </w:rPr>
        <w:t xml:space="preserve">                </w:t>
      </w:r>
      <w:r>
        <w:rPr>
          <w:rStyle w:val="StringTok"/>
        </w:rPr>
        <w:t xml:space="preserve">"S210"</w:t>
      </w:r>
      <w:r>
        <w:rPr>
          <w:rStyle w:val="OtherTok"/>
        </w:rPr>
        <w:t xml:space="preserve">,</w:t>
      </w:r>
      <w:r>
        <w:br/>
      </w:r>
      <w:r>
        <w:rPr>
          <w:rStyle w:val="NormalTok"/>
        </w:rPr>
        <w:t xml:space="preserve">                </w:t>
      </w:r>
      <w:r>
        <w:rPr>
          <w:rStyle w:val="StringTok"/>
        </w:rPr>
        <w:t xml:space="preserve">"S211"</w:t>
      </w:r>
      <w:r>
        <w:rPr>
          <w:rStyle w:val="OtherTok"/>
        </w:rPr>
        <w:t xml:space="preserve">,</w:t>
      </w:r>
      <w:r>
        <w:br/>
      </w:r>
      <w:r>
        <w:rPr>
          <w:rStyle w:val="NormalTok"/>
        </w:rPr>
        <w:t xml:space="preserve">                </w:t>
      </w:r>
      <w:r>
        <w:rPr>
          <w:rStyle w:val="StringTok"/>
        </w:rPr>
        <w:t xml:space="preserve">"S212"</w:t>
      </w:r>
      <w:r>
        <w:rPr>
          <w:rStyle w:val="OtherTok"/>
        </w:rPr>
        <w:t xml:space="preserve">,</w:t>
      </w:r>
      <w:r>
        <w:br/>
      </w:r>
      <w:r>
        <w:rPr>
          <w:rStyle w:val="NormalTok"/>
        </w:rPr>
        <w:t xml:space="preserve">                </w:t>
      </w:r>
      <w:r>
        <w:rPr>
          <w:rStyle w:val="StringTok"/>
        </w:rPr>
        <w:t xml:space="preserve">"S401"</w:t>
      </w:r>
      <w:r>
        <w:rPr>
          <w:rStyle w:val="OtherTok"/>
        </w:rPr>
        <w:t xml:space="preserve">,</w:t>
      </w:r>
      <w:r>
        <w:br/>
      </w:r>
      <w:r>
        <w:rPr>
          <w:rStyle w:val="NormalTok"/>
        </w:rPr>
        <w:t xml:space="preserve">                </w:t>
      </w:r>
      <w:r>
        <w:rPr>
          <w:rStyle w:val="StringTok"/>
        </w:rPr>
        <w:t xml:space="preserve">"S402"</w:t>
      </w:r>
      <w:r>
        <w:rPr>
          <w:rStyle w:val="OtherTok"/>
        </w:rPr>
        <w:t xml:space="preserve">,</w:t>
      </w:r>
      <w:r>
        <w:br/>
      </w:r>
      <w:r>
        <w:rPr>
          <w:rStyle w:val="NormalTok"/>
        </w:rPr>
        <w:t xml:space="preserve">                </w:t>
      </w:r>
      <w:r>
        <w:rPr>
          <w:rStyle w:val="StringTok"/>
        </w:rPr>
        <w:t xml:space="preserve">"S411"</w:t>
      </w:r>
      <w:r>
        <w:rPr>
          <w:rStyle w:val="OtherTok"/>
        </w:rPr>
        <w:t xml:space="preserve">,</w:t>
      </w:r>
      <w:r>
        <w:br/>
      </w:r>
      <w:r>
        <w:rPr>
          <w:rStyle w:val="NormalTok"/>
        </w:rPr>
        <w:t xml:space="preserve">                </w:t>
      </w:r>
      <w:r>
        <w:rPr>
          <w:rStyle w:val="StringTok"/>
        </w:rPr>
        <w:t xml:space="preserve">"S412"</w:t>
      </w:r>
      <w:r>
        <w:rPr>
          <w:rStyle w:val="OtherTok"/>
        </w:rPr>
        <w:t xml:space="preserve">,</w:t>
      </w:r>
      <w:r>
        <w:br/>
      </w:r>
      <w:r>
        <w:rPr>
          <w:rStyle w:val="NormalTok"/>
        </w:rPr>
        <w:t xml:space="preserve">                </w:t>
      </w:r>
      <w:r>
        <w:rPr>
          <w:rStyle w:val="StringTok"/>
        </w:rPr>
        <w:t xml:space="preserve">"S413"</w:t>
      </w:r>
      <w:r>
        <w:rPr>
          <w:rStyle w:val="OtherTok"/>
        </w:rPr>
        <w:t xml:space="preserve">,</w:t>
      </w:r>
      <w:r>
        <w:br/>
      </w:r>
      <w:r>
        <w:rPr>
          <w:rStyle w:val="NormalTok"/>
        </w:rPr>
        <w:t xml:space="preserve">                </w:t>
      </w:r>
      <w:r>
        <w:rPr>
          <w:rStyle w:val="StringTok"/>
        </w:rPr>
        <w:t xml:space="preserve">"S414"</w:t>
      </w:r>
      <w:r>
        <w:rPr>
          <w:rStyle w:val="OtherTok"/>
        </w:rPr>
        <w:t xml:space="preserve">,</w:t>
      </w:r>
      <w:r>
        <w:br/>
      </w:r>
      <w:r>
        <w:rPr>
          <w:rStyle w:val="NormalTok"/>
        </w:rPr>
        <w:t xml:space="preserve">                </w:t>
      </w:r>
      <w:r>
        <w:rPr>
          <w:rStyle w:val="StringTok"/>
        </w:rPr>
        <w:t xml:space="preserve">"S421"</w:t>
      </w:r>
      <w:r>
        <w:rPr>
          <w:rStyle w:val="OtherTok"/>
        </w:rPr>
        <w:t xml:space="preserve">,</w:t>
      </w:r>
      <w:r>
        <w:br/>
      </w:r>
      <w:r>
        <w:rPr>
          <w:rStyle w:val="NormalTok"/>
        </w:rPr>
        <w:t xml:space="preserve">                </w:t>
      </w:r>
      <w:r>
        <w:rPr>
          <w:rStyle w:val="StringTok"/>
        </w:rPr>
        <w:t xml:space="preserve">"RTZ"</w:t>
      </w:r>
      <w:r>
        <w:rPr>
          <w:rStyle w:val="OtherTok"/>
        </w:rPr>
        <w:t xml:space="preserve">,</w:t>
      </w:r>
      <w:r>
        <w:br/>
      </w:r>
      <w:r>
        <w:rPr>
          <w:rStyle w:val="NormalTok"/>
        </w:rPr>
        <w:t xml:space="preserve">                </w:t>
      </w:r>
      <w:r>
        <w:rPr>
          <w:rStyle w:val="StringTok"/>
        </w:rPr>
        <w:t xml:space="preserve">"EPC"</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"productVersion"</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"geometry"</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"unlocode"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"validFrom"</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"20200101T123000"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"validTo"</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"20200101T123000"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"pageSize"</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"#/components/schemas/GetSummaryResponseObject"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"/v1/ping"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"ping"</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"#/components/schemas/PingResponseObject"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"/v1/subscription"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"subscription"</w:t>
      </w:r>
      <w:r>
        <w:rPr>
          <w:rStyle w:val="FunctionTok"/>
        </w:rPr>
        <w:t xml:space="preserve">,</w:t>
      </w:r>
      <w:r>
        <w:br/>
      </w:r>
      <w:r>
        <w:rPr>
          <w:rStyle w:val="NormalTok"/>
        </w:rPr>
        <w:t xml:space="preserve">        </w:t>
      </w:r>
      <w:r>
        <w:rPr>
          <w:rStyle w:val="DataTypeTok"/>
        </w:rPr>
        <w:t xml:space="preserve">"requestBody"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"#/components/schemas/SubscriptionRequestObject"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"#/components/schemas/SubscriptionResponseObject"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"delete"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"operationId"</w:t>
      </w:r>
      <w:r>
        <w:rPr>
          <w:rStyle w:val="FunctionTok"/>
        </w:rPr>
        <w:t xml:space="preserve">:</w:t>
      </w:r>
      <w:r>
        <w:rPr>
          <w:rStyle w:val="NormalTok"/>
        </w:rPr>
        <w:t xml:space="preserve"> </w:t>
      </w:r>
      <w:r>
        <w:rPr>
          <w:rStyle w:val="StringTok"/>
        </w:rPr>
        <w:t xml:space="preserve">"removeSubscription"</w:t>
      </w:r>
      <w:r>
        <w:rPr>
          <w:rStyle w:val="FunctionTok"/>
        </w:rPr>
        <w:t xml:space="preserve">,</w:t>
      </w:r>
      <w:r>
        <w:br/>
      </w:r>
      <w:r>
        <w:rPr>
          <w:rStyle w:val="NormalTok"/>
        </w:rPr>
        <w:t xml:space="preserve">        </w:t>
      </w:r>
      <w:r>
        <w:rPr>
          <w:rStyle w:val="DataTypeTok"/>
        </w:rPr>
        <w:t xml:space="preserve">"requestBody"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"#/components/schemas/RemoveSubscriptionObject"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response"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"#/components/schemas/RemoveSubscriptionResponseObject"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"secom-v1"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"object"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"jsonSchema"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"AcknowledgementResponseObject"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"SECOM_ResponseCode"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"AcknowledgementObject"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"digitalSignature"</w:t>
      </w:r>
      <w:r>
        <w:rPr>
          <w:rStyle w:val="OtherTok"/>
        </w:rPr>
        <w:t xml:space="preserve">,</w:t>
      </w:r>
      <w:r>
        <w:br/>
      </w:r>
      <w:r>
        <w:rPr>
          <w:rStyle w:val="NormalTok"/>
        </w:rPr>
        <w:t xml:space="preserve">          </w:t>
      </w:r>
      <w:r>
        <w:rPr>
          <w:rStyle w:val="StringTok"/>
        </w:rPr>
        <w:t xml:space="preserve">"envelope"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"envelope"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"#/components/schemas/EnvelopeAckObject"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"digitalSignature"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"EnvelopeAckObject"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"ackType"</w:t>
      </w:r>
      <w:r>
        <w:rPr>
          <w:rStyle w:val="OtherTok"/>
        </w:rPr>
        <w:t xml:space="preserve">,</w:t>
      </w:r>
      <w:r>
        <w:br/>
      </w:r>
      <w:r>
        <w:rPr>
          <w:rStyle w:val="NormalTok"/>
        </w:rPr>
        <w:t xml:space="preserve">          </w:t>
      </w:r>
      <w:r>
        <w:rPr>
          <w:rStyle w:val="StringTok"/>
        </w:rPr>
        <w:t xml:space="preserve">"createdAt"</w:t>
      </w:r>
      <w:r>
        <w:rPr>
          <w:rStyle w:val="OtherTok"/>
        </w:rPr>
        <w:t xml:space="preserve">,</w:t>
      </w:r>
      <w:r>
        <w:br/>
      </w:r>
      <w:r>
        <w:rPr>
          <w:rStyle w:val="NormalTok"/>
        </w:rPr>
        <w:t xml:space="preserve">          </w:t>
      </w:r>
      <w:r>
        <w:rPr>
          <w:rStyle w:val="StringTok"/>
        </w:rPr>
        <w:t xml:space="preserve">"envelopeCertificate"</w:t>
      </w:r>
      <w:r>
        <w:rPr>
          <w:rStyle w:val="OtherTok"/>
        </w:rPr>
        <w:t xml:space="preserve">,</w:t>
      </w:r>
      <w:r>
        <w:br/>
      </w:r>
      <w:r>
        <w:rPr>
          <w:rStyle w:val="NormalTok"/>
        </w:rPr>
        <w:t xml:space="preserve">          </w:t>
      </w:r>
      <w:r>
        <w:rPr>
          <w:rStyle w:val="StringTok"/>
        </w:rPr>
        <w:t xml:space="preserve">"envelopeRootCertificateThumbprint"</w:t>
      </w:r>
      <w:r>
        <w:rPr>
          <w:rStyle w:val="OtherTok"/>
        </w:rPr>
        <w:t xml:space="preserve">,</w:t>
      </w:r>
      <w:r>
        <w:br/>
      </w:r>
      <w:r>
        <w:rPr>
          <w:rStyle w:val="NormalTok"/>
        </w:rPr>
        <w:t xml:space="preserve">          </w:t>
      </w:r>
      <w:r>
        <w:rPr>
          <w:rStyle w:val="StringTok"/>
        </w:rPr>
        <w:t xml:space="preserve">"envelopeSignatureTime"</w:t>
      </w:r>
      <w:r>
        <w:rPr>
          <w:rStyle w:val="OtherTok"/>
        </w:rPr>
        <w:t xml:space="preserve">,</w:t>
      </w:r>
      <w:r>
        <w:br/>
      </w:r>
      <w:r>
        <w:rPr>
          <w:rStyle w:val="NormalTok"/>
        </w:rPr>
        <w:t xml:space="preserve">          </w:t>
      </w:r>
      <w:r>
        <w:rPr>
          <w:rStyle w:val="StringTok"/>
        </w:rPr>
        <w:t xml:space="preserve">"transactionIdentifier"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"envelopeRootCertificateThumbprint"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"envelopeSignatureTime"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envelope signature date-time"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"19850412T101530"</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creation date-time"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"19850412T101530"</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"ackType"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"nackType"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"envelopeCertificate"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"CapabilityObject"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"containerType"</w:t>
      </w:r>
      <w:r>
        <w:rPr>
          <w:rStyle w:val="OtherTok"/>
        </w:rPr>
        <w:t xml:space="preserve">,</w:t>
      </w:r>
      <w:r>
        <w:br/>
      </w:r>
      <w:r>
        <w:rPr>
          <w:rStyle w:val="NormalTok"/>
        </w:rPr>
        <w:t xml:space="preserve">          </w:t>
      </w:r>
      <w:r>
        <w:rPr>
          <w:rStyle w:val="StringTok"/>
        </w:rPr>
        <w:t xml:space="preserve">"dataProductType"</w:t>
      </w:r>
      <w:r>
        <w:rPr>
          <w:rStyle w:val="OtherTok"/>
        </w:rPr>
        <w:t xml:space="preserve">,</w:t>
      </w:r>
      <w:r>
        <w:br/>
      </w:r>
      <w:r>
        <w:rPr>
          <w:rStyle w:val="NormalTok"/>
        </w:rPr>
        <w:t xml:space="preserve">          </w:t>
      </w:r>
      <w:r>
        <w:rPr>
          <w:rStyle w:val="StringTok"/>
        </w:rPr>
        <w:t xml:space="preserve">"implementedInterfaces"</w:t>
      </w:r>
      <w:r>
        <w:rPr>
          <w:rStyle w:val="OtherTok"/>
        </w:rPr>
        <w:t xml:space="preserve">,</w:t>
      </w:r>
      <w:r>
        <w:br/>
      </w:r>
      <w:r>
        <w:rPr>
          <w:rStyle w:val="NormalTok"/>
        </w:rPr>
        <w:t xml:space="preserve">          </w:t>
      </w:r>
      <w:r>
        <w:rPr>
          <w:rStyle w:val="StringTok"/>
        </w:rPr>
        <w:t xml:space="preserve">"productSchemaUrl"</w:t>
      </w:r>
      <w:r>
        <w:rPr>
          <w:rStyle w:val="OtherTok"/>
        </w:rPr>
        <w:t xml:space="preserve">,</w:t>
      </w:r>
      <w:r>
        <w:br/>
      </w:r>
      <w:r>
        <w:rPr>
          <w:rStyle w:val="NormalTok"/>
        </w:rPr>
        <w:t xml:space="preserve">          </w:t>
      </w:r>
      <w:r>
        <w:rPr>
          <w:rStyle w:val="StringTok"/>
        </w:rPr>
        <w:t xml:space="preserve">"serviceVersion"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"containerType"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"dataProductType"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"OTHER"</w:t>
      </w:r>
      <w:r>
        <w:rPr>
          <w:rStyle w:val="OtherTok"/>
        </w:rPr>
        <w:t xml:space="preserve">,</w:t>
      </w:r>
      <w:r>
        <w:br/>
      </w:r>
      <w:r>
        <w:rPr>
          <w:rStyle w:val="NormalTok"/>
        </w:rPr>
        <w:t xml:space="preserve">              </w:t>
      </w:r>
      <w:r>
        <w:rPr>
          <w:rStyle w:val="StringTok"/>
        </w:rPr>
        <w:t xml:space="preserve">"S57"</w:t>
      </w:r>
      <w:r>
        <w:rPr>
          <w:rStyle w:val="OtherTok"/>
        </w:rPr>
        <w:t xml:space="preserve">,</w:t>
      </w:r>
      <w:r>
        <w:br/>
      </w:r>
      <w:r>
        <w:rPr>
          <w:rStyle w:val="NormalTok"/>
        </w:rPr>
        <w:t xml:space="preserve">              </w:t>
      </w:r>
      <w:r>
        <w:rPr>
          <w:rStyle w:val="StringTok"/>
        </w:rPr>
        <w:t xml:space="preserve">"S101"</w:t>
      </w:r>
      <w:r>
        <w:rPr>
          <w:rStyle w:val="OtherTok"/>
        </w:rPr>
        <w:t xml:space="preserve">,</w:t>
      </w:r>
      <w:r>
        <w:br/>
      </w:r>
      <w:r>
        <w:rPr>
          <w:rStyle w:val="NormalTok"/>
        </w:rPr>
        <w:t xml:space="preserve">              </w:t>
      </w:r>
      <w:r>
        <w:rPr>
          <w:rStyle w:val="StringTok"/>
        </w:rPr>
        <w:t xml:space="preserve">"S102"</w:t>
      </w:r>
      <w:r>
        <w:rPr>
          <w:rStyle w:val="OtherTok"/>
        </w:rPr>
        <w:t xml:space="preserve">,</w:t>
      </w:r>
      <w:r>
        <w:br/>
      </w:r>
      <w:r>
        <w:rPr>
          <w:rStyle w:val="NormalTok"/>
        </w:rPr>
        <w:t xml:space="preserve">              </w:t>
      </w:r>
      <w:r>
        <w:rPr>
          <w:rStyle w:val="StringTok"/>
        </w:rPr>
        <w:t xml:space="preserve">"S104"</w:t>
      </w:r>
      <w:r>
        <w:rPr>
          <w:rStyle w:val="OtherTok"/>
        </w:rPr>
        <w:t xml:space="preserve">,</w:t>
      </w:r>
      <w:r>
        <w:br/>
      </w:r>
      <w:r>
        <w:rPr>
          <w:rStyle w:val="NormalTok"/>
        </w:rPr>
        <w:t xml:space="preserve">              </w:t>
      </w:r>
      <w:r>
        <w:rPr>
          <w:rStyle w:val="StringTok"/>
        </w:rPr>
        <w:t xml:space="preserve">"S111"</w:t>
      </w:r>
      <w:r>
        <w:rPr>
          <w:rStyle w:val="OtherTok"/>
        </w:rPr>
        <w:t xml:space="preserve">,</w:t>
      </w:r>
      <w:r>
        <w:br/>
      </w:r>
      <w:r>
        <w:rPr>
          <w:rStyle w:val="NormalTok"/>
        </w:rPr>
        <w:t xml:space="preserve">              </w:t>
      </w:r>
      <w:r>
        <w:rPr>
          <w:rStyle w:val="StringTok"/>
        </w:rPr>
        <w:t xml:space="preserve">"S122"</w:t>
      </w:r>
      <w:r>
        <w:rPr>
          <w:rStyle w:val="OtherTok"/>
        </w:rPr>
        <w:t xml:space="preserve">,</w:t>
      </w:r>
      <w:r>
        <w:br/>
      </w:r>
      <w:r>
        <w:rPr>
          <w:rStyle w:val="NormalTok"/>
        </w:rPr>
        <w:t xml:space="preserve">              </w:t>
      </w:r>
      <w:r>
        <w:rPr>
          <w:rStyle w:val="StringTok"/>
        </w:rPr>
        <w:t xml:space="preserve">"S123"</w:t>
      </w:r>
      <w:r>
        <w:rPr>
          <w:rStyle w:val="OtherTok"/>
        </w:rPr>
        <w:t xml:space="preserve">,</w:t>
      </w:r>
      <w:r>
        <w:br/>
      </w:r>
      <w:r>
        <w:rPr>
          <w:rStyle w:val="NormalTok"/>
        </w:rPr>
        <w:t xml:space="preserve">              </w:t>
      </w:r>
      <w:r>
        <w:rPr>
          <w:rStyle w:val="StringTok"/>
        </w:rPr>
        <w:t xml:space="preserve">"S124"</w:t>
      </w:r>
      <w:r>
        <w:rPr>
          <w:rStyle w:val="OtherTok"/>
        </w:rPr>
        <w:t xml:space="preserve">,</w:t>
      </w:r>
      <w:r>
        <w:br/>
      </w:r>
      <w:r>
        <w:rPr>
          <w:rStyle w:val="NormalTok"/>
        </w:rPr>
        <w:t xml:space="preserve">              </w:t>
      </w:r>
      <w:r>
        <w:rPr>
          <w:rStyle w:val="StringTok"/>
        </w:rPr>
        <w:t xml:space="preserve">"S125"</w:t>
      </w:r>
      <w:r>
        <w:rPr>
          <w:rStyle w:val="OtherTok"/>
        </w:rPr>
        <w:t xml:space="preserve">,</w:t>
      </w:r>
      <w:r>
        <w:br/>
      </w:r>
      <w:r>
        <w:rPr>
          <w:rStyle w:val="NormalTok"/>
        </w:rPr>
        <w:t xml:space="preserve">              </w:t>
      </w:r>
      <w:r>
        <w:rPr>
          <w:rStyle w:val="StringTok"/>
        </w:rPr>
        <w:t xml:space="preserve">"S126"</w:t>
      </w:r>
      <w:r>
        <w:rPr>
          <w:rStyle w:val="OtherTok"/>
        </w:rPr>
        <w:t xml:space="preserve">,</w:t>
      </w:r>
      <w:r>
        <w:br/>
      </w:r>
      <w:r>
        <w:rPr>
          <w:rStyle w:val="NormalTok"/>
        </w:rPr>
        <w:t xml:space="preserve">              </w:t>
      </w:r>
      <w:r>
        <w:rPr>
          <w:rStyle w:val="StringTok"/>
        </w:rPr>
        <w:t xml:space="preserve">"S127"</w:t>
      </w:r>
      <w:r>
        <w:rPr>
          <w:rStyle w:val="OtherTok"/>
        </w:rPr>
        <w:t xml:space="preserve">,</w:t>
      </w:r>
      <w:r>
        <w:br/>
      </w:r>
      <w:r>
        <w:rPr>
          <w:rStyle w:val="NormalTok"/>
        </w:rPr>
        <w:t xml:space="preserve">              </w:t>
      </w:r>
      <w:r>
        <w:rPr>
          <w:rStyle w:val="StringTok"/>
        </w:rPr>
        <w:t xml:space="preserve">"S128"</w:t>
      </w:r>
      <w:r>
        <w:rPr>
          <w:rStyle w:val="OtherTok"/>
        </w:rPr>
        <w:t xml:space="preserve">,</w:t>
      </w:r>
      <w:r>
        <w:br/>
      </w:r>
      <w:r>
        <w:rPr>
          <w:rStyle w:val="NormalTok"/>
        </w:rPr>
        <w:t xml:space="preserve">              </w:t>
      </w:r>
      <w:r>
        <w:rPr>
          <w:rStyle w:val="StringTok"/>
        </w:rPr>
        <w:t xml:space="preserve">"S129"</w:t>
      </w:r>
      <w:r>
        <w:rPr>
          <w:rStyle w:val="OtherTok"/>
        </w:rPr>
        <w:t xml:space="preserve">,</w:t>
      </w:r>
      <w:r>
        <w:br/>
      </w:r>
      <w:r>
        <w:rPr>
          <w:rStyle w:val="NormalTok"/>
        </w:rPr>
        <w:t xml:space="preserve">              </w:t>
      </w:r>
      <w:r>
        <w:rPr>
          <w:rStyle w:val="StringTok"/>
        </w:rPr>
        <w:t xml:space="preserve">"S131"</w:t>
      </w:r>
      <w:r>
        <w:rPr>
          <w:rStyle w:val="OtherTok"/>
        </w:rPr>
        <w:t xml:space="preserve">,</w:t>
      </w:r>
      <w:r>
        <w:br/>
      </w:r>
      <w:r>
        <w:rPr>
          <w:rStyle w:val="NormalTok"/>
        </w:rPr>
        <w:t xml:space="preserve">              </w:t>
      </w:r>
      <w:r>
        <w:rPr>
          <w:rStyle w:val="StringTok"/>
        </w:rPr>
        <w:t xml:space="preserve">"S201"</w:t>
      </w:r>
      <w:r>
        <w:rPr>
          <w:rStyle w:val="OtherTok"/>
        </w:rPr>
        <w:t xml:space="preserve">,</w:t>
      </w:r>
      <w:r>
        <w:br/>
      </w:r>
      <w:r>
        <w:rPr>
          <w:rStyle w:val="NormalTok"/>
        </w:rPr>
        <w:t xml:space="preserve">              </w:t>
      </w:r>
      <w:r>
        <w:rPr>
          <w:rStyle w:val="StringTok"/>
        </w:rPr>
        <w:t xml:space="preserve">"S210"</w:t>
      </w:r>
      <w:r>
        <w:rPr>
          <w:rStyle w:val="OtherTok"/>
        </w:rPr>
        <w:t xml:space="preserve">,</w:t>
      </w:r>
      <w:r>
        <w:br/>
      </w:r>
      <w:r>
        <w:rPr>
          <w:rStyle w:val="NormalTok"/>
        </w:rPr>
        <w:t xml:space="preserve">              </w:t>
      </w:r>
      <w:r>
        <w:rPr>
          <w:rStyle w:val="StringTok"/>
        </w:rPr>
        <w:t xml:space="preserve">"S211"</w:t>
      </w:r>
      <w:r>
        <w:rPr>
          <w:rStyle w:val="OtherTok"/>
        </w:rPr>
        <w:t xml:space="preserve">,</w:t>
      </w:r>
      <w:r>
        <w:br/>
      </w:r>
      <w:r>
        <w:rPr>
          <w:rStyle w:val="NormalTok"/>
        </w:rPr>
        <w:t xml:space="preserve">              </w:t>
      </w:r>
      <w:r>
        <w:rPr>
          <w:rStyle w:val="StringTok"/>
        </w:rPr>
        <w:t xml:space="preserve">"S212"</w:t>
      </w:r>
      <w:r>
        <w:rPr>
          <w:rStyle w:val="OtherTok"/>
        </w:rPr>
        <w:t xml:space="preserve">,</w:t>
      </w:r>
      <w:r>
        <w:br/>
      </w:r>
      <w:r>
        <w:rPr>
          <w:rStyle w:val="NormalTok"/>
        </w:rPr>
        <w:t xml:space="preserve">              </w:t>
      </w:r>
      <w:r>
        <w:rPr>
          <w:rStyle w:val="StringTok"/>
        </w:rPr>
        <w:t xml:space="preserve">"S401"</w:t>
      </w:r>
      <w:r>
        <w:rPr>
          <w:rStyle w:val="OtherTok"/>
        </w:rPr>
        <w:t xml:space="preserve">,</w:t>
      </w:r>
      <w:r>
        <w:br/>
      </w:r>
      <w:r>
        <w:rPr>
          <w:rStyle w:val="NormalTok"/>
        </w:rPr>
        <w:t xml:space="preserve">              </w:t>
      </w:r>
      <w:r>
        <w:rPr>
          <w:rStyle w:val="StringTok"/>
        </w:rPr>
        <w:t xml:space="preserve">"S402"</w:t>
      </w:r>
      <w:r>
        <w:rPr>
          <w:rStyle w:val="OtherTok"/>
        </w:rPr>
        <w:t xml:space="preserve">,</w:t>
      </w:r>
      <w:r>
        <w:br/>
      </w:r>
      <w:r>
        <w:rPr>
          <w:rStyle w:val="NormalTok"/>
        </w:rPr>
        <w:t xml:space="preserve">              </w:t>
      </w:r>
      <w:r>
        <w:rPr>
          <w:rStyle w:val="StringTok"/>
        </w:rPr>
        <w:t xml:space="preserve">"S411"</w:t>
      </w:r>
      <w:r>
        <w:rPr>
          <w:rStyle w:val="OtherTok"/>
        </w:rPr>
        <w:t xml:space="preserve">,</w:t>
      </w:r>
      <w:r>
        <w:br/>
      </w:r>
      <w:r>
        <w:rPr>
          <w:rStyle w:val="NormalTok"/>
        </w:rPr>
        <w:t xml:space="preserve">              </w:t>
      </w:r>
      <w:r>
        <w:rPr>
          <w:rStyle w:val="StringTok"/>
        </w:rPr>
        <w:t xml:space="preserve">"S412"</w:t>
      </w:r>
      <w:r>
        <w:rPr>
          <w:rStyle w:val="OtherTok"/>
        </w:rPr>
        <w:t xml:space="preserve">,</w:t>
      </w:r>
      <w:r>
        <w:br/>
      </w:r>
      <w:r>
        <w:rPr>
          <w:rStyle w:val="NormalTok"/>
        </w:rPr>
        <w:t xml:space="preserve">              </w:t>
      </w:r>
      <w:r>
        <w:rPr>
          <w:rStyle w:val="StringTok"/>
        </w:rPr>
        <w:t xml:space="preserve">"S413"</w:t>
      </w:r>
      <w:r>
        <w:rPr>
          <w:rStyle w:val="OtherTok"/>
        </w:rPr>
        <w:t xml:space="preserve">,</w:t>
      </w:r>
      <w:r>
        <w:br/>
      </w:r>
      <w:r>
        <w:rPr>
          <w:rStyle w:val="NormalTok"/>
        </w:rPr>
        <w:t xml:space="preserve">              </w:t>
      </w:r>
      <w:r>
        <w:rPr>
          <w:rStyle w:val="StringTok"/>
        </w:rPr>
        <w:t xml:space="preserve">"S414"</w:t>
      </w:r>
      <w:r>
        <w:rPr>
          <w:rStyle w:val="OtherTok"/>
        </w:rPr>
        <w:t xml:space="preserve">,</w:t>
      </w:r>
      <w:r>
        <w:br/>
      </w:r>
      <w:r>
        <w:rPr>
          <w:rStyle w:val="NormalTok"/>
        </w:rPr>
        <w:t xml:space="preserve">              </w:t>
      </w:r>
      <w:r>
        <w:rPr>
          <w:rStyle w:val="StringTok"/>
        </w:rPr>
        <w:t xml:space="preserve">"S421"</w:t>
      </w:r>
      <w:r>
        <w:rPr>
          <w:rStyle w:val="OtherTok"/>
        </w:rPr>
        <w:t xml:space="preserve">,</w:t>
      </w:r>
      <w:r>
        <w:br/>
      </w:r>
      <w:r>
        <w:rPr>
          <w:rStyle w:val="NormalTok"/>
        </w:rPr>
        <w:t xml:space="preserve">              </w:t>
      </w:r>
      <w:r>
        <w:rPr>
          <w:rStyle w:val="StringTok"/>
        </w:rPr>
        <w:t xml:space="preserve">"RTZ"</w:t>
      </w:r>
      <w:r>
        <w:rPr>
          <w:rStyle w:val="OtherTok"/>
        </w:rPr>
        <w:t xml:space="preserve">,</w:t>
      </w:r>
      <w:r>
        <w:br/>
      </w:r>
      <w:r>
        <w:rPr>
          <w:rStyle w:val="NormalTok"/>
        </w:rPr>
        <w:t xml:space="preserve">              </w:t>
      </w:r>
      <w:r>
        <w:rPr>
          <w:rStyle w:val="StringTok"/>
        </w:rPr>
        <w:t xml:space="preserve">"EPC"</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"productSchemaUrl"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"url"</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"implementedInterfaces"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"#/components/schemas/ImplementedInterfaces"</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"serviceVersion"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"CapabilityResponseObject"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"#/components/schemas/CapabilityObject"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"array"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"ImplementedInterfaces"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"access"</w:t>
      </w:r>
      <w:r>
        <w:rPr>
          <w:rStyle w:val="OtherTok"/>
        </w:rPr>
        <w:t xml:space="preserve">,</w:t>
      </w:r>
      <w:r>
        <w:br/>
      </w:r>
      <w:r>
        <w:rPr>
          <w:rStyle w:val="NormalTok"/>
        </w:rPr>
        <w:t xml:space="preserve">          </w:t>
      </w:r>
      <w:r>
        <w:rPr>
          <w:rStyle w:val="StringTok"/>
        </w:rPr>
        <w:t xml:space="preserve">"encryptionKey"</w:t>
      </w:r>
      <w:r>
        <w:rPr>
          <w:rStyle w:val="OtherTok"/>
        </w:rPr>
        <w:t xml:space="preserve">,</w:t>
      </w:r>
      <w:r>
        <w:br/>
      </w:r>
      <w:r>
        <w:rPr>
          <w:rStyle w:val="NormalTok"/>
        </w:rPr>
        <w:t xml:space="preserve">          </w:t>
      </w:r>
      <w:r>
        <w:rPr>
          <w:rStyle w:val="StringTok"/>
        </w:rPr>
        <w:t xml:space="preserve">"get"</w:t>
      </w:r>
      <w:r>
        <w:rPr>
          <w:rStyle w:val="OtherTok"/>
        </w:rPr>
        <w:t xml:space="preserve">,</w:t>
      </w:r>
      <w:r>
        <w:br/>
      </w:r>
      <w:r>
        <w:rPr>
          <w:rStyle w:val="NormalTok"/>
        </w:rPr>
        <w:t xml:space="preserve">          </w:t>
      </w:r>
      <w:r>
        <w:rPr>
          <w:rStyle w:val="StringTok"/>
        </w:rPr>
        <w:t xml:space="preserve">"getByLink"</w:t>
      </w:r>
      <w:r>
        <w:rPr>
          <w:rStyle w:val="OtherTok"/>
        </w:rPr>
        <w:t xml:space="preserve">,</w:t>
      </w:r>
      <w:r>
        <w:br/>
      </w:r>
      <w:r>
        <w:rPr>
          <w:rStyle w:val="NormalTok"/>
        </w:rPr>
        <w:t xml:space="preserve">          </w:t>
      </w:r>
      <w:r>
        <w:rPr>
          <w:rStyle w:val="StringTok"/>
        </w:rPr>
        <w:t xml:space="preserve">"getSummary"</w:t>
      </w:r>
      <w:r>
        <w:rPr>
          <w:rStyle w:val="OtherTok"/>
        </w:rPr>
        <w:t xml:space="preserve">,</w:t>
      </w:r>
      <w:r>
        <w:br/>
      </w:r>
      <w:r>
        <w:rPr>
          <w:rStyle w:val="NormalTok"/>
        </w:rPr>
        <w:t xml:space="preserve">          </w:t>
      </w:r>
      <w:r>
        <w:rPr>
          <w:rStyle w:val="StringTok"/>
        </w:rPr>
        <w:t xml:space="preserve">"subscription"</w:t>
      </w:r>
      <w:r>
        <w:rPr>
          <w:rStyle w:val="OtherTok"/>
        </w:rPr>
        <w:t xml:space="preserve">,</w:t>
      </w:r>
      <w:r>
        <w:br/>
      </w:r>
      <w:r>
        <w:rPr>
          <w:rStyle w:val="NormalTok"/>
        </w:rPr>
        <w:t xml:space="preserve">          </w:t>
      </w:r>
      <w:r>
        <w:rPr>
          <w:rStyle w:val="StringTok"/>
        </w:rPr>
        <w:t xml:space="preserve">"upload"</w:t>
      </w:r>
      <w:r>
        <w:rPr>
          <w:rStyle w:val="OtherTok"/>
        </w:rPr>
        <w:t xml:space="preserve">,</w:t>
      </w:r>
      <w:r>
        <w:br/>
      </w:r>
      <w:r>
        <w:rPr>
          <w:rStyle w:val="NormalTok"/>
        </w:rPr>
        <w:t xml:space="preserve">          </w:t>
      </w:r>
      <w:r>
        <w:rPr>
          <w:rStyle w:val="StringTok"/>
        </w:rPr>
        <w:t xml:space="preserve">"uploadLink"</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"uploadLink"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"getSummary"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"getByLink"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"encryptionKey"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"DataResponseObject"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"ackRequest"</w:t>
      </w:r>
      <w:r>
        <w:rPr>
          <w:rStyle w:val="OtherTok"/>
        </w:rPr>
        <w:t xml:space="preserve">,</w:t>
      </w:r>
      <w:r>
        <w:br/>
      </w:r>
      <w:r>
        <w:rPr>
          <w:rStyle w:val="NormalTok"/>
        </w:rPr>
        <w:t xml:space="preserve">          </w:t>
      </w:r>
      <w:r>
        <w:rPr>
          <w:rStyle w:val="StringTok"/>
        </w:rPr>
        <w:t xml:space="preserve">"data"</w:t>
      </w:r>
      <w:r>
        <w:rPr>
          <w:rStyle w:val="OtherTok"/>
        </w:rPr>
        <w:t xml:space="preserve">,</w:t>
      </w:r>
      <w:r>
        <w:br/>
      </w:r>
      <w:r>
        <w:rPr>
          <w:rStyle w:val="NormalTok"/>
        </w:rPr>
        <w:t xml:space="preserve">          </w:t>
      </w:r>
      <w:r>
        <w:rPr>
          <w:rStyle w:val="StringTok"/>
        </w:rPr>
        <w:t xml:space="preserve">"exchangeMetadata"</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"byte"</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"exchangeMetadata"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"#/components/schemas/SECOM_ExchangeMetadataObject"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"ackRequest"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"DigitalSignatureValue"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"digitalSignature"</w:t>
      </w:r>
      <w:r>
        <w:rPr>
          <w:rStyle w:val="OtherTok"/>
        </w:rPr>
        <w:t xml:space="preserve">,</w:t>
      </w:r>
      <w:r>
        <w:br/>
      </w:r>
      <w:r>
        <w:rPr>
          <w:rStyle w:val="NormalTok"/>
        </w:rPr>
        <w:t xml:space="preserve">          </w:t>
      </w:r>
      <w:r>
        <w:rPr>
          <w:rStyle w:val="StringTok"/>
        </w:rPr>
        <w:t xml:space="preserve">"publicCertificate"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"publicRootCertificateThumbprint"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"publicCertificate"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"digitalSignature"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"GetResponseObject"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"pagination"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"#/components/schemas/DataResponseObject"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"array"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"#/components/schemas/PaginationObject"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"responseText"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"PaginationObject"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"maxItemsPerPage"</w:t>
      </w:r>
      <w:r>
        <w:rPr>
          <w:rStyle w:val="OtherTok"/>
        </w:rPr>
        <w:t xml:space="preserve">,</w:t>
      </w:r>
      <w:r>
        <w:br/>
      </w:r>
      <w:r>
        <w:rPr>
          <w:rStyle w:val="NormalTok"/>
        </w:rPr>
        <w:t xml:space="preserve">          </w:t>
      </w:r>
      <w:r>
        <w:rPr>
          <w:rStyle w:val="StringTok"/>
        </w:rPr>
        <w:t xml:space="preserve">"totalItems"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"maxItemsPerPage"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"SECOM_ExchangeMetadataObject"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"compressionFlag"</w:t>
      </w:r>
      <w:r>
        <w:rPr>
          <w:rStyle w:val="OtherTok"/>
        </w:rPr>
        <w:t xml:space="preserve">,</w:t>
      </w:r>
      <w:r>
        <w:br/>
      </w:r>
      <w:r>
        <w:rPr>
          <w:rStyle w:val="NormalTok"/>
        </w:rPr>
        <w:t xml:space="preserve">          </w:t>
      </w:r>
      <w:r>
        <w:rPr>
          <w:rStyle w:val="StringTok"/>
        </w:rPr>
        <w:t xml:space="preserve">"dataProtection"</w:t>
      </w:r>
      <w:r>
        <w:rPr>
          <w:rStyle w:val="OtherTok"/>
        </w:rPr>
        <w:t xml:space="preserve">,</w:t>
      </w:r>
      <w:r>
        <w:br/>
      </w:r>
      <w:r>
        <w:rPr>
          <w:rStyle w:val="NormalTok"/>
        </w:rPr>
        <w:t xml:space="preserve">          </w:t>
      </w:r>
      <w:r>
        <w:rPr>
          <w:rStyle w:val="StringTok"/>
        </w:rPr>
        <w:t xml:space="preserve">"digitalSignatureReference"</w:t>
      </w:r>
      <w:r>
        <w:rPr>
          <w:rStyle w:val="OtherTok"/>
        </w:rPr>
        <w:t xml:space="preserve">,</w:t>
      </w:r>
      <w:r>
        <w:br/>
      </w:r>
      <w:r>
        <w:rPr>
          <w:rStyle w:val="NormalTok"/>
        </w:rPr>
        <w:t xml:space="preserve">          </w:t>
      </w:r>
      <w:r>
        <w:rPr>
          <w:rStyle w:val="StringTok"/>
        </w:rPr>
        <w:t xml:space="preserve">"digitalSignatureValue"</w:t>
      </w:r>
      <w:r>
        <w:rPr>
          <w:rStyle w:val="OtherTok"/>
        </w:rPr>
        <w:t xml:space="preserve">,</w:t>
      </w:r>
      <w:r>
        <w:br/>
      </w:r>
      <w:r>
        <w:rPr>
          <w:rStyle w:val="NormalTok"/>
        </w:rPr>
        <w:t xml:space="preserve">          </w:t>
      </w:r>
      <w:r>
        <w:rPr>
          <w:rStyle w:val="StringTok"/>
        </w:rPr>
        <w:t xml:space="preserve">"protectionScheme"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"dataProtection"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"protectionScheme"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"digitalSignatureReference"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"dsa"</w:t>
      </w:r>
      <w:r>
        <w:rPr>
          <w:rStyle w:val="OtherTok"/>
        </w:rPr>
        <w:t xml:space="preserve">,</w:t>
      </w:r>
      <w:r>
        <w:br/>
      </w:r>
      <w:r>
        <w:rPr>
          <w:rStyle w:val="NormalTok"/>
        </w:rPr>
        <w:t xml:space="preserve">              </w:t>
      </w:r>
      <w:r>
        <w:rPr>
          <w:rStyle w:val="StringTok"/>
        </w:rPr>
        <w:t xml:space="preserve">"ecdsa-256-sha2-256"</w:t>
      </w:r>
      <w:r>
        <w:rPr>
          <w:rStyle w:val="OtherTok"/>
        </w:rPr>
        <w:t xml:space="preserve">,</w:t>
      </w:r>
      <w:r>
        <w:br/>
      </w:r>
      <w:r>
        <w:rPr>
          <w:rStyle w:val="NormalTok"/>
        </w:rPr>
        <w:t xml:space="preserve">              </w:t>
      </w:r>
      <w:r>
        <w:rPr>
          <w:rStyle w:val="StringTok"/>
        </w:rPr>
        <w:t xml:space="preserve">"ecdsa-256-sha3-256"</w:t>
      </w:r>
      <w:r>
        <w:rPr>
          <w:rStyle w:val="OtherTok"/>
        </w:rPr>
        <w:t xml:space="preserve">,</w:t>
      </w:r>
      <w:r>
        <w:br/>
      </w:r>
      <w:r>
        <w:rPr>
          <w:rStyle w:val="NormalTok"/>
        </w:rPr>
        <w:t xml:space="preserve">              </w:t>
      </w:r>
      <w:r>
        <w:rPr>
          <w:rStyle w:val="StringTok"/>
        </w:rPr>
        <w:t xml:space="preserve">"ecdsa-384-sha2"</w:t>
      </w:r>
      <w:r>
        <w:rPr>
          <w:rStyle w:val="OtherTok"/>
        </w:rPr>
        <w:t xml:space="preserve">,</w:t>
      </w:r>
      <w:r>
        <w:br/>
      </w:r>
      <w:r>
        <w:rPr>
          <w:rStyle w:val="NormalTok"/>
        </w:rPr>
        <w:t xml:space="preserve">              </w:t>
      </w:r>
      <w:r>
        <w:rPr>
          <w:rStyle w:val="StringTok"/>
        </w:rPr>
        <w:t xml:space="preserve">"ecdsa-384-sha3"</w:t>
      </w:r>
      <w:r>
        <w:rPr>
          <w:rStyle w:val="OtherTok"/>
        </w:rPr>
        <w:t xml:space="preserve">,</w:t>
      </w:r>
      <w:r>
        <w:br/>
      </w:r>
      <w:r>
        <w:rPr>
          <w:rStyle w:val="NormalTok"/>
        </w:rPr>
        <w:t xml:space="preserve">              </w:t>
      </w:r>
      <w:r>
        <w:rPr>
          <w:rStyle w:val="StringTok"/>
        </w:rPr>
        <w:t xml:space="preserve">"cvc_ecdsa"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"digitalSignatureValue"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"#/components/schemas/DigitalSignatureValue"</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"compressionFlag"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"GetSummaryResponseObject"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"pagination"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"#/components/schemas/SummaryObject"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"array"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"#/components/schemas/PaginationObject"</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"responseText"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"SummaryObject"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"containerType"</w:t>
      </w:r>
      <w:r>
        <w:rPr>
          <w:rStyle w:val="OtherTok"/>
        </w:rPr>
        <w:t xml:space="preserve">,</w:t>
      </w:r>
      <w:r>
        <w:br/>
      </w:r>
      <w:r>
        <w:rPr>
          <w:rStyle w:val="NormalTok"/>
        </w:rPr>
        <w:t xml:space="preserve">          </w:t>
      </w:r>
      <w:r>
        <w:rPr>
          <w:rStyle w:val="StringTok"/>
        </w:rPr>
        <w:t xml:space="preserve">"dataCompression"</w:t>
      </w:r>
      <w:r>
        <w:rPr>
          <w:rStyle w:val="OtherTok"/>
        </w:rPr>
        <w:t xml:space="preserve">,</w:t>
      </w:r>
      <w:r>
        <w:br/>
      </w:r>
      <w:r>
        <w:rPr>
          <w:rStyle w:val="NormalTok"/>
        </w:rPr>
        <w:t xml:space="preserve">          </w:t>
      </w:r>
      <w:r>
        <w:rPr>
          <w:rStyle w:val="StringTok"/>
        </w:rPr>
        <w:t xml:space="preserve">"dataProductType"</w:t>
      </w:r>
      <w:r>
        <w:rPr>
          <w:rStyle w:val="OtherTok"/>
        </w:rPr>
        <w:t xml:space="preserve">,</w:t>
      </w:r>
      <w:r>
        <w:br/>
      </w:r>
      <w:r>
        <w:rPr>
          <w:rStyle w:val="NormalTok"/>
        </w:rPr>
        <w:t xml:space="preserve">          </w:t>
      </w:r>
      <w:r>
        <w:rPr>
          <w:rStyle w:val="StringTok"/>
        </w:rPr>
        <w:t xml:space="preserve">"dataProtection"</w:t>
      </w:r>
      <w:r>
        <w:rPr>
          <w:rStyle w:val="OtherTok"/>
        </w:rPr>
        <w:t xml:space="preserve">,</w:t>
      </w:r>
      <w:r>
        <w:br/>
      </w:r>
      <w:r>
        <w:rPr>
          <w:rStyle w:val="NormalTok"/>
        </w:rPr>
        <w:t xml:space="preserve">          </w:t>
      </w:r>
      <w:r>
        <w:rPr>
          <w:rStyle w:val="StringTok"/>
        </w:rPr>
        <w:t xml:space="preserve">"dataReference"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"dataProtection"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"dataCompression"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"boolean"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"containerType"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"dataProductType"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"OTHER"</w:t>
      </w:r>
      <w:r>
        <w:rPr>
          <w:rStyle w:val="OtherTok"/>
        </w:rPr>
        <w:t xml:space="preserve">,</w:t>
      </w:r>
      <w:r>
        <w:br/>
      </w:r>
      <w:r>
        <w:rPr>
          <w:rStyle w:val="NormalTok"/>
        </w:rPr>
        <w:t xml:space="preserve">              </w:t>
      </w:r>
      <w:r>
        <w:rPr>
          <w:rStyle w:val="StringTok"/>
        </w:rPr>
        <w:t xml:space="preserve">"S57"</w:t>
      </w:r>
      <w:r>
        <w:rPr>
          <w:rStyle w:val="OtherTok"/>
        </w:rPr>
        <w:t xml:space="preserve">,</w:t>
      </w:r>
      <w:r>
        <w:br/>
      </w:r>
      <w:r>
        <w:rPr>
          <w:rStyle w:val="NormalTok"/>
        </w:rPr>
        <w:t xml:space="preserve">              </w:t>
      </w:r>
      <w:r>
        <w:rPr>
          <w:rStyle w:val="StringTok"/>
        </w:rPr>
        <w:t xml:space="preserve">"S101"</w:t>
      </w:r>
      <w:r>
        <w:rPr>
          <w:rStyle w:val="OtherTok"/>
        </w:rPr>
        <w:t xml:space="preserve">,</w:t>
      </w:r>
      <w:r>
        <w:br/>
      </w:r>
      <w:r>
        <w:rPr>
          <w:rStyle w:val="NormalTok"/>
        </w:rPr>
        <w:t xml:space="preserve">              </w:t>
      </w:r>
      <w:r>
        <w:rPr>
          <w:rStyle w:val="StringTok"/>
        </w:rPr>
        <w:t xml:space="preserve">"S102"</w:t>
      </w:r>
      <w:r>
        <w:rPr>
          <w:rStyle w:val="OtherTok"/>
        </w:rPr>
        <w:t xml:space="preserve">,</w:t>
      </w:r>
      <w:r>
        <w:br/>
      </w:r>
      <w:r>
        <w:rPr>
          <w:rStyle w:val="NormalTok"/>
        </w:rPr>
        <w:t xml:space="preserve">              </w:t>
      </w:r>
      <w:r>
        <w:rPr>
          <w:rStyle w:val="StringTok"/>
        </w:rPr>
        <w:t xml:space="preserve">"S104"</w:t>
      </w:r>
      <w:r>
        <w:rPr>
          <w:rStyle w:val="OtherTok"/>
        </w:rPr>
        <w:t xml:space="preserve">,</w:t>
      </w:r>
      <w:r>
        <w:br/>
      </w:r>
      <w:r>
        <w:rPr>
          <w:rStyle w:val="NormalTok"/>
        </w:rPr>
        <w:t xml:space="preserve">              </w:t>
      </w:r>
      <w:r>
        <w:rPr>
          <w:rStyle w:val="StringTok"/>
        </w:rPr>
        <w:t xml:space="preserve">"S111"</w:t>
      </w:r>
      <w:r>
        <w:rPr>
          <w:rStyle w:val="OtherTok"/>
        </w:rPr>
        <w:t xml:space="preserve">,</w:t>
      </w:r>
      <w:r>
        <w:br/>
      </w:r>
      <w:r>
        <w:rPr>
          <w:rStyle w:val="NormalTok"/>
        </w:rPr>
        <w:t xml:space="preserve">              </w:t>
      </w:r>
      <w:r>
        <w:rPr>
          <w:rStyle w:val="StringTok"/>
        </w:rPr>
        <w:t xml:space="preserve">"S122"</w:t>
      </w:r>
      <w:r>
        <w:rPr>
          <w:rStyle w:val="OtherTok"/>
        </w:rPr>
        <w:t xml:space="preserve">,</w:t>
      </w:r>
      <w:r>
        <w:br/>
      </w:r>
      <w:r>
        <w:rPr>
          <w:rStyle w:val="NormalTok"/>
        </w:rPr>
        <w:t xml:space="preserve">              </w:t>
      </w:r>
      <w:r>
        <w:rPr>
          <w:rStyle w:val="StringTok"/>
        </w:rPr>
        <w:t xml:space="preserve">"S123"</w:t>
      </w:r>
      <w:r>
        <w:rPr>
          <w:rStyle w:val="OtherTok"/>
        </w:rPr>
        <w:t xml:space="preserve">,</w:t>
      </w:r>
      <w:r>
        <w:br/>
      </w:r>
      <w:r>
        <w:rPr>
          <w:rStyle w:val="NormalTok"/>
        </w:rPr>
        <w:t xml:space="preserve">              </w:t>
      </w:r>
      <w:r>
        <w:rPr>
          <w:rStyle w:val="StringTok"/>
        </w:rPr>
        <w:t xml:space="preserve">"S124"</w:t>
      </w:r>
      <w:r>
        <w:rPr>
          <w:rStyle w:val="OtherTok"/>
        </w:rPr>
        <w:t xml:space="preserve">,</w:t>
      </w:r>
      <w:r>
        <w:br/>
      </w:r>
      <w:r>
        <w:rPr>
          <w:rStyle w:val="NormalTok"/>
        </w:rPr>
        <w:t xml:space="preserve">              </w:t>
      </w:r>
      <w:r>
        <w:rPr>
          <w:rStyle w:val="StringTok"/>
        </w:rPr>
        <w:t xml:space="preserve">"S125"</w:t>
      </w:r>
      <w:r>
        <w:rPr>
          <w:rStyle w:val="OtherTok"/>
        </w:rPr>
        <w:t xml:space="preserve">,</w:t>
      </w:r>
      <w:r>
        <w:br/>
      </w:r>
      <w:r>
        <w:rPr>
          <w:rStyle w:val="NormalTok"/>
        </w:rPr>
        <w:t xml:space="preserve">              </w:t>
      </w:r>
      <w:r>
        <w:rPr>
          <w:rStyle w:val="StringTok"/>
        </w:rPr>
        <w:t xml:space="preserve">"S126"</w:t>
      </w:r>
      <w:r>
        <w:rPr>
          <w:rStyle w:val="OtherTok"/>
        </w:rPr>
        <w:t xml:space="preserve">,</w:t>
      </w:r>
      <w:r>
        <w:br/>
      </w:r>
      <w:r>
        <w:rPr>
          <w:rStyle w:val="NormalTok"/>
        </w:rPr>
        <w:t xml:space="preserve">              </w:t>
      </w:r>
      <w:r>
        <w:rPr>
          <w:rStyle w:val="StringTok"/>
        </w:rPr>
        <w:t xml:space="preserve">"S127"</w:t>
      </w:r>
      <w:r>
        <w:rPr>
          <w:rStyle w:val="OtherTok"/>
        </w:rPr>
        <w:t xml:space="preserve">,</w:t>
      </w:r>
      <w:r>
        <w:br/>
      </w:r>
      <w:r>
        <w:rPr>
          <w:rStyle w:val="NormalTok"/>
        </w:rPr>
        <w:t xml:space="preserve">              </w:t>
      </w:r>
      <w:r>
        <w:rPr>
          <w:rStyle w:val="StringTok"/>
        </w:rPr>
        <w:t xml:space="preserve">"S128"</w:t>
      </w:r>
      <w:r>
        <w:rPr>
          <w:rStyle w:val="OtherTok"/>
        </w:rPr>
        <w:t xml:space="preserve">,</w:t>
      </w:r>
      <w:r>
        <w:br/>
      </w:r>
      <w:r>
        <w:rPr>
          <w:rStyle w:val="NormalTok"/>
        </w:rPr>
        <w:t xml:space="preserve">              </w:t>
      </w:r>
      <w:r>
        <w:rPr>
          <w:rStyle w:val="StringTok"/>
        </w:rPr>
        <w:t xml:space="preserve">"S129"</w:t>
      </w:r>
      <w:r>
        <w:rPr>
          <w:rStyle w:val="OtherTok"/>
        </w:rPr>
        <w:t xml:space="preserve">,</w:t>
      </w:r>
      <w:r>
        <w:br/>
      </w:r>
      <w:r>
        <w:rPr>
          <w:rStyle w:val="NormalTok"/>
        </w:rPr>
        <w:t xml:space="preserve">              </w:t>
      </w:r>
      <w:r>
        <w:rPr>
          <w:rStyle w:val="StringTok"/>
        </w:rPr>
        <w:t xml:space="preserve">"S131"</w:t>
      </w:r>
      <w:r>
        <w:rPr>
          <w:rStyle w:val="OtherTok"/>
        </w:rPr>
        <w:t xml:space="preserve">,</w:t>
      </w:r>
      <w:r>
        <w:br/>
      </w:r>
      <w:r>
        <w:rPr>
          <w:rStyle w:val="NormalTok"/>
        </w:rPr>
        <w:t xml:space="preserve">              </w:t>
      </w:r>
      <w:r>
        <w:rPr>
          <w:rStyle w:val="StringTok"/>
        </w:rPr>
        <w:t xml:space="preserve">"S201"</w:t>
      </w:r>
      <w:r>
        <w:rPr>
          <w:rStyle w:val="OtherTok"/>
        </w:rPr>
        <w:t xml:space="preserve">,</w:t>
      </w:r>
      <w:r>
        <w:br/>
      </w:r>
      <w:r>
        <w:rPr>
          <w:rStyle w:val="NormalTok"/>
        </w:rPr>
        <w:t xml:space="preserve">              </w:t>
      </w:r>
      <w:r>
        <w:rPr>
          <w:rStyle w:val="StringTok"/>
        </w:rPr>
        <w:t xml:space="preserve">"S210"</w:t>
      </w:r>
      <w:r>
        <w:rPr>
          <w:rStyle w:val="OtherTok"/>
        </w:rPr>
        <w:t xml:space="preserve">,</w:t>
      </w:r>
      <w:r>
        <w:br/>
      </w:r>
      <w:r>
        <w:rPr>
          <w:rStyle w:val="NormalTok"/>
        </w:rPr>
        <w:t xml:space="preserve">              </w:t>
      </w:r>
      <w:r>
        <w:rPr>
          <w:rStyle w:val="StringTok"/>
        </w:rPr>
        <w:t xml:space="preserve">"S211"</w:t>
      </w:r>
      <w:r>
        <w:rPr>
          <w:rStyle w:val="OtherTok"/>
        </w:rPr>
        <w:t xml:space="preserve">,</w:t>
      </w:r>
      <w:r>
        <w:br/>
      </w:r>
      <w:r>
        <w:rPr>
          <w:rStyle w:val="NormalTok"/>
        </w:rPr>
        <w:t xml:space="preserve">              </w:t>
      </w:r>
      <w:r>
        <w:rPr>
          <w:rStyle w:val="StringTok"/>
        </w:rPr>
        <w:t xml:space="preserve">"S212"</w:t>
      </w:r>
      <w:r>
        <w:rPr>
          <w:rStyle w:val="OtherTok"/>
        </w:rPr>
        <w:t xml:space="preserve">,</w:t>
      </w:r>
      <w:r>
        <w:br/>
      </w:r>
      <w:r>
        <w:rPr>
          <w:rStyle w:val="NormalTok"/>
        </w:rPr>
        <w:t xml:space="preserve">              </w:t>
      </w:r>
      <w:r>
        <w:rPr>
          <w:rStyle w:val="StringTok"/>
        </w:rPr>
        <w:t xml:space="preserve">"S401"</w:t>
      </w:r>
      <w:r>
        <w:rPr>
          <w:rStyle w:val="OtherTok"/>
        </w:rPr>
        <w:t xml:space="preserve">,</w:t>
      </w:r>
      <w:r>
        <w:br/>
      </w:r>
      <w:r>
        <w:rPr>
          <w:rStyle w:val="NormalTok"/>
        </w:rPr>
        <w:t xml:space="preserve">              </w:t>
      </w:r>
      <w:r>
        <w:rPr>
          <w:rStyle w:val="StringTok"/>
        </w:rPr>
        <w:t xml:space="preserve">"S402"</w:t>
      </w:r>
      <w:r>
        <w:rPr>
          <w:rStyle w:val="OtherTok"/>
        </w:rPr>
        <w:t xml:space="preserve">,</w:t>
      </w:r>
      <w:r>
        <w:br/>
      </w:r>
      <w:r>
        <w:rPr>
          <w:rStyle w:val="NormalTok"/>
        </w:rPr>
        <w:t xml:space="preserve">              </w:t>
      </w:r>
      <w:r>
        <w:rPr>
          <w:rStyle w:val="StringTok"/>
        </w:rPr>
        <w:t xml:space="preserve">"S411"</w:t>
      </w:r>
      <w:r>
        <w:rPr>
          <w:rStyle w:val="OtherTok"/>
        </w:rPr>
        <w:t xml:space="preserve">,</w:t>
      </w:r>
      <w:r>
        <w:br/>
      </w:r>
      <w:r>
        <w:rPr>
          <w:rStyle w:val="NormalTok"/>
        </w:rPr>
        <w:t xml:space="preserve">              </w:t>
      </w:r>
      <w:r>
        <w:rPr>
          <w:rStyle w:val="StringTok"/>
        </w:rPr>
        <w:t xml:space="preserve">"S412"</w:t>
      </w:r>
      <w:r>
        <w:rPr>
          <w:rStyle w:val="OtherTok"/>
        </w:rPr>
        <w:t xml:space="preserve">,</w:t>
      </w:r>
      <w:r>
        <w:br/>
      </w:r>
      <w:r>
        <w:rPr>
          <w:rStyle w:val="NormalTok"/>
        </w:rPr>
        <w:t xml:space="preserve">              </w:t>
      </w:r>
      <w:r>
        <w:rPr>
          <w:rStyle w:val="StringTok"/>
        </w:rPr>
        <w:t xml:space="preserve">"S413"</w:t>
      </w:r>
      <w:r>
        <w:rPr>
          <w:rStyle w:val="OtherTok"/>
        </w:rPr>
        <w:t xml:space="preserve">,</w:t>
      </w:r>
      <w:r>
        <w:br/>
      </w:r>
      <w:r>
        <w:rPr>
          <w:rStyle w:val="NormalTok"/>
        </w:rPr>
        <w:t xml:space="preserve">              </w:t>
      </w:r>
      <w:r>
        <w:rPr>
          <w:rStyle w:val="StringTok"/>
        </w:rPr>
        <w:t xml:space="preserve">"S414"</w:t>
      </w:r>
      <w:r>
        <w:rPr>
          <w:rStyle w:val="OtherTok"/>
        </w:rPr>
        <w:t xml:space="preserve">,</w:t>
      </w:r>
      <w:r>
        <w:br/>
      </w:r>
      <w:r>
        <w:rPr>
          <w:rStyle w:val="NormalTok"/>
        </w:rPr>
        <w:t xml:space="preserve">              </w:t>
      </w:r>
      <w:r>
        <w:rPr>
          <w:rStyle w:val="StringTok"/>
        </w:rPr>
        <w:t xml:space="preserve">"S421"</w:t>
      </w:r>
      <w:r>
        <w:rPr>
          <w:rStyle w:val="OtherTok"/>
        </w:rPr>
        <w:t xml:space="preserve">,</w:t>
      </w:r>
      <w:r>
        <w:br/>
      </w:r>
      <w:r>
        <w:rPr>
          <w:rStyle w:val="NormalTok"/>
        </w:rPr>
        <w:t xml:space="preserve">              </w:t>
      </w:r>
      <w:r>
        <w:rPr>
          <w:rStyle w:val="StringTok"/>
        </w:rPr>
        <w:t xml:space="preserve">"RTZ"</w:t>
      </w:r>
      <w:r>
        <w:rPr>
          <w:rStyle w:val="OtherTok"/>
        </w:rPr>
        <w:t xml:space="preserve">,</w:t>
      </w:r>
      <w:r>
        <w:br/>
      </w:r>
      <w:r>
        <w:rPr>
          <w:rStyle w:val="NormalTok"/>
        </w:rPr>
        <w:t xml:space="preserve">              </w:t>
      </w:r>
      <w:r>
        <w:rPr>
          <w:rStyle w:val="StringTok"/>
        </w:rPr>
        <w:t xml:space="preserve">"EPC"</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"info_lastModifiedDate"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last modified date-time"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"19850412T101530"</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"info_productVersion"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"info_size"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"int64"</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"PingResponseObject"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"lastPrivateInteractionTime"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last private interaction date-time"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"19850412T101530"</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"RemoveSubscriptionResponseObject"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"RemoveSubscriptionObject"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"subscriptionIdentifier"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"subscriptionIdentifier"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"SubscriptionResponseObject"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"subscriptionIdentifier"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"SubscriptionRequestObject"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"containerType"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"int32"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"dataProductType"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"OTHER"</w:t>
      </w:r>
      <w:r>
        <w:rPr>
          <w:rStyle w:val="OtherTok"/>
        </w:rPr>
        <w:t xml:space="preserve">,</w:t>
      </w:r>
      <w:r>
        <w:br/>
      </w:r>
      <w:r>
        <w:rPr>
          <w:rStyle w:val="NormalTok"/>
        </w:rPr>
        <w:t xml:space="preserve">              </w:t>
      </w:r>
      <w:r>
        <w:rPr>
          <w:rStyle w:val="StringTok"/>
        </w:rPr>
        <w:t xml:space="preserve">"S57"</w:t>
      </w:r>
      <w:r>
        <w:rPr>
          <w:rStyle w:val="OtherTok"/>
        </w:rPr>
        <w:t xml:space="preserve">,</w:t>
      </w:r>
      <w:r>
        <w:br/>
      </w:r>
      <w:r>
        <w:rPr>
          <w:rStyle w:val="NormalTok"/>
        </w:rPr>
        <w:t xml:space="preserve">              </w:t>
      </w:r>
      <w:r>
        <w:rPr>
          <w:rStyle w:val="StringTok"/>
        </w:rPr>
        <w:t xml:space="preserve">"S101"</w:t>
      </w:r>
      <w:r>
        <w:rPr>
          <w:rStyle w:val="OtherTok"/>
        </w:rPr>
        <w:t xml:space="preserve">,</w:t>
      </w:r>
      <w:r>
        <w:br/>
      </w:r>
      <w:r>
        <w:rPr>
          <w:rStyle w:val="NormalTok"/>
        </w:rPr>
        <w:t xml:space="preserve">              </w:t>
      </w:r>
      <w:r>
        <w:rPr>
          <w:rStyle w:val="StringTok"/>
        </w:rPr>
        <w:t xml:space="preserve">"S102"</w:t>
      </w:r>
      <w:r>
        <w:rPr>
          <w:rStyle w:val="OtherTok"/>
        </w:rPr>
        <w:t xml:space="preserve">,</w:t>
      </w:r>
      <w:r>
        <w:br/>
      </w:r>
      <w:r>
        <w:rPr>
          <w:rStyle w:val="NormalTok"/>
        </w:rPr>
        <w:t xml:space="preserve">              </w:t>
      </w:r>
      <w:r>
        <w:rPr>
          <w:rStyle w:val="StringTok"/>
        </w:rPr>
        <w:t xml:space="preserve">"S104"</w:t>
      </w:r>
      <w:r>
        <w:rPr>
          <w:rStyle w:val="OtherTok"/>
        </w:rPr>
        <w:t xml:space="preserve">,</w:t>
      </w:r>
      <w:r>
        <w:br/>
      </w:r>
      <w:r>
        <w:rPr>
          <w:rStyle w:val="NormalTok"/>
        </w:rPr>
        <w:t xml:space="preserve">              </w:t>
      </w:r>
      <w:r>
        <w:rPr>
          <w:rStyle w:val="StringTok"/>
        </w:rPr>
        <w:t xml:space="preserve">"S111"</w:t>
      </w:r>
      <w:r>
        <w:rPr>
          <w:rStyle w:val="OtherTok"/>
        </w:rPr>
        <w:t xml:space="preserve">,</w:t>
      </w:r>
      <w:r>
        <w:br/>
      </w:r>
      <w:r>
        <w:rPr>
          <w:rStyle w:val="NormalTok"/>
        </w:rPr>
        <w:t xml:space="preserve">              </w:t>
      </w:r>
      <w:r>
        <w:rPr>
          <w:rStyle w:val="StringTok"/>
        </w:rPr>
        <w:t xml:space="preserve">"S122"</w:t>
      </w:r>
      <w:r>
        <w:rPr>
          <w:rStyle w:val="OtherTok"/>
        </w:rPr>
        <w:t xml:space="preserve">,</w:t>
      </w:r>
      <w:r>
        <w:br/>
      </w:r>
      <w:r>
        <w:rPr>
          <w:rStyle w:val="NormalTok"/>
        </w:rPr>
        <w:t xml:space="preserve">              </w:t>
      </w:r>
      <w:r>
        <w:rPr>
          <w:rStyle w:val="StringTok"/>
        </w:rPr>
        <w:t xml:space="preserve">"S123"</w:t>
      </w:r>
      <w:r>
        <w:rPr>
          <w:rStyle w:val="OtherTok"/>
        </w:rPr>
        <w:t xml:space="preserve">,</w:t>
      </w:r>
      <w:r>
        <w:br/>
      </w:r>
      <w:r>
        <w:rPr>
          <w:rStyle w:val="NormalTok"/>
        </w:rPr>
        <w:t xml:space="preserve">              </w:t>
      </w:r>
      <w:r>
        <w:rPr>
          <w:rStyle w:val="StringTok"/>
        </w:rPr>
        <w:t xml:space="preserve">"S124"</w:t>
      </w:r>
      <w:r>
        <w:rPr>
          <w:rStyle w:val="OtherTok"/>
        </w:rPr>
        <w:t xml:space="preserve">,</w:t>
      </w:r>
      <w:r>
        <w:br/>
      </w:r>
      <w:r>
        <w:rPr>
          <w:rStyle w:val="NormalTok"/>
        </w:rPr>
        <w:t xml:space="preserve">              </w:t>
      </w:r>
      <w:r>
        <w:rPr>
          <w:rStyle w:val="StringTok"/>
        </w:rPr>
        <w:t xml:space="preserve">"S125"</w:t>
      </w:r>
      <w:r>
        <w:rPr>
          <w:rStyle w:val="OtherTok"/>
        </w:rPr>
        <w:t xml:space="preserve">,</w:t>
      </w:r>
      <w:r>
        <w:br/>
      </w:r>
      <w:r>
        <w:rPr>
          <w:rStyle w:val="NormalTok"/>
        </w:rPr>
        <w:t xml:space="preserve">              </w:t>
      </w:r>
      <w:r>
        <w:rPr>
          <w:rStyle w:val="StringTok"/>
        </w:rPr>
        <w:t xml:space="preserve">"S126"</w:t>
      </w:r>
      <w:r>
        <w:rPr>
          <w:rStyle w:val="OtherTok"/>
        </w:rPr>
        <w:t xml:space="preserve">,</w:t>
      </w:r>
      <w:r>
        <w:br/>
      </w:r>
      <w:r>
        <w:rPr>
          <w:rStyle w:val="NormalTok"/>
        </w:rPr>
        <w:t xml:space="preserve">              </w:t>
      </w:r>
      <w:r>
        <w:rPr>
          <w:rStyle w:val="StringTok"/>
        </w:rPr>
        <w:t xml:space="preserve">"S127"</w:t>
      </w:r>
      <w:r>
        <w:rPr>
          <w:rStyle w:val="OtherTok"/>
        </w:rPr>
        <w:t xml:space="preserve">,</w:t>
      </w:r>
      <w:r>
        <w:br/>
      </w:r>
      <w:r>
        <w:rPr>
          <w:rStyle w:val="NormalTok"/>
        </w:rPr>
        <w:t xml:space="preserve">              </w:t>
      </w:r>
      <w:r>
        <w:rPr>
          <w:rStyle w:val="StringTok"/>
        </w:rPr>
        <w:t xml:space="preserve">"S128"</w:t>
      </w:r>
      <w:r>
        <w:rPr>
          <w:rStyle w:val="OtherTok"/>
        </w:rPr>
        <w:t xml:space="preserve">,</w:t>
      </w:r>
      <w:r>
        <w:br/>
      </w:r>
      <w:r>
        <w:rPr>
          <w:rStyle w:val="NormalTok"/>
        </w:rPr>
        <w:t xml:space="preserve">              </w:t>
      </w:r>
      <w:r>
        <w:rPr>
          <w:rStyle w:val="StringTok"/>
        </w:rPr>
        <w:t xml:space="preserve">"S129"</w:t>
      </w:r>
      <w:r>
        <w:rPr>
          <w:rStyle w:val="OtherTok"/>
        </w:rPr>
        <w:t xml:space="preserve">,</w:t>
      </w:r>
      <w:r>
        <w:br/>
      </w:r>
      <w:r>
        <w:rPr>
          <w:rStyle w:val="NormalTok"/>
        </w:rPr>
        <w:t xml:space="preserve">              </w:t>
      </w:r>
      <w:r>
        <w:rPr>
          <w:rStyle w:val="StringTok"/>
        </w:rPr>
        <w:t xml:space="preserve">"S131"</w:t>
      </w:r>
      <w:r>
        <w:rPr>
          <w:rStyle w:val="OtherTok"/>
        </w:rPr>
        <w:t xml:space="preserve">,</w:t>
      </w:r>
      <w:r>
        <w:br/>
      </w:r>
      <w:r>
        <w:rPr>
          <w:rStyle w:val="NormalTok"/>
        </w:rPr>
        <w:t xml:space="preserve">              </w:t>
      </w:r>
      <w:r>
        <w:rPr>
          <w:rStyle w:val="StringTok"/>
        </w:rPr>
        <w:t xml:space="preserve">"S201"</w:t>
      </w:r>
      <w:r>
        <w:rPr>
          <w:rStyle w:val="OtherTok"/>
        </w:rPr>
        <w:t xml:space="preserve">,</w:t>
      </w:r>
      <w:r>
        <w:br/>
      </w:r>
      <w:r>
        <w:rPr>
          <w:rStyle w:val="NormalTok"/>
        </w:rPr>
        <w:t xml:space="preserve">              </w:t>
      </w:r>
      <w:r>
        <w:rPr>
          <w:rStyle w:val="StringTok"/>
        </w:rPr>
        <w:t xml:space="preserve">"S210"</w:t>
      </w:r>
      <w:r>
        <w:rPr>
          <w:rStyle w:val="OtherTok"/>
        </w:rPr>
        <w:t xml:space="preserve">,</w:t>
      </w:r>
      <w:r>
        <w:br/>
      </w:r>
      <w:r>
        <w:rPr>
          <w:rStyle w:val="NormalTok"/>
        </w:rPr>
        <w:t xml:space="preserve">              </w:t>
      </w:r>
      <w:r>
        <w:rPr>
          <w:rStyle w:val="StringTok"/>
        </w:rPr>
        <w:t xml:space="preserve">"S211"</w:t>
      </w:r>
      <w:r>
        <w:rPr>
          <w:rStyle w:val="OtherTok"/>
        </w:rPr>
        <w:t xml:space="preserve">,</w:t>
      </w:r>
      <w:r>
        <w:br/>
      </w:r>
      <w:r>
        <w:rPr>
          <w:rStyle w:val="NormalTok"/>
        </w:rPr>
        <w:t xml:space="preserve">              </w:t>
      </w:r>
      <w:r>
        <w:rPr>
          <w:rStyle w:val="StringTok"/>
        </w:rPr>
        <w:t xml:space="preserve">"S212"</w:t>
      </w:r>
      <w:r>
        <w:rPr>
          <w:rStyle w:val="OtherTok"/>
        </w:rPr>
        <w:t xml:space="preserve">,</w:t>
      </w:r>
      <w:r>
        <w:br/>
      </w:r>
      <w:r>
        <w:rPr>
          <w:rStyle w:val="NormalTok"/>
        </w:rPr>
        <w:t xml:space="preserve">              </w:t>
      </w:r>
      <w:r>
        <w:rPr>
          <w:rStyle w:val="StringTok"/>
        </w:rPr>
        <w:t xml:space="preserve">"S401"</w:t>
      </w:r>
      <w:r>
        <w:rPr>
          <w:rStyle w:val="OtherTok"/>
        </w:rPr>
        <w:t xml:space="preserve">,</w:t>
      </w:r>
      <w:r>
        <w:br/>
      </w:r>
      <w:r>
        <w:rPr>
          <w:rStyle w:val="NormalTok"/>
        </w:rPr>
        <w:t xml:space="preserve">              </w:t>
      </w:r>
      <w:r>
        <w:rPr>
          <w:rStyle w:val="StringTok"/>
        </w:rPr>
        <w:t xml:space="preserve">"S402"</w:t>
      </w:r>
      <w:r>
        <w:rPr>
          <w:rStyle w:val="OtherTok"/>
        </w:rPr>
        <w:t xml:space="preserve">,</w:t>
      </w:r>
      <w:r>
        <w:br/>
      </w:r>
      <w:r>
        <w:rPr>
          <w:rStyle w:val="NormalTok"/>
        </w:rPr>
        <w:t xml:space="preserve">              </w:t>
      </w:r>
      <w:r>
        <w:rPr>
          <w:rStyle w:val="StringTok"/>
        </w:rPr>
        <w:t xml:space="preserve">"S411"</w:t>
      </w:r>
      <w:r>
        <w:rPr>
          <w:rStyle w:val="OtherTok"/>
        </w:rPr>
        <w:t xml:space="preserve">,</w:t>
      </w:r>
      <w:r>
        <w:br/>
      </w:r>
      <w:r>
        <w:rPr>
          <w:rStyle w:val="NormalTok"/>
        </w:rPr>
        <w:t xml:space="preserve">              </w:t>
      </w:r>
      <w:r>
        <w:rPr>
          <w:rStyle w:val="StringTok"/>
        </w:rPr>
        <w:t xml:space="preserve">"S412"</w:t>
      </w:r>
      <w:r>
        <w:rPr>
          <w:rStyle w:val="OtherTok"/>
        </w:rPr>
        <w:t xml:space="preserve">,</w:t>
      </w:r>
      <w:r>
        <w:br/>
      </w:r>
      <w:r>
        <w:rPr>
          <w:rStyle w:val="NormalTok"/>
        </w:rPr>
        <w:t xml:space="preserve">              </w:t>
      </w:r>
      <w:r>
        <w:rPr>
          <w:rStyle w:val="StringTok"/>
        </w:rPr>
        <w:t xml:space="preserve">"S413"</w:t>
      </w:r>
      <w:r>
        <w:rPr>
          <w:rStyle w:val="OtherTok"/>
        </w:rPr>
        <w:t xml:space="preserve">,</w:t>
      </w:r>
      <w:r>
        <w:br/>
      </w:r>
      <w:r>
        <w:rPr>
          <w:rStyle w:val="NormalTok"/>
        </w:rPr>
        <w:t xml:space="preserve">              </w:t>
      </w:r>
      <w:r>
        <w:rPr>
          <w:rStyle w:val="StringTok"/>
        </w:rPr>
        <w:t xml:space="preserve">"S414"</w:t>
      </w:r>
      <w:r>
        <w:rPr>
          <w:rStyle w:val="OtherTok"/>
        </w:rPr>
        <w:t xml:space="preserve">,</w:t>
      </w:r>
      <w:r>
        <w:br/>
      </w:r>
      <w:r>
        <w:rPr>
          <w:rStyle w:val="NormalTok"/>
        </w:rPr>
        <w:t xml:space="preserve">              </w:t>
      </w:r>
      <w:r>
        <w:rPr>
          <w:rStyle w:val="StringTok"/>
        </w:rPr>
        <w:t xml:space="preserve">"S421"</w:t>
      </w:r>
      <w:r>
        <w:rPr>
          <w:rStyle w:val="OtherTok"/>
        </w:rPr>
        <w:t xml:space="preserve">,</w:t>
      </w:r>
      <w:r>
        <w:br/>
      </w:r>
      <w:r>
        <w:rPr>
          <w:rStyle w:val="NormalTok"/>
        </w:rPr>
        <w:t xml:space="preserve">              </w:t>
      </w:r>
      <w:r>
        <w:rPr>
          <w:rStyle w:val="StringTok"/>
        </w:rPr>
        <w:t xml:space="preserve">"RTZ"</w:t>
      </w:r>
      <w:r>
        <w:rPr>
          <w:rStyle w:val="OtherTok"/>
        </w:rPr>
        <w:t xml:space="preserve">,</w:t>
      </w:r>
      <w:r>
        <w:br/>
      </w:r>
      <w:r>
        <w:rPr>
          <w:rStyle w:val="NormalTok"/>
        </w:rPr>
        <w:t xml:space="preserve">              </w:t>
      </w:r>
      <w:r>
        <w:rPr>
          <w:rStyle w:val="StringTok"/>
        </w:rPr>
        <w:t xml:space="preserve">"EPC"</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w:t>
      </w:r>
      <w:r>
        <w:rPr>
          <w:rStyle w:val="CharTok"/>
        </w:rPr>
        <w:t xml:space="preserve">\\</w:t>
      </w:r>
      <w:r>
        <w:rPr>
          <w:rStyle w:val="StringTok"/>
        </w:rPr>
        <w:t xml:space="preserve">s*</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s*(-?</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s+-?</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s+-?</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s*(,</w:t>
      </w:r>
      <w:r>
        <w:rPr>
          <w:rStyle w:val="CharTok"/>
        </w:rPr>
        <w:t xml:space="preserve">\\</w:t>
      </w:r>
      <w:r>
        <w:rPr>
          <w:rStyle w:val="StringTok"/>
        </w:rPr>
        <w:t xml:space="preserve">s*(-?</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s+-?</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s+-?</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CharTok"/>
        </w:rPr>
        <w:t xml:space="preserve">\\</w:t>
      </w:r>
      <w:r>
        <w:rPr>
          <w:rStyle w:val="StringTok"/>
        </w:rPr>
        <w:t xml:space="preserve">s*)*</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subscription geometry"</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"POLYGON ((0.65 51.42, 0.65 52.26, 2.68 52.26, 2.68 51.42, 0.65 51.42))"</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"unlocode"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subscription area as UNLOCODE"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"GBHRW"</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"subscriptionPeriodStart"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subscription period start"</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"19850412T101530"</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"subscriptionPeriodEnd"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d{8})T(</w:t>
      </w:r>
      <w:r>
        <w:rPr>
          <w:rStyle w:val="CharTok"/>
        </w:rPr>
        <w:t xml:space="preserve">\\</w:t>
      </w:r>
      <w:r>
        <w:rPr>
          <w:rStyle w:val="StringTok"/>
        </w:rPr>
        <w:t xml:space="preserve">d{6})(Z|</w:t>
      </w:r>
      <w:r>
        <w:rPr>
          <w:rStyle w:val="CharTok"/>
        </w:rPr>
        <w:t xml:space="preserve">\\</w:t>
      </w:r>
      <w:r>
        <w:rPr>
          <w:rStyle w:val="StringTok"/>
        </w:rPr>
        <w:t xml:space="preserve">+</w:t>
      </w:r>
      <w:r>
        <w:rPr>
          <w:rStyle w:val="CharTok"/>
        </w:rPr>
        <w:t xml:space="preserve">\\</w:t>
      </w:r>
      <w:r>
        <w:rPr>
          <w:rStyle w:val="StringTok"/>
        </w:rPr>
        <w:t xml:space="preserve">d{4})?"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subscription period end"</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"19850412T101530"</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"exampleSetFlag"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br w:type="page"/>
      </w:r>
    </w:p>
    <w:bookmarkEnd w:id="171"/>
    <w:bookmarkStart w:id="172" w:name="sec:g1128-instance-desc"/>
    <w:p>
      <w:pPr>
        <w:pStyle w:val="Heading1"/>
      </w:pPr>
      <w:r>
        <w:t xml:space="preserve">Annex B. G1128 Instance Description XML Template</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NormalTok"/>
        </w:rPr>
        <w:t xml:space="preserve"> </w:t>
      </w:r>
      <w:r>
        <w:rPr>
          <w:rStyle w:val="OtherTok"/>
        </w:rPr>
        <w:t xml:space="preserve">standalone=</w:t>
      </w:r>
      <w:r>
        <w:rPr>
          <w:rStyle w:val="StringTok"/>
        </w:rPr>
        <w:t xml:space="preserve">"yes"</w:t>
      </w:r>
      <w:r>
        <w:rPr>
          <w:rStyle w:val="FunctionTok"/>
        </w:rPr>
        <w:t xml:space="preserve">?&gt;</w:t>
      </w:r>
      <w:r>
        <w:br/>
      </w:r>
      <w:r>
        <w:rPr>
          <w:rStyle w:val="NormalTok"/>
        </w:rPr>
        <w:t xml:space="preserve">&lt;</w:t>
      </w:r>
      <w:r>
        <w:rPr>
          <w:rStyle w:val="KeywordTok"/>
        </w:rPr>
        <w:t xml:space="preserve">serviceInstance</w:t>
      </w:r>
      <w:r>
        <w:br/>
      </w:r>
      <w:r>
        <w:rPr>
          <w:rStyle w:val="NormalTok"/>
        </w:rPr>
        <w:t xml:space="preserve">  </w:t>
      </w:r>
      <w:r>
        <w:rPr>
          <w:rStyle w:val="OtherTok"/>
        </w:rPr>
        <w:t xml:space="preserve">xmlns=</w:t>
      </w:r>
      <w:r>
        <w:rPr>
          <w:rStyle w:val="StringTok"/>
        </w:rPr>
        <w:t xml:space="preserve">"http://iala-aism.org/g1128/v1.6/ServiceInstanceSchema.xsd"</w:t>
      </w:r>
      <w:r>
        <w:br/>
      </w:r>
      <w:r>
        <w:rPr>
          <w:rStyle w:val="NormalTok"/>
        </w:rPr>
        <w:t xml:space="preserve">  </w:t>
      </w:r>
      <w:r>
        <w:rPr>
          <w:rStyle w:val="OtherTok"/>
        </w:rPr>
        <w:t xml:space="preserve">xmlns:ns2=</w:t>
      </w:r>
      <w:r>
        <w:rPr>
          <w:rStyle w:val="StringTok"/>
        </w:rPr>
        <w:t xml:space="preserve">"http://iala-aism.org/g1128/v1.6/ServiceSpecificationSchema.xsd"</w:t>
      </w:r>
      <w:r>
        <w:rPr>
          <w:rStyle w:val="NormalTok"/>
        </w:rPr>
        <w:t xml:space="preserve">&gt;</w:t>
      </w:r>
      <w:r>
        <w:br/>
      </w:r>
      <w:r>
        <w:rPr>
          <w:rStyle w:val="NormalTok"/>
        </w:rPr>
        <w:t xml:space="preserve">    &lt;</w:t>
      </w:r>
      <w:r>
        <w:rPr>
          <w:rStyle w:val="KeywordTok"/>
        </w:rPr>
        <w:t xml:space="preserve">id</w:t>
      </w:r>
      <w:r>
        <w:rPr>
          <w:rStyle w:val="NormalTok"/>
        </w:rPr>
        <w:t xml:space="preserve">&gt;urn:mrn:mcp:service:mcc:grad:instance:aton-service&lt;/</w:t>
      </w:r>
      <w:r>
        <w:rPr>
          <w:rStyle w:val="KeywordTok"/>
        </w:rPr>
        <w:t xml:space="preserve">id</w:t>
      </w:r>
      <w:r>
        <w:rPr>
          <w:rStyle w:val="NormalTok"/>
        </w:rPr>
        <w:t xml:space="preserve">&gt;</w:t>
      </w:r>
      <w:r>
        <w:br/>
      </w:r>
      <w:r>
        <w:rPr>
          <w:rStyle w:val="NormalTok"/>
        </w:rPr>
        <w:t xml:space="preserve">    &lt;</w:t>
      </w:r>
      <w:r>
        <w:rPr>
          <w:rStyle w:val="KeywordTok"/>
        </w:rPr>
        <w:t xml:space="preserve">version</w:t>
      </w:r>
      <w:r>
        <w:rPr>
          <w:rStyle w:val="NormalTok"/>
        </w:rPr>
        <w:t xml:space="preserve">&gt;0.0.1&lt;/</w:t>
      </w:r>
      <w:r>
        <w:rPr>
          <w:rStyle w:val="KeywordTok"/>
        </w:rPr>
        <w:t xml:space="preserve">version</w:t>
      </w:r>
      <w:r>
        <w:rPr>
          <w:rStyle w:val="NormalTok"/>
        </w:rPr>
        <w:t xml:space="preserve">&gt;</w:t>
      </w:r>
      <w:r>
        <w:br/>
      </w:r>
      <w:r>
        <w:rPr>
          <w:rStyle w:val="NormalTok"/>
        </w:rPr>
        <w:t xml:space="preserve">    &lt;</w:t>
      </w:r>
      <w:r>
        <w:rPr>
          <w:rStyle w:val="KeywordTok"/>
        </w:rPr>
        <w:t xml:space="preserve">name</w:t>
      </w:r>
      <w:r>
        <w:rPr>
          <w:rStyle w:val="NormalTok"/>
        </w:rPr>
        <w:t xml:space="preserve">&gt;Test AtoN Service&lt;/</w:t>
      </w:r>
      <w:r>
        <w:rPr>
          <w:rStyle w:val="KeywordTok"/>
        </w:rPr>
        <w:t xml:space="preserve">name</w:t>
      </w:r>
      <w:r>
        <w:rPr>
          <w:rStyle w:val="NormalTok"/>
        </w:rPr>
        <w:t xml:space="preserve">&gt;</w:t>
      </w:r>
      <w:r>
        <w:br/>
      </w:r>
      <w:r>
        <w:rPr>
          <w:rStyle w:val="NormalTok"/>
        </w:rPr>
        <w:t xml:space="preserve">    &lt;</w:t>
      </w:r>
      <w:r>
        <w:rPr>
          <w:rStyle w:val="KeywordTok"/>
        </w:rPr>
        <w:t xml:space="preserve">status</w:t>
      </w:r>
      <w:r>
        <w:rPr>
          <w:rStyle w:val="NormalTok"/>
        </w:rPr>
        <w:t xml:space="preserve">&gt;provisional&lt;/</w:t>
      </w:r>
      <w:r>
        <w:rPr>
          <w:rStyle w:val="KeywordTok"/>
        </w:rPr>
        <w:t xml:space="preserve">status</w:t>
      </w:r>
      <w:r>
        <w:rPr>
          <w:rStyle w:val="NormalTok"/>
        </w:rPr>
        <w:t xml:space="preserve">&gt;</w:t>
      </w:r>
      <w:r>
        <w:br/>
      </w:r>
      <w:r>
        <w:rPr>
          <w:rStyle w:val="NormalTok"/>
        </w:rPr>
        <w:t xml:space="preserve">    &lt;</w:t>
      </w:r>
      <w:r>
        <w:rPr>
          <w:rStyle w:val="KeywordTok"/>
        </w:rPr>
        <w:t xml:space="preserve">description</w:t>
      </w:r>
      <w:r>
        <w:rPr>
          <w:rStyle w:val="NormalTok"/>
        </w:rPr>
        <w:t xml:space="preserve">&gt;An example of a G1128 instance description XML&lt;/</w:t>
      </w:r>
      <w:r>
        <w:rPr>
          <w:rStyle w:val="KeywordTok"/>
        </w:rPr>
        <w:t xml:space="preserve">description</w:t>
      </w:r>
      <w:r>
        <w:rPr>
          <w:rStyle w:val="NormalTok"/>
        </w:rPr>
        <w:t xml:space="preserve">&gt;</w:t>
      </w:r>
      <w:r>
        <w:br/>
      </w:r>
      <w:r>
        <w:rPr>
          <w:rStyle w:val="NormalTok"/>
        </w:rPr>
        <w:t xml:space="preserve">    &lt;</w:t>
      </w:r>
      <w:r>
        <w:rPr>
          <w:rStyle w:val="KeywordTok"/>
        </w:rPr>
        <w:t xml:space="preserve">keywords</w:t>
      </w:r>
      <w:r>
        <w:rPr>
          <w:rStyle w:val="NormalTok"/>
        </w:rPr>
        <w:t xml:space="preserve">&gt;aton service g1128 example&lt;/</w:t>
      </w:r>
      <w:r>
        <w:rPr>
          <w:rStyle w:val="KeywordTok"/>
        </w:rPr>
        <w:t xml:space="preserve">keywords</w:t>
      </w:r>
      <w:r>
        <w:rPr>
          <w:rStyle w:val="NormalTok"/>
        </w:rPr>
        <w:t xml:space="preserve">&gt;</w:t>
      </w:r>
      <w:r>
        <w:br/>
      </w:r>
      <w:r>
        <w:rPr>
          <w:rStyle w:val="NormalTok"/>
        </w:rPr>
        <w:t xml:space="preserve">    &lt;</w:t>
      </w:r>
      <w:r>
        <w:rPr>
          <w:rStyle w:val="KeywordTok"/>
        </w:rPr>
        <w:t xml:space="preserve">endpoint</w:t>
      </w:r>
      <w:r>
        <w:rPr>
          <w:rStyle w:val="NormalTok"/>
        </w:rPr>
        <w:t xml:space="preserve">&gt;https://localhost:8443/api/secom&lt;/</w:t>
      </w:r>
      <w:r>
        <w:rPr>
          <w:rStyle w:val="KeywordTok"/>
        </w:rPr>
        <w:t xml:space="preserve">endpoint</w:t>
      </w:r>
      <w:r>
        <w:rPr>
          <w:rStyle w:val="NormalTok"/>
        </w:rPr>
        <w:t xml:space="preserve">&gt;</w:t>
      </w:r>
      <w:r>
        <w:br/>
      </w:r>
      <w:r>
        <w:rPr>
          <w:rStyle w:val="NormalTok"/>
        </w:rPr>
        <w:t xml:space="preserve">    &lt;</w:t>
      </w:r>
      <w:r>
        <w:rPr>
          <w:rStyle w:val="KeywordTok"/>
        </w:rPr>
        <w:t xml:space="preserve">serviceType</w:t>
      </w:r>
      <w:r>
        <w:rPr>
          <w:rStyle w:val="NormalTok"/>
        </w:rPr>
        <w:t xml:space="preserve">&gt;other:atonservice&lt;/</w:t>
      </w:r>
      <w:r>
        <w:rPr>
          <w:rStyle w:val="KeywordTok"/>
        </w:rPr>
        <w:t xml:space="preserve">serviceType</w:t>
      </w:r>
      <w:r>
        <w:rPr>
          <w:rStyle w:val="NormalTok"/>
        </w:rPr>
        <w:t xml:space="preserve">&gt;</w:t>
      </w:r>
      <w:r>
        <w:br/>
      </w:r>
      <w:r>
        <w:rPr>
          <w:rStyle w:val="NormalTok"/>
        </w:rPr>
        <w:t xml:space="preserve">    &lt;</w:t>
      </w:r>
      <w:r>
        <w:rPr>
          <w:rStyle w:val="KeywordTok"/>
        </w:rPr>
        <w:t xml:space="preserve">requiresAuthorization</w:t>
      </w:r>
      <w:r>
        <w:rPr>
          <w:rStyle w:val="NormalTok"/>
        </w:rPr>
        <w:t xml:space="preserve">&gt;true&lt;/</w:t>
      </w:r>
      <w:r>
        <w:rPr>
          <w:rStyle w:val="KeywordTok"/>
        </w:rPr>
        <w:t xml:space="preserve">requiresAuthorization</w:t>
      </w:r>
      <w:r>
        <w:rPr>
          <w:rStyle w:val="NormalTok"/>
        </w:rPr>
        <w:t xml:space="preserve">&gt;</w:t>
      </w:r>
      <w:r>
        <w:br/>
      </w:r>
      <w:r>
        <w:rPr>
          <w:rStyle w:val="NormalTok"/>
        </w:rPr>
        <w:t xml:space="preserve">    &lt;</w:t>
      </w:r>
      <w:r>
        <w:rPr>
          <w:rStyle w:val="KeywordTok"/>
        </w:rPr>
        <w:t xml:space="preserve">offersServiceLevel</w:t>
      </w:r>
      <w:r>
        <w:rPr>
          <w:rStyle w:val="NormalTok"/>
        </w:rPr>
        <w:t xml:space="preserve">&gt;</w:t>
      </w:r>
      <w:r>
        <w:br/>
      </w:r>
      <w:r>
        <w:rPr>
          <w:rStyle w:val="NormalTok"/>
        </w:rPr>
        <w:t xml:space="preserve">        &lt;</w:t>
      </w:r>
      <w:r>
        <w:rPr>
          <w:rStyle w:val="KeywordTok"/>
        </w:rPr>
        <w:t xml:space="preserve">availability</w:t>
      </w:r>
      <w:r>
        <w:rPr>
          <w:rStyle w:val="NormalTok"/>
        </w:rPr>
        <w:t xml:space="preserve">&gt;0.0&lt;/</w:t>
      </w:r>
      <w:r>
        <w:rPr>
          <w:rStyle w:val="KeywordTok"/>
        </w:rPr>
        <w:t xml:space="preserve">availability</w:t>
      </w:r>
      <w:r>
        <w:rPr>
          <w:rStyle w:val="NormalTok"/>
        </w:rPr>
        <w:t xml:space="preserve">&gt;</w:t>
      </w:r>
      <w:r>
        <w:br/>
      </w:r>
      <w:r>
        <w:rPr>
          <w:rStyle w:val="NormalTok"/>
        </w:rPr>
        <w:t xml:space="preserve">        &lt;</w:t>
      </w:r>
      <w:r>
        <w:rPr>
          <w:rStyle w:val="KeywordTok"/>
        </w:rPr>
        <w:t xml:space="preserve">name</w:t>
      </w:r>
      <w:r>
        <w:rPr>
          <w:rStyle w:val="NormalTok"/>
        </w:rPr>
        <w:t xml:space="preserve">&gt;Development&lt;/</w:t>
      </w:r>
      <w:r>
        <w:rPr>
          <w:rStyle w:val="KeywordTok"/>
        </w:rPr>
        <w:t xml:space="preserve">name</w:t>
      </w:r>
      <w:r>
        <w:rPr>
          <w:rStyle w:val="NormalTok"/>
        </w:rPr>
        <w:t xml:space="preserve">&gt;</w:t>
      </w:r>
      <w:r>
        <w:br/>
      </w:r>
      <w:r>
        <w:rPr>
          <w:rStyle w:val="NormalTok"/>
        </w:rPr>
        <w:t xml:space="preserve">        &lt;</w:t>
      </w:r>
      <w:r>
        <w:rPr>
          <w:rStyle w:val="KeywordTok"/>
        </w:rPr>
        <w:t xml:space="preserve">description</w:t>
      </w:r>
      <w:r>
        <w:rPr>
          <w:rStyle w:val="NormalTok"/>
        </w:rPr>
        <w:t xml:space="preserve">&gt;This service implementation is under active development, 0% availability is guaranteed.&lt;/</w:t>
      </w:r>
      <w:r>
        <w:rPr>
          <w:rStyle w:val="KeywordTok"/>
        </w:rPr>
        <w:t xml:space="preserve">description</w:t>
      </w:r>
      <w:r>
        <w:rPr>
          <w:rStyle w:val="NormalTok"/>
        </w:rPr>
        <w:t xml:space="preserve">&gt;</w:t>
      </w:r>
      <w:r>
        <w:br/>
      </w:r>
      <w:r>
        <w:rPr>
          <w:rStyle w:val="NormalTok"/>
        </w:rPr>
        <w:t xml:space="preserve">    &lt;/</w:t>
      </w:r>
      <w:r>
        <w:rPr>
          <w:rStyle w:val="KeywordTok"/>
        </w:rPr>
        <w:t xml:space="preserve">offersServiceLevel</w:t>
      </w:r>
      <w:r>
        <w:rPr>
          <w:rStyle w:val="NormalTok"/>
        </w:rPr>
        <w:t xml:space="preserve">&gt;</w:t>
      </w:r>
      <w:r>
        <w:br/>
      </w:r>
      <w:r>
        <w:rPr>
          <w:rStyle w:val="NormalTok"/>
        </w:rPr>
        <w:t xml:space="preserve">    &lt;</w:t>
      </w:r>
      <w:r>
        <w:rPr>
          <w:rStyle w:val="KeywordTok"/>
        </w:rPr>
        <w:t xml:space="preserve">coversAreas</w:t>
      </w:r>
      <w:r>
        <w:rPr>
          <w:rStyle w:val="NormalTok"/>
        </w:rPr>
        <w:t xml:space="preserve">&gt;</w:t>
      </w:r>
      <w:r>
        <w:br/>
      </w:r>
      <w:r>
        <w:rPr>
          <w:rStyle w:val="NormalTok"/>
        </w:rPr>
        <w:t xml:space="preserve">        &lt;</w:t>
      </w:r>
      <w:r>
        <w:rPr>
          <w:rStyle w:val="KeywordTok"/>
        </w:rPr>
        <w:t xml:space="preserve">coversArea</w:t>
      </w:r>
      <w:r>
        <w:rPr>
          <w:rStyle w:val="NormalTok"/>
        </w:rPr>
        <w:t xml:space="preserve">&gt;</w:t>
      </w:r>
      <w:r>
        <w:br/>
      </w:r>
      <w:r>
        <w:rPr>
          <w:rStyle w:val="NormalTok"/>
        </w:rPr>
        <w:t xml:space="preserve">            &lt;</w:t>
      </w:r>
      <w:r>
        <w:rPr>
          <w:rStyle w:val="KeywordTok"/>
        </w:rPr>
        <w:t xml:space="preserve">name</w:t>
      </w:r>
      <w:r>
        <w:rPr>
          <w:rStyle w:val="NormalTok"/>
        </w:rPr>
        <w:t xml:space="preserve">&gt;Example&lt;/</w:t>
      </w:r>
      <w:r>
        <w:rPr>
          <w:rStyle w:val="KeywordTok"/>
        </w:rPr>
        <w:t xml:space="preserve">name</w:t>
      </w:r>
      <w:r>
        <w:rPr>
          <w:rStyle w:val="NormalTok"/>
        </w:rPr>
        <w:t xml:space="preserve">&gt;</w:t>
      </w:r>
      <w:r>
        <w:br/>
      </w:r>
      <w:r>
        <w:rPr>
          <w:rStyle w:val="NormalTok"/>
        </w:rPr>
        <w:t xml:space="preserve">            &lt;</w:t>
      </w:r>
      <w:r>
        <w:rPr>
          <w:rStyle w:val="KeywordTok"/>
        </w:rPr>
        <w:t xml:space="preserve">description</w:t>
      </w:r>
      <w:r>
        <w:rPr>
          <w:rStyle w:val="NormalTok"/>
        </w:rPr>
        <w:t xml:space="preserve">&gt;Description on the example area&lt;/</w:t>
      </w:r>
      <w:r>
        <w:rPr>
          <w:rStyle w:val="KeywordTok"/>
        </w:rPr>
        <w:t xml:space="preserve">description</w:t>
      </w:r>
      <w:r>
        <w:rPr>
          <w:rStyle w:val="NormalTok"/>
        </w:rPr>
        <w:t xml:space="preserve">&gt;</w:t>
      </w:r>
      <w:r>
        <w:br/>
      </w:r>
      <w:r>
        <w:rPr>
          <w:rStyle w:val="NormalTok"/>
        </w:rPr>
        <w:t xml:space="preserve">            &lt;</w:t>
      </w:r>
      <w:r>
        <w:rPr>
          <w:rStyle w:val="KeywordTok"/>
        </w:rPr>
        <w:t xml:space="preserve">geometryAsWKT</w:t>
      </w:r>
      <w:r>
        <w:rPr>
          <w:rStyle w:val="NormalTok"/>
        </w:rPr>
        <w:t xml:space="preserve">&gt;POLYGON ((0.0 0.0, 0.0 1.1, 1.1 1,1, 1.1 0.0 ))&lt;/</w:t>
      </w:r>
      <w:r>
        <w:rPr>
          <w:rStyle w:val="KeywordTok"/>
        </w:rPr>
        <w:t xml:space="preserve">geometryAsWKT</w:t>
      </w:r>
      <w:r>
        <w:rPr>
          <w:rStyle w:val="NormalTok"/>
        </w:rPr>
        <w:t xml:space="preserve">&gt;</w:t>
      </w:r>
      <w:r>
        <w:br/>
      </w:r>
      <w:r>
        <w:rPr>
          <w:rStyle w:val="NormalTok"/>
        </w:rPr>
        <w:t xml:space="preserve">        &lt;/</w:t>
      </w:r>
      <w:r>
        <w:rPr>
          <w:rStyle w:val="KeywordTok"/>
        </w:rPr>
        <w:t xml:space="preserve">coversArea</w:t>
      </w:r>
      <w:r>
        <w:rPr>
          <w:rStyle w:val="NormalTok"/>
        </w:rPr>
        <w:t xml:space="preserve">&gt;</w:t>
      </w:r>
      <w:r>
        <w:br/>
      </w:r>
      <w:r>
        <w:rPr>
          <w:rStyle w:val="NormalTok"/>
        </w:rPr>
        <w:t xml:space="preserve">    &lt;/</w:t>
      </w:r>
      <w:r>
        <w:rPr>
          <w:rStyle w:val="KeywordTok"/>
        </w:rPr>
        <w:t xml:space="preserve">coversAreas</w:t>
      </w:r>
      <w:r>
        <w:rPr>
          <w:rStyle w:val="NormalTok"/>
        </w:rPr>
        <w:t xml:space="preserve">&gt;</w:t>
      </w:r>
      <w:r>
        <w:br/>
      </w:r>
      <w:r>
        <w:rPr>
          <w:rStyle w:val="NormalTok"/>
        </w:rPr>
        <w:t xml:space="preserve">    &lt;</w:t>
      </w:r>
      <w:r>
        <w:rPr>
          <w:rStyle w:val="KeywordTok"/>
        </w:rPr>
        <w:t xml:space="preserve">implementsServiceDesign</w:t>
      </w:r>
      <w:r>
        <w:rPr>
          <w:rStyle w:val="NormalTok"/>
        </w:rPr>
        <w:t xml:space="preserve">&gt;</w:t>
      </w:r>
      <w:r>
        <w:br/>
      </w:r>
      <w:r>
        <w:rPr>
          <w:rStyle w:val="NormalTok"/>
        </w:rPr>
        <w:t xml:space="preserve">        &lt;</w:t>
      </w:r>
      <w:r>
        <w:rPr>
          <w:rStyle w:val="KeywordTok"/>
        </w:rPr>
        <w:t xml:space="preserve">id</w:t>
      </w:r>
      <w:r>
        <w:rPr>
          <w:rStyle w:val="NormalTok"/>
        </w:rPr>
        <w:t xml:space="preserve">&gt;urn:mrn:iala:si:atonservice:0.0.1&lt;/</w:t>
      </w:r>
      <w:r>
        <w:rPr>
          <w:rStyle w:val="KeywordTok"/>
        </w:rPr>
        <w:t xml:space="preserve">id</w:t>
      </w:r>
      <w:r>
        <w:rPr>
          <w:rStyle w:val="NormalTok"/>
        </w:rPr>
        <w:t xml:space="preserve">&gt;</w:t>
      </w:r>
      <w:r>
        <w:br/>
      </w:r>
      <w:r>
        <w:rPr>
          <w:rStyle w:val="NormalTok"/>
        </w:rPr>
        <w:t xml:space="preserve">        &lt;</w:t>
      </w:r>
      <w:r>
        <w:rPr>
          <w:rStyle w:val="KeywordTok"/>
        </w:rPr>
        <w:t xml:space="preserve">version</w:t>
      </w:r>
      <w:r>
        <w:rPr>
          <w:rStyle w:val="NormalTok"/>
        </w:rPr>
        <w:t xml:space="preserve">&gt;0.0.0&lt;/</w:t>
      </w:r>
      <w:r>
        <w:rPr>
          <w:rStyle w:val="KeywordTok"/>
        </w:rPr>
        <w:t xml:space="preserve">version</w:t>
      </w:r>
      <w:r>
        <w:rPr>
          <w:rStyle w:val="NormalTok"/>
        </w:rPr>
        <w:t xml:space="preserve">&gt;</w:t>
      </w:r>
      <w:r>
        <w:br/>
      </w:r>
      <w:r>
        <w:rPr>
          <w:rStyle w:val="NormalTok"/>
        </w:rPr>
        <w:t xml:space="preserve">    &lt;/</w:t>
      </w:r>
      <w:r>
        <w:rPr>
          <w:rStyle w:val="KeywordTok"/>
        </w:rPr>
        <w:t xml:space="preserve">implementsServiceDesign</w:t>
      </w:r>
      <w:r>
        <w:rPr>
          <w:rStyle w:val="NormalTok"/>
        </w:rPr>
        <w:t xml:space="preserve">&gt;</w:t>
      </w:r>
      <w:r>
        <w:br/>
      </w:r>
      <w:r>
        <w:rPr>
          <w:rStyle w:val="NormalTok"/>
        </w:rPr>
        <w:t xml:space="preserve">    &lt;</w:t>
      </w:r>
      <w:r>
        <w:rPr>
          <w:rStyle w:val="KeywordTok"/>
        </w:rPr>
        <w:t xml:space="preserve">producedBy</w:t>
      </w:r>
      <w:r>
        <w:rPr>
          <w:rStyle w:val="NormalTok"/>
        </w:rPr>
        <w:t xml:space="preserve">&gt;</w:t>
      </w:r>
      <w:r>
        <w:br/>
      </w:r>
      <w:r>
        <w:rPr>
          <w:rStyle w:val="NormalTok"/>
        </w:rPr>
        <w:t xml:space="preserve">        &lt;</w:t>
      </w:r>
      <w:r>
        <w:rPr>
          <w:rStyle w:val="KeywordTok"/>
        </w:rPr>
        <w:t xml:space="preserve">ns2:id</w:t>
      </w:r>
      <w:r>
        <w:rPr>
          <w:rStyle w:val="NormalTok"/>
        </w:rPr>
        <w:t xml:space="preserve">&gt;urn:mrn:iala&lt;/</w:t>
      </w:r>
      <w:r>
        <w:rPr>
          <w:rStyle w:val="KeywordTok"/>
        </w:rPr>
        <w:t xml:space="preserve">ns2:id</w:t>
      </w:r>
      <w:r>
        <w:rPr>
          <w:rStyle w:val="NormalTok"/>
        </w:rPr>
        <w:t xml:space="preserve">&gt;</w:t>
      </w:r>
      <w:r>
        <w:br/>
      </w:r>
      <w:r>
        <w:rPr>
          <w:rStyle w:val="NormalTok"/>
        </w:rPr>
        <w:t xml:space="preserve">        &lt;</w:t>
      </w:r>
      <w:r>
        <w:rPr>
          <w:rStyle w:val="KeywordTok"/>
        </w:rPr>
        <w:t xml:space="preserve">ns2:name</w:t>
      </w:r>
      <w:r>
        <w:rPr>
          <w:rStyle w:val="NormalTok"/>
        </w:rPr>
        <w:t xml:space="preserve">&gt;IALA&lt;/</w:t>
      </w:r>
      <w:r>
        <w:rPr>
          <w:rStyle w:val="KeywordTok"/>
        </w:rPr>
        <w:t xml:space="preserve">ns2:name</w:t>
      </w:r>
      <w:r>
        <w:rPr>
          <w:rStyle w:val="NormalTok"/>
        </w:rPr>
        <w:t xml:space="preserve">&gt;</w:t>
      </w:r>
      <w:r>
        <w:br/>
      </w:r>
      <w:r>
        <w:rPr>
          <w:rStyle w:val="NormalTok"/>
        </w:rPr>
        <w:t xml:space="preserve">        &lt;</w:t>
      </w:r>
      <w:r>
        <w:rPr>
          <w:rStyle w:val="KeywordTok"/>
        </w:rPr>
        <w:t xml:space="preserve">ns2:description</w:t>
      </w:r>
      <w:r>
        <w:rPr>
          <w:rStyle w:val="NormalTok"/>
        </w:rPr>
        <w:t xml:space="preserve">&gt;International Organization of Marine Aids to Navigation&lt;/</w:t>
      </w:r>
      <w:r>
        <w:rPr>
          <w:rStyle w:val="KeywordTok"/>
        </w:rPr>
        <w:t xml:space="preserve">ns2:description</w:t>
      </w:r>
      <w:r>
        <w:rPr>
          <w:rStyle w:val="NormalTok"/>
        </w:rPr>
        <w:t xml:space="preserve">&gt;</w:t>
      </w:r>
      <w:r>
        <w:br/>
      </w:r>
      <w:r>
        <w:rPr>
          <w:rStyle w:val="NormalTok"/>
        </w:rPr>
        <w:t xml:space="preserve">        &lt;</w:t>
      </w:r>
      <w:r>
        <w:rPr>
          <w:rStyle w:val="KeywordTok"/>
        </w:rPr>
        <w:t xml:space="preserve">ns2:contactInfo</w:t>
      </w:r>
      <w:r>
        <w:rPr>
          <w:rStyle w:val="NormalTok"/>
        </w:rPr>
        <w:t xml:space="preserve">&gt;https://www.iala.int/&lt;/</w:t>
      </w:r>
      <w:r>
        <w:rPr>
          <w:rStyle w:val="KeywordTok"/>
        </w:rPr>
        <w:t xml:space="preserve">ns2:contactInfo</w:t>
      </w:r>
      <w:r>
        <w:rPr>
          <w:rStyle w:val="NormalTok"/>
        </w:rPr>
        <w:t xml:space="preserve">&gt;</w:t>
      </w:r>
      <w:r>
        <w:br/>
      </w:r>
      <w:r>
        <w:rPr>
          <w:rStyle w:val="NormalTok"/>
        </w:rPr>
        <w:t xml:space="preserve">        &lt;</w:t>
      </w:r>
      <w:r>
        <w:rPr>
          <w:rStyle w:val="KeywordTok"/>
        </w:rPr>
        <w:t xml:space="preserve">ns2:isCommercial</w:t>
      </w:r>
      <w:r>
        <w:rPr>
          <w:rStyle w:val="NormalTok"/>
        </w:rPr>
        <w:t xml:space="preserve">&gt;false&lt;/</w:t>
      </w:r>
      <w:r>
        <w:rPr>
          <w:rStyle w:val="KeywordTok"/>
        </w:rPr>
        <w:t xml:space="preserve">ns2:isCommercial</w:t>
      </w:r>
      <w:r>
        <w:rPr>
          <w:rStyle w:val="NormalTok"/>
        </w:rPr>
        <w:t xml:space="preserve">&gt;</w:t>
      </w:r>
      <w:r>
        <w:br/>
      </w:r>
      <w:r>
        <w:rPr>
          <w:rStyle w:val="NormalTok"/>
        </w:rPr>
        <w:t xml:space="preserve">    &lt;/</w:t>
      </w:r>
      <w:r>
        <w:rPr>
          <w:rStyle w:val="KeywordTok"/>
        </w:rPr>
        <w:t xml:space="preserve">producedBy</w:t>
      </w:r>
      <w:r>
        <w:rPr>
          <w:rStyle w:val="NormalTok"/>
        </w:rPr>
        <w:t xml:space="preserve">&gt;</w:t>
      </w:r>
      <w:r>
        <w:br/>
      </w:r>
      <w:r>
        <w:rPr>
          <w:rStyle w:val="NormalTok"/>
        </w:rPr>
        <w:t xml:space="preserve">    &lt;</w:t>
      </w:r>
      <w:r>
        <w:rPr>
          <w:rStyle w:val="KeywordTok"/>
        </w:rPr>
        <w:t xml:space="preserve">providedBy</w:t>
      </w:r>
      <w:r>
        <w:rPr>
          <w:rStyle w:val="NormalTok"/>
        </w:rPr>
        <w:t xml:space="preserve">&gt;</w:t>
      </w:r>
      <w:r>
        <w:br/>
      </w:r>
      <w:r>
        <w:rPr>
          <w:rStyle w:val="NormalTok"/>
        </w:rPr>
        <w:t xml:space="preserve">        &lt;</w:t>
      </w:r>
      <w:r>
        <w:rPr>
          <w:rStyle w:val="KeywordTok"/>
        </w:rPr>
        <w:t xml:space="preserve">ns2:id</w:t>
      </w:r>
      <w:r>
        <w:rPr>
          <w:rStyle w:val="NormalTok"/>
        </w:rPr>
        <w:t xml:space="preserve">&gt;urn:mrn:iala&lt;/</w:t>
      </w:r>
      <w:r>
        <w:rPr>
          <w:rStyle w:val="KeywordTok"/>
        </w:rPr>
        <w:t xml:space="preserve">ns2:id</w:t>
      </w:r>
      <w:r>
        <w:rPr>
          <w:rStyle w:val="NormalTok"/>
        </w:rPr>
        <w:t xml:space="preserve">&gt;</w:t>
      </w:r>
      <w:r>
        <w:br/>
      </w:r>
      <w:r>
        <w:rPr>
          <w:rStyle w:val="NormalTok"/>
        </w:rPr>
        <w:t xml:space="preserve">        &lt;</w:t>
      </w:r>
      <w:r>
        <w:rPr>
          <w:rStyle w:val="KeywordTok"/>
        </w:rPr>
        <w:t xml:space="preserve">ns2:name</w:t>
      </w:r>
      <w:r>
        <w:rPr>
          <w:rStyle w:val="NormalTok"/>
        </w:rPr>
        <w:t xml:space="preserve">&gt;IALA&lt;/</w:t>
      </w:r>
      <w:r>
        <w:rPr>
          <w:rStyle w:val="KeywordTok"/>
        </w:rPr>
        <w:t xml:space="preserve">ns2:name</w:t>
      </w:r>
      <w:r>
        <w:rPr>
          <w:rStyle w:val="NormalTok"/>
        </w:rPr>
        <w:t xml:space="preserve">&gt;</w:t>
      </w:r>
      <w:r>
        <w:br/>
      </w:r>
      <w:r>
        <w:rPr>
          <w:rStyle w:val="NormalTok"/>
        </w:rPr>
        <w:t xml:space="preserve">        &lt;</w:t>
      </w:r>
      <w:r>
        <w:rPr>
          <w:rStyle w:val="KeywordTok"/>
        </w:rPr>
        <w:t xml:space="preserve">ns2:description</w:t>
      </w:r>
      <w:r>
        <w:rPr>
          <w:rStyle w:val="NormalTok"/>
        </w:rPr>
        <w:t xml:space="preserve">&gt;International Organization of Marine Aids to Navigation&lt;/</w:t>
      </w:r>
      <w:r>
        <w:rPr>
          <w:rStyle w:val="KeywordTok"/>
        </w:rPr>
        <w:t xml:space="preserve">ns2:description</w:t>
      </w:r>
      <w:r>
        <w:rPr>
          <w:rStyle w:val="NormalTok"/>
        </w:rPr>
        <w:t xml:space="preserve">&gt;</w:t>
      </w:r>
      <w:r>
        <w:br/>
      </w:r>
      <w:r>
        <w:rPr>
          <w:rStyle w:val="NormalTok"/>
        </w:rPr>
        <w:t xml:space="preserve">        &lt;</w:t>
      </w:r>
      <w:r>
        <w:rPr>
          <w:rStyle w:val="KeywordTok"/>
        </w:rPr>
        <w:t xml:space="preserve">ns2:contactInfo</w:t>
      </w:r>
      <w:r>
        <w:rPr>
          <w:rStyle w:val="NormalTok"/>
        </w:rPr>
        <w:t xml:space="preserve">&gt;https://www.iala.int/&lt;/</w:t>
      </w:r>
      <w:r>
        <w:rPr>
          <w:rStyle w:val="KeywordTok"/>
        </w:rPr>
        <w:t xml:space="preserve">ns2:contactInfo</w:t>
      </w:r>
      <w:r>
        <w:rPr>
          <w:rStyle w:val="NormalTok"/>
        </w:rPr>
        <w:t xml:space="preserve">&gt;</w:t>
      </w:r>
      <w:r>
        <w:br/>
      </w:r>
      <w:r>
        <w:rPr>
          <w:rStyle w:val="NormalTok"/>
        </w:rPr>
        <w:t xml:space="preserve">        &lt;</w:t>
      </w:r>
      <w:r>
        <w:rPr>
          <w:rStyle w:val="KeywordTok"/>
        </w:rPr>
        <w:t xml:space="preserve">ns2:isCommercial</w:t>
      </w:r>
      <w:r>
        <w:rPr>
          <w:rStyle w:val="NormalTok"/>
        </w:rPr>
        <w:t xml:space="preserve">&gt;false&lt;/</w:t>
      </w:r>
      <w:r>
        <w:rPr>
          <w:rStyle w:val="KeywordTok"/>
        </w:rPr>
        <w:t xml:space="preserve">ns2:isCommercial</w:t>
      </w:r>
      <w:r>
        <w:rPr>
          <w:rStyle w:val="NormalTok"/>
        </w:rPr>
        <w:t xml:space="preserve">&gt;</w:t>
      </w:r>
      <w:r>
        <w:br/>
      </w:r>
      <w:r>
        <w:rPr>
          <w:rStyle w:val="NormalTok"/>
        </w:rPr>
        <w:t xml:space="preserve">    &lt;/</w:t>
      </w:r>
      <w:r>
        <w:rPr>
          <w:rStyle w:val="KeywordTok"/>
        </w:rPr>
        <w:t xml:space="preserve">providedBy</w:t>
      </w:r>
      <w:r>
        <w:rPr>
          <w:rStyle w:val="NormalTok"/>
        </w:rPr>
        <w:t xml:space="preserve">&gt;</w:t>
      </w:r>
      <w:r>
        <w:br/>
      </w:r>
      <w:r>
        <w:rPr>
          <w:rStyle w:val="NormalTok"/>
        </w:rPr>
        <w:t xml:space="preserve">&lt;/</w:t>
      </w:r>
      <w:r>
        <w:rPr>
          <w:rStyle w:val="KeywordTok"/>
        </w:rPr>
        <w:t xml:space="preserve">serviceInstance</w:t>
      </w:r>
      <w:r>
        <w:rPr>
          <w:rStyle w:val="NormalTok"/>
        </w:rPr>
        <w:t xml:space="preserve">&gt;</w:t>
      </w:r>
    </w:p>
    <w:bookmarkEnd w:id="172"/>
    <w:sectPr w:rsidR="000E677F" w:rsidSect="00CB1D11">
      <w:headerReference r:id="rId54" w:type="even"/>
      <w:headerReference r:id="rId55" w:type="default"/>
      <w:footerReference r:id="rId56" w:type="even"/>
      <w:headerReference r:id="rId57" w:type="first"/>
      <w:footerReference r:id="rId58" w:type="first"/>
      <w:pgSz w:code="9" w:h="16838" w:w="11906"/>
      <w:pgMar w:bottom="567" w:footer="850" w:gutter="0" w:header="567" w:left="907" w:right="794" w:top="56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8094" w14:textId="77777777" w:rsidR="003E1065" w:rsidRDefault="003E1065" w:rsidP="00EC7C8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125C4B" w14:textId="77777777" w:rsidR="003E1065" w:rsidRDefault="003E1065" w:rsidP="00C907DF">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F6BA1BB" w14:textId="77777777" w:rsidR="003E1065" w:rsidRDefault="003E1065" w:rsidP="00A979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4F285FC5" w14:textId="77777777" w:rsidR="003E1065" w:rsidRDefault="003E1065" w:rsidP="005378A6">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5AEEE46D" w14:textId="77777777" w:rsidR="003E1065" w:rsidRDefault="003E1065" w:rsidP="005378A6">
    <w:pPr>
      <w:pStyle w:val="Footer"/>
      <w:ind w:right="360"/>
    </w:pPr>
  </w:p>
  <w:p w14:paraId="19BE1DF7" w14:textId="77777777" w:rsidR="00D850A3" w:rsidRDefault="00D850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8E42" w14:textId="77777777" w:rsidR="003E1065" w:rsidRDefault="003E1065" w:rsidP="00525922">
    <w:r>
      <w:rPr>
        <w:noProof/>
        <w:lang w:eastAsia="en-GB"/>
      </w:rPr>
      <mc:AlternateContent>
        <mc:Choice Requires="wps">
          <w:drawing>
            <wp:anchor distT="0" distB="0" distL="114300" distR="114300" simplePos="0" relativeHeight="251736064" behindDoc="0" locked="0" layoutInCell="1" allowOverlap="1" wp14:anchorId="2A70871A" wp14:editId="39FBC09F">
              <wp:simplePos x="0" y="0"/>
              <wp:positionH relativeFrom="page">
                <wp:posOffset>281940</wp:posOffset>
              </wp:positionH>
              <wp:positionV relativeFrom="page">
                <wp:posOffset>9942195</wp:posOffset>
              </wp:positionV>
              <wp:extent cx="7128000" cy="0"/>
              <wp:effectExtent l="0" t="0" r="15875" b="19050"/>
              <wp:wrapNone/>
              <wp:docPr id="22" name="Connecteur droit 11"/>
              <wp:cNvGraphicFramePr/>
              <a:graphic xmlns:a="http://schemas.openxmlformats.org/drawingml/2006/main">
                <a:graphicData uri="http://schemas.microsoft.com/office/word/2010/wordprocessingShape">
                  <wps:wsp>
                    <wps:cNvCnPr/>
                    <wps:spPr>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E61CD7" id="Connecteur droit 11" o:spid="_x0000_s1026" style="position:absolute;z-index:2517360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2pt,782.85pt" to="583.45pt,7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Cf0QEAABEEAAAOAAAAZHJzL2Uyb0RvYy54bWysU8tu2zAQvBfoPxC813ocmkCwnIOD9FK0&#10;Rh8fwFBLiwBfWDKW/PddUrYStEGAFr1QWnJndme43N7N1rATYNTe9bzZ1JyBk37Q7tjznz8ePtxy&#10;FpNwgzDeQc/PEPnd7v277RQ6aP3ozQDIiMTFbgo9H1MKXVVFOYIVceMDODpUHq1IFOKxGlBMxG5N&#10;1db1x2ryOAT0EmKk3fvlkO8Kv1Ig01elIiRmek69pbJiWR/zWu22ojuiCKOWlzbEP3RhhXZUdKW6&#10;F0mwJ9R/UFkt0Uev0kZ6W3mltISigdQ09W9qvo8iQNFC5sSw2hT/H638cjog00PP25YzJyzd0d47&#10;R8bBE7IBvU6sabJPU4gdpe/dAS9RDAfMomeFNn9JDpuLt+fVW5gTk7R507S3dU1XIK9n1TMwYEyf&#10;wFuWf3putMuyRSdOn2OiYpR6TcnbxrGJhq29Ib4cR2/08KCNKUEeHdgbZCdBly6kBJeKAGJ5kUmR&#10;cUSdZS1Cyl86G1hqfANFxlDrzVLkLV7jKDvDFHWxAi/dvQW85GcolHH9G/CKKJW9SyvYaufxtbbT&#10;fLVCLflXBxbd2YJHP5zLFRdraO6K/5c3kgf7ZVzgzy959wsAAP//AwBQSwMEFAAGAAgAAAAhANmr&#10;9+TcAAAADQEAAA8AAABkcnMvZG93bnJldi54bWxMj8FOg0AQhu8mvsNmTLzZpQ1FRZaGmNS7pRdv&#10;CzsFhJ0l7NLSt3d6MHqcf7788022W+wgzjj5zpGC9SoCgVQ701Gj4Fjun15A+KDJ6MERKriih11+&#10;f5fp1LgLfeL5EBrBJeRTraANYUyl9HWLVvuVG5F4d3KT1YHHqZFm0hcut4PcRFEire6IL7R6xPcW&#10;6/4wWwVR0W2uVJ2Koi+/9+XXh51tb5V6fFiKNxABl/AHw02f1SFnp8rNZLwYFMRxzCTn22T7DOJG&#10;rJPkFUT1m8k8k/+/yH8AAAD//wMAUEsBAi0AFAAGAAgAAAAhALaDOJL+AAAA4QEAABMAAAAAAAAA&#10;AAAAAAAAAAAAAFtDb250ZW50X1R5cGVzXS54bWxQSwECLQAUAAYACAAAACEAOP0h/9YAAACUAQAA&#10;CwAAAAAAAAAAAAAAAAAvAQAAX3JlbHMvLnJlbHNQSwECLQAUAAYACAAAACEAj8jwn9EBAAARBAAA&#10;DgAAAAAAAAAAAAAAAAAuAgAAZHJzL2Uyb0RvYy54bWxQSwECLQAUAAYACAAAACEA2av35NwAAAAN&#10;AQAADwAAAAAAAAAAAAAAAAArBAAAZHJzL2Rvd25yZXYueG1sUEsFBgAAAAAEAAQA8wAAADQFAAAA&#10;AA==&#10;" strokecolor="#00558c [3204]" strokeweight="1pt">
              <w10:wrap anchorx="page" anchory="page"/>
            </v:line>
          </w:pict>
        </mc:Fallback>
      </mc:AlternateContent>
    </w:r>
  </w:p>
  <w:p w14:paraId="6723827E" w14:textId="77777777" w:rsidR="003E1065" w:rsidRPr="00C907DF" w:rsidRDefault="003E1065" w:rsidP="00525922">
    <w:pPr>
      <w:rPr>
        <w:rStyle w:val="PageNumber"/>
        <w:szCs w:val="15"/>
      </w:rPr>
    </w:pPr>
    <w:r w:rsidRPr="00C907DF">
      <w:rPr>
        <w:szCs w:val="15"/>
      </w:rPr>
      <w:fldChar w:fldCharType="begin"/>
    </w:r>
    <w:r w:rsidRPr="00C907DF">
      <w:rPr>
        <w:szCs w:val="15"/>
      </w:rPr>
      <w:instrText xml:space="preserve"> STYLEREF "Document title" \* MERGEFORMAT </w:instrText>
    </w:r>
    <w:r w:rsidRPr="00C907DF">
      <w:rPr>
        <w:szCs w:val="15"/>
      </w:rPr>
      <w:fldChar w:fldCharType="separate"/>
    </w:r>
    <w:r w:rsidR="000870E9">
      <w:rPr>
        <w:b/>
        <w:bCs/>
        <w:noProof/>
        <w:szCs w:val="15"/>
        <w:lang w:val="en-US"/>
      </w:rPr>
      <w:t>Error! Use the Home tab to apply Document title to the text that you want to appear here.</w:t>
    </w:r>
    <w:r w:rsidRPr="00C907DF">
      <w:rPr>
        <w:szCs w:val="15"/>
      </w:rPr>
      <w:fldChar w:fldCharType="end"/>
    </w:r>
    <w:r w:rsidRPr="000870E9">
      <w:rPr>
        <w:szCs w:val="15"/>
        <w:lang w:val="en-US"/>
      </w:rPr>
      <w:t xml:space="preserve"> </w:t>
    </w:r>
    <w:r>
      <w:rPr>
        <w:szCs w:val="15"/>
      </w:rPr>
      <w:fldChar w:fldCharType="begin"/>
    </w:r>
    <w:r w:rsidRPr="000870E9">
      <w:rPr>
        <w:szCs w:val="15"/>
        <w:lang w:val="en-US"/>
      </w:rPr>
      <w:instrText xml:space="preserve"> STYLEREF "Document number" \* MERGEFORMAT </w:instrText>
    </w:r>
    <w:r>
      <w:rPr>
        <w:szCs w:val="15"/>
      </w:rPr>
      <w:fldChar w:fldCharType="separate"/>
    </w:r>
    <w:r w:rsidR="000870E9" w:rsidRPr="000870E9">
      <w:rPr>
        <w:noProof/>
        <w:szCs w:val="15"/>
      </w:rPr>
      <w:t>Gnnnn</w:t>
    </w:r>
    <w:r>
      <w:rPr>
        <w:szCs w:val="15"/>
      </w:rPr>
      <w:fldChar w:fldCharType="end"/>
    </w:r>
    <w:r w:rsidRPr="00C907DF">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sidR="000870E9">
      <w:rPr>
        <w:b/>
        <w:bCs/>
        <w:noProof/>
        <w:szCs w:val="15"/>
        <w:lang w:val="en-US"/>
      </w:rPr>
      <w:t>Error! Use the Home tab to apply Subtitle to the text that you want to appear here.</w:t>
    </w:r>
    <w:r>
      <w:rPr>
        <w:szCs w:val="15"/>
      </w:rPr>
      <w:fldChar w:fldCharType="end"/>
    </w:r>
  </w:p>
  <w:p w14:paraId="58521A2D" w14:textId="77777777" w:rsidR="003E1065" w:rsidRPr="00525922" w:rsidRDefault="003E1065" w:rsidP="00525922">
    <w:pPr>
      <w:rPr>
        <w:szCs w:val="15"/>
      </w:rPr>
    </w:pPr>
    <w:r w:rsidRPr="00C907DF">
      <w:rPr>
        <w:szCs w:val="15"/>
      </w:rPr>
      <w:fldChar w:fldCharType="begin"/>
    </w:r>
    <w:r w:rsidRPr="00C907DF">
      <w:rPr>
        <w:szCs w:val="15"/>
      </w:rPr>
      <w:instrText xml:space="preserve"> STYLEREF "Edition number" \* MERGEFORMAT </w:instrText>
    </w:r>
    <w:r w:rsidRPr="00C907DF">
      <w:rPr>
        <w:szCs w:val="15"/>
      </w:rPr>
      <w:fldChar w:fldCharType="separate"/>
    </w:r>
    <w:r w:rsidR="000870E9">
      <w:rPr>
        <w:noProof/>
        <w:szCs w:val="15"/>
      </w:rPr>
      <w:t>Edition x.x</w:t>
    </w:r>
    <w:r w:rsidRPr="00C907DF">
      <w:rPr>
        <w:szCs w:val="15"/>
      </w:rPr>
      <w:fldChar w:fldCharType="end"/>
    </w:r>
    <w:r w:rsidRPr="00C907DF">
      <w:rPr>
        <w:szCs w:val="15"/>
      </w:rPr>
      <w:tab/>
    </w:r>
    <w:r>
      <w:rPr>
        <w:szCs w:val="15"/>
      </w:rPr>
      <w:t xml:space="preserve">P </w:t>
    </w:r>
    <w:r w:rsidRPr="00C907DF">
      <w:rPr>
        <w:rStyle w:val="PageNumber"/>
        <w:szCs w:val="15"/>
      </w:rPr>
      <w:fldChar w:fldCharType="begin"/>
    </w:r>
    <w:r w:rsidRPr="00C907DF">
      <w:rPr>
        <w:rStyle w:val="PageNumber"/>
        <w:szCs w:val="15"/>
      </w:rPr>
      <w:instrText xml:space="preserve">PAGE  </w:instrText>
    </w:r>
    <w:r w:rsidRPr="00C907DF">
      <w:rPr>
        <w:rStyle w:val="PageNumber"/>
        <w:szCs w:val="15"/>
      </w:rPr>
      <w:fldChar w:fldCharType="separate"/>
    </w:r>
    <w:r>
      <w:rPr>
        <w:rStyle w:val="PageNumber"/>
        <w:noProof/>
        <w:szCs w:val="15"/>
      </w:rPr>
      <w:t>3</w:t>
    </w:r>
    <w:r w:rsidRPr="00C907DF">
      <w:rPr>
        <w:rStyle w:val="PageNumber"/>
        <w:szCs w:val="15"/>
      </w:rPr>
      <w:fldChar w:fldCharType="end"/>
    </w:r>
  </w:p>
  <w:p w14:paraId="60C31A98" w14:textId="77777777" w:rsidR="00D850A3" w:rsidRDefault="00D850A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3215" w14:textId="77777777" w:rsidR="003E1065" w:rsidRDefault="00000000">
    <w:pPr>
      <w:pStyle w:val="Header"/>
    </w:pPr>
    <w:r>
      <w:rPr>
        <w:noProof/>
      </w:rPr>
      <w:pict w14:anchorId="11CA8A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111791" o:spid="_x0000_s1084" type="#_x0000_t136" style="position:absolute;margin-left:0;margin-top:0;width:412.1pt;height:247.25pt;rotation:315;z-index:-2515558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Pr>
        <w:noProof/>
      </w:rPr>
      <w:pict w14:anchorId="22412DB3">
        <v:shape id="_x0000_s1046" type="#_x0000_t136" style="position:absolute;margin-left:0;margin-top:0;width:449.6pt;height:269.75pt;rotation:315;z-index:-25158860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p w14:paraId="4A112F2A" w14:textId="77777777" w:rsidR="00D850A3" w:rsidRDefault="00D850A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23C9" w14:textId="77777777" w:rsidR="00DF47E2" w:rsidRPr="00667792" w:rsidRDefault="00000000" w:rsidP="00667792">
    <w:pPr>
      <w:pStyle w:val="Header"/>
    </w:pPr>
    <w:r>
      <w:rPr>
        <w:noProof/>
      </w:rPr>
      <w:pict w14:anchorId="3982D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111792" o:spid="_x0000_s1085" type="#_x0000_t136" style="position:absolute;margin-left:0;margin-top:0;width:412.1pt;height:247.25pt;rotation:315;z-index:-2515537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DF47E2">
      <w:rPr>
        <w:noProof/>
        <w:lang w:eastAsia="en-GB"/>
      </w:rPr>
      <w:drawing>
        <wp:anchor distT="0" distB="0" distL="114300" distR="114300" simplePos="0" relativeHeight="251738112" behindDoc="1" locked="0" layoutInCell="1" allowOverlap="1" wp14:anchorId="6CD668C2" wp14:editId="787DC180">
          <wp:simplePos x="0" y="0"/>
          <wp:positionH relativeFrom="page">
            <wp:posOffset>6848223</wp:posOffset>
          </wp:positionH>
          <wp:positionV relativeFrom="page">
            <wp:posOffset>264</wp:posOffset>
          </wp:positionV>
          <wp:extent cx="720000" cy="720000"/>
          <wp:effectExtent l="0" t="0" r="4445" b="4445"/>
          <wp:wrapNone/>
          <wp:docPr id="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79789A5A" w14:textId="77777777" w:rsidR="003E1065" w:rsidRPr="00DF47E2" w:rsidRDefault="003E1065" w:rsidP="00DF47E2">
    <w:pPr>
      <w:pStyle w:val="Header"/>
    </w:pPr>
  </w:p>
  <w:p w14:paraId="22C661B6" w14:textId="77777777" w:rsidR="00D850A3" w:rsidRDefault="00D850A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5D1C" w14:textId="77777777" w:rsidR="003E1065" w:rsidRDefault="00000000">
    <w:pPr>
      <w:pStyle w:val="Header"/>
    </w:pPr>
    <w:r>
      <w:rPr>
        <w:noProof/>
      </w:rPr>
      <w:pict w14:anchorId="0B7542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111790" o:spid="_x0000_s1083" type="#_x0000_t136" style="position:absolute;margin-left:0;margin-top:0;width:412.1pt;height:247.25pt;rotation:315;z-index:-25155788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Pr>
        <w:noProof/>
      </w:rPr>
      <w:pict w14:anchorId="2C819A2D">
        <v:shape id="_x0000_s1048" type="#_x0000_t136" style="position:absolute;margin-left:0;margin-top:0;width:449.6pt;height:269.75pt;rotation:315;z-index:-25158656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3E1065">
      <w:rPr>
        <w:noProof/>
        <w:lang w:eastAsia="en-GB"/>
      </w:rPr>
      <w:drawing>
        <wp:anchor distT="0" distB="0" distL="114300" distR="114300" simplePos="0" relativeHeight="251735040" behindDoc="1" locked="0" layoutInCell="1" allowOverlap="1" wp14:anchorId="030476A2" wp14:editId="5D47E6DD">
          <wp:simplePos x="0" y="0"/>
          <wp:positionH relativeFrom="page">
            <wp:posOffset>6827653</wp:posOffset>
          </wp:positionH>
          <wp:positionV relativeFrom="page">
            <wp:posOffset>0</wp:posOffset>
          </wp:positionV>
          <wp:extent cx="720000" cy="720000"/>
          <wp:effectExtent l="0" t="0" r="4445" b="4445"/>
          <wp:wrapNone/>
          <wp:docPr id="2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6E69B490" w14:textId="77777777" w:rsidR="003E1065" w:rsidRDefault="003E1065">
    <w:pPr>
      <w:pStyle w:val="Header"/>
    </w:pPr>
  </w:p>
  <w:p w14:paraId="6840FDC2" w14:textId="77777777" w:rsidR="003E1065" w:rsidRDefault="003E1065">
    <w:pPr>
      <w:pStyle w:val="Header"/>
    </w:pPr>
  </w:p>
  <w:p w14:paraId="2053E8A6" w14:textId="77777777" w:rsidR="00D850A3" w:rsidRDefault="00D850A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66821802"/>
    <w:lvl w:ilvl="0">
      <w:start w:val="1"/>
      <w:numFmt w:val="decimal"/>
      <w:pStyle w:val="ListNumber"/>
      <w:lvlText w:val="%1."/>
      <w:lvlJc w:val="left"/>
      <w:pPr>
        <w:tabs>
          <w:tab w:pos="360" w:val="num"/>
        </w:tabs>
        <w:ind w:hanging="360" w:left="360"/>
      </w:pPr>
    </w:lvl>
  </w:abstractNum>
  <w:abstractNum w15:restartNumberingAfterBreak="0" w:abstractNumId="1">
    <w:nsid w:val="0000A990"/>
    <w:multiLevelType w:val="multilevel"/>
    <w:tmpl w:val="3B0204B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000A991"/>
    <w:multiLevelType w:val="multilevel"/>
    <w:tmpl w:val="4A2835F0"/>
    <w:numStyleLink w:val="IALABulletList"/>
  </w:abstractNum>
  <w:abstractNum w15:restartNumberingAfterBreak="0" w:abstractNumId="3">
    <w:nsid w:val="00A99411"/>
    <w:multiLevelType w:val="multilevel"/>
    <w:tmpl w:val="342626DA"/>
    <w:numStyleLink w:val="IALANumberedList"/>
  </w:abstractNum>
  <w:abstractNum w15:restartNumberingAfterBreak="0" w:abstractNumId="4">
    <w:nsid w:val="133478BF"/>
    <w:multiLevelType w:val="hybridMultilevel"/>
    <w:tmpl w:val="11D8C93E"/>
    <w:lvl w:ilvl="0" w:tplc="9008FE02">
      <w:start w:val="1"/>
      <w:numFmt w:val="bullet"/>
      <w:pStyle w:val="InsetList"/>
      <w:lvlText w:val=""/>
      <w:lvlJc w:val="left"/>
      <w:pPr>
        <w:ind w:hanging="396" w:left="68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34F700B"/>
    <w:multiLevelType w:val="multilevel"/>
    <w:tmpl w:val="71761D6C"/>
    <w:lvl w:ilvl="0">
      <w:start w:val="1"/>
      <w:numFmt w:val="upperLetter"/>
      <w:pStyle w:val="Annex"/>
      <w:lvlText w:val="ANNEX %1"/>
      <w:lvlJc w:val="left"/>
      <w:pPr>
        <w:ind w:hanging="851" w:left="851"/>
      </w:pPr>
      <w:rPr>
        <w:rFonts w:asciiTheme="minorHAnsi" w:hAnsiTheme="minorHAnsi" w:hint="default"/>
        <w:b/>
        <w:i w:val="0"/>
        <w:caps/>
        <w:color w:val="00558C"/>
        <w:sz w:val="28"/>
        <w:u w:color="407EC9" w:val="none"/>
      </w:rPr>
    </w:lvl>
    <w:lvl w:ilvl="1">
      <w:start w:val="1"/>
      <w:numFmt w:val="decimal"/>
      <w:pStyle w:val="AnnexHead2"/>
      <w:lvlText w:val="%1.%2."/>
      <w:lvlJc w:val="left"/>
      <w:pPr>
        <w:ind w:hanging="851" w:left="851"/>
      </w:pPr>
      <w:rPr>
        <w:rFonts w:ascii="Calibri" w:hAnsi="Calibri" w:hint="default"/>
        <w:b/>
        <w:i w:val="0"/>
        <w:caps/>
        <w:color w:val="00558C"/>
        <w:sz w:val="24"/>
      </w:rPr>
    </w:lvl>
    <w:lvl w:ilvl="2">
      <w:start w:val="1"/>
      <w:numFmt w:val="decimal"/>
      <w:pStyle w:val="AnnexHead3"/>
      <w:lvlText w:val="%1.%2.%3."/>
      <w:lvlJc w:val="left"/>
      <w:pPr>
        <w:ind w:hanging="1021" w:left="1021"/>
      </w:pPr>
      <w:rPr>
        <w:rFonts w:ascii="Calibri" w:hAnsi="Calibri" w:hint="default"/>
        <w:b/>
        <w:i w:val="0"/>
        <w:vanish w:val="0"/>
        <w:color w:val="00558C"/>
        <w:sz w:val="24"/>
      </w:rPr>
    </w:lvl>
    <w:lvl w:ilvl="3">
      <w:start w:val="1"/>
      <w:numFmt w:val="decimal"/>
      <w:pStyle w:val="AnnexHead4"/>
      <w:lvlText w:val="%1.%2.%3.%4."/>
      <w:lvlJc w:val="left"/>
      <w:pPr>
        <w:ind w:hanging="1134" w:left="1134"/>
      </w:pPr>
      <w:rPr>
        <w:rFonts w:ascii="Calibri" w:hAnsi="Calibri" w:hint="default"/>
        <w:b/>
        <w:i w:val="0"/>
        <w:caps/>
        <w:color w:val="00558C"/>
        <w:sz w:val="22"/>
      </w:rPr>
    </w:lvl>
    <w:lvl w:ilvl="4">
      <w:start w:val="1"/>
      <w:numFmt w:val="decimal"/>
      <w:pStyle w:val="AnnexHead5"/>
      <w:lvlText w:val="%1.%2.%3.%4.%5."/>
      <w:lvlJc w:val="left"/>
      <w:pPr>
        <w:ind w:hanging="1134" w:left="1134"/>
      </w:pPr>
      <w:rPr>
        <w:rFonts w:ascii="Calibri" w:hAnsi="Calibri" w:hint="default"/>
        <w:b w:val="0"/>
        <w:i w:val="0"/>
        <w:caps/>
        <w:color w:val="00558C"/>
        <w:sz w:val="22"/>
      </w:rPr>
    </w:lvl>
    <w:lvl w:ilvl="5">
      <w:start w:val="1"/>
      <w:numFmt w:val="decimal"/>
      <w:lvlText w:val="%1.%2.%3.%4.%5.%6."/>
      <w:lvlJc w:val="left"/>
      <w:pPr>
        <w:ind w:hanging="851" w:left="851"/>
      </w:pPr>
      <w:rPr>
        <w:rFonts w:hint="default"/>
      </w:rPr>
    </w:lvl>
    <w:lvl w:ilvl="6">
      <w:start w:val="1"/>
      <w:numFmt w:val="decimal"/>
      <w:lvlText w:val="%1.%2.%3.%4.%5.%6.%7."/>
      <w:lvlJc w:val="left"/>
      <w:pPr>
        <w:ind w:hanging="851" w:left="851"/>
      </w:pPr>
      <w:rPr>
        <w:rFonts w:hint="default"/>
      </w:rPr>
    </w:lvl>
    <w:lvl w:ilvl="7">
      <w:start w:val="1"/>
      <w:numFmt w:val="decimal"/>
      <w:lvlText w:val="%1.%2.%3.%4.%5.%6.%7.%8."/>
      <w:lvlJc w:val="left"/>
      <w:pPr>
        <w:ind w:hanging="851" w:left="851"/>
      </w:pPr>
      <w:rPr>
        <w:rFonts w:hint="default"/>
      </w:rPr>
    </w:lvl>
    <w:lvl w:ilvl="8">
      <w:start w:val="1"/>
      <w:numFmt w:val="decimal"/>
      <w:lvlText w:val="%1.%2.%3.%4.%5.%6.%7.%8.%9."/>
      <w:lvlJc w:val="left"/>
      <w:pPr>
        <w:ind w:hanging="851" w:left="851"/>
      </w:pPr>
      <w:rPr>
        <w:rFonts w:hint="default"/>
      </w:rPr>
    </w:lvl>
  </w:abstractNum>
  <w:abstractNum w15:restartNumberingAfterBreak="0" w:abstractNumId="6">
    <w:nsid w:val="16102258"/>
    <w:multiLevelType w:val="multilevel"/>
    <w:tmpl w:val="5F0A5E12"/>
    <w:lvl w:ilvl="0">
      <w:start w:val="1"/>
      <w:numFmt w:val="decimal"/>
      <w:pStyle w:val="TableCaption"/>
      <w:lvlText w:val="Table %1"/>
      <w:lvlJc w:val="left"/>
      <w:pPr>
        <w:ind w:hanging="567" w:left="567"/>
      </w:pPr>
      <w:rPr>
        <w:rFonts w:ascii="Calibri" w:hAnsi="Calibri" w:hint="default"/>
        <w:b w:val="0"/>
        <w:i/>
        <w:u w:val="none"/>
      </w:rPr>
    </w:lvl>
    <w:lvl w:ilvl="1">
      <w:start w:val="1"/>
      <w:numFmt w:val="decimal"/>
      <w:lvlText w:val="%1.%2."/>
      <w:lvlJc w:val="left"/>
      <w:pPr>
        <w:ind w:hanging="432" w:left="1502"/>
      </w:pPr>
      <w:rPr>
        <w:rFonts w:hint="default"/>
      </w:rPr>
    </w:lvl>
    <w:lvl w:ilvl="2">
      <w:start w:val="1"/>
      <w:numFmt w:val="decimal"/>
      <w:lvlText w:val="%1.%2.%3."/>
      <w:lvlJc w:val="left"/>
      <w:pPr>
        <w:ind w:hanging="504" w:left="1934"/>
      </w:pPr>
      <w:rPr>
        <w:rFonts w:hint="default"/>
      </w:rPr>
    </w:lvl>
    <w:lvl w:ilvl="3">
      <w:start w:val="1"/>
      <w:numFmt w:val="decimal"/>
      <w:lvlText w:val="%1.%2.%3.%4."/>
      <w:lvlJc w:val="left"/>
      <w:pPr>
        <w:ind w:hanging="648" w:left="2438"/>
      </w:pPr>
      <w:rPr>
        <w:rFonts w:hint="default"/>
      </w:rPr>
    </w:lvl>
    <w:lvl w:ilvl="4">
      <w:start w:val="1"/>
      <w:numFmt w:val="decimal"/>
      <w:lvlText w:val="%1.%2.%3.%4.%5."/>
      <w:lvlJc w:val="left"/>
      <w:pPr>
        <w:ind w:hanging="792" w:left="2942"/>
      </w:pPr>
      <w:rPr>
        <w:rFonts w:hint="default"/>
      </w:rPr>
    </w:lvl>
    <w:lvl w:ilvl="5">
      <w:start w:val="1"/>
      <w:numFmt w:val="decimal"/>
      <w:lvlText w:val="%1.%2.%3.%4.%5.%6."/>
      <w:lvlJc w:val="left"/>
      <w:pPr>
        <w:ind w:hanging="936" w:left="3446"/>
      </w:pPr>
      <w:rPr>
        <w:rFonts w:hint="default"/>
      </w:rPr>
    </w:lvl>
    <w:lvl w:ilvl="6">
      <w:start w:val="1"/>
      <w:numFmt w:val="decimal"/>
      <w:lvlText w:val="%1.%2.%3.%4.%5.%6.%7."/>
      <w:lvlJc w:val="left"/>
      <w:pPr>
        <w:ind w:hanging="1080" w:left="3950"/>
      </w:pPr>
      <w:rPr>
        <w:rFonts w:hint="default"/>
      </w:rPr>
    </w:lvl>
    <w:lvl w:ilvl="7">
      <w:start w:val="1"/>
      <w:numFmt w:val="decimal"/>
      <w:lvlText w:val="%1.%2.%3.%4.%5.%6.%7.%8."/>
      <w:lvlJc w:val="left"/>
      <w:pPr>
        <w:ind w:hanging="1224" w:left="4454"/>
      </w:pPr>
      <w:rPr>
        <w:rFonts w:hint="default"/>
      </w:rPr>
    </w:lvl>
    <w:lvl w:ilvl="8">
      <w:start w:val="1"/>
      <w:numFmt w:val="decimal"/>
      <w:lvlText w:val="%1.%2.%3.%4.%5.%6.%7.%8.%9."/>
      <w:lvlJc w:val="left"/>
      <w:pPr>
        <w:ind w:hanging="1440" w:left="5030"/>
      </w:pPr>
      <w:rPr>
        <w:rFonts w:hint="default"/>
      </w:rPr>
    </w:lvl>
  </w:abstractNum>
  <w:abstractNum w15:restartNumberingAfterBreak="0" w:abstractNumId="7">
    <w:nsid w:val="19A1740F"/>
    <w:multiLevelType w:val="multilevel"/>
    <w:tmpl w:val="A04E49A4"/>
    <w:lvl w:ilvl="0">
      <w:start w:val="1"/>
      <w:numFmt w:val="decimal"/>
      <w:pStyle w:val="Appendix"/>
      <w:lvlText w:val="APPENDIX %1"/>
      <w:lvlJc w:val="left"/>
      <w:pPr>
        <w:ind w:hanging="1701" w:left="1701"/>
      </w:pPr>
      <w:rPr>
        <w:rFonts w:ascii="Calibri (Body)" w:hAnsi="Calibri (Body)" w:hint="default"/>
        <w:b/>
        <w:bCs w:val="0"/>
        <w:i w:val="0"/>
        <w:iCs w:val="0"/>
        <w:caps/>
        <w:smallCaps w:val="0"/>
        <w:strike w:val="0"/>
        <w:dstrike w:val="0"/>
        <w:outline w:val="0"/>
        <w:shadow w:val="0"/>
        <w:emboss w:val="0"/>
        <w:imprint w:val="0"/>
        <w:noProof w:val="0"/>
        <w:vanish w:val="0"/>
        <w:color w:val="00558C"/>
        <w:spacing w:val="0"/>
        <w:kern w:val="0"/>
        <w:position w:val="0"/>
        <w:sz w:val="28"/>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AppendixHead1"/>
      <w:lvlText w:val="%2."/>
      <w:lvlJc w:val="left"/>
      <w:pPr>
        <w:ind w:hanging="907" w:left="907"/>
      </w:pPr>
      <w:rPr>
        <w:rFonts w:hint="default"/>
      </w:rPr>
    </w:lvl>
    <w:lvl w:ilvl="2">
      <w:start w:val="1"/>
      <w:numFmt w:val="decimal"/>
      <w:pStyle w:val="AppendixHead2"/>
      <w:lvlText w:val="%2.%3."/>
      <w:lvlJc w:val="left"/>
      <w:pPr>
        <w:ind w:hanging="1247" w:left="1247"/>
      </w:pPr>
      <w:rPr>
        <w:rFonts w:hint="default"/>
      </w:rPr>
    </w:lvl>
    <w:lvl w:ilvl="3">
      <w:start w:val="1"/>
      <w:numFmt w:val="decimal"/>
      <w:pStyle w:val="AppendixHead3"/>
      <w:lvlText w:val="%2.%3.%4."/>
      <w:lvlJc w:val="left"/>
      <w:pPr>
        <w:ind w:hanging="1588" w:left="1588"/>
      </w:pPr>
      <w:rPr>
        <w:rFonts w:hint="default"/>
      </w:rPr>
    </w:lvl>
    <w:lvl w:ilvl="4">
      <w:start w:val="1"/>
      <w:numFmt w:val="decimal"/>
      <w:pStyle w:val="AppendixHead4"/>
      <w:lvlText w:val="%2.%3.%4.%5."/>
      <w:lvlJc w:val="left"/>
      <w:pPr>
        <w:ind w:hanging="1758" w:left="1758"/>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8">
    <w:nsid w:val="1E7E01D9"/>
    <w:multiLevelType w:val="hybridMultilevel"/>
    <w:tmpl w:val="ECFE5922"/>
    <w:lvl w:ilvl="0" w:tplc="EAC2AAE0">
      <w:start w:val="1"/>
      <w:numFmt w:val="decimal"/>
      <w:pStyle w:val="Reference"/>
      <w:lvlText w:val="[%1]"/>
      <w:lvlJc w:val="left"/>
      <w:pPr>
        <w:tabs>
          <w:tab w:pos="0" w:val="num"/>
        </w:tabs>
        <w:ind w:hanging="567" w:left="567"/>
      </w:pPr>
      <w:rPr>
        <w:rFonts w:asciiTheme="minorHAnsi" w:hAnsiTheme="minorHAnsi" w:hint="default"/>
        <w:b w:val="0"/>
        <w:i w:val="0"/>
        <w:sz w:val="22"/>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9">
    <w:nsid w:val="234245C5"/>
    <w:multiLevelType w:val="multilevel"/>
    <w:tmpl w:val="F5B0E470"/>
    <w:lvl w:ilvl="0">
      <w:start w:val="1"/>
      <w:numFmt w:val="decimal"/>
      <w:pStyle w:val="ImageCaption"/>
      <w:lvlText w:val="Figure %1"/>
      <w:lvlJc w:val="left"/>
      <w:pPr>
        <w:ind w:hanging="992" w:left="992"/>
      </w:pPr>
      <w:rPr>
        <w:rFonts w:asciiTheme="minorHAnsi" w:hAnsiTheme="minorHAnsi" w:hint="default"/>
        <w:b w:val="0"/>
        <w:i/>
        <w:sz w:val="22"/>
        <w:u w:val="none"/>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0">
    <w:nsid w:val="254A4879"/>
    <w:multiLevelType w:val="multilevel"/>
    <w:tmpl w:val="04090023"/>
    <w:styleLink w:val="ArticleSection"/>
    <w:lvl w:ilvl="0">
      <w:start w:val="1"/>
      <w:numFmt w:val="upperRoman"/>
      <w:lvlText w:val="Article %1."/>
      <w:lvlJc w:val="left"/>
      <w:pPr>
        <w:tabs>
          <w:tab w:pos="1440" w:val="num"/>
        </w:tabs>
        <w:ind w:firstLine="0" w:left="0"/>
      </w:pPr>
    </w:lvl>
    <w:lvl w:ilvl="1">
      <w:start w:val="1"/>
      <w:numFmt w:val="decimalZero"/>
      <w:isLgl/>
      <w:lvlText w:val="Section %1.%2"/>
      <w:lvlJc w:val="left"/>
      <w:pPr>
        <w:tabs>
          <w:tab w:pos="1080" w:val="num"/>
        </w:tabs>
        <w:ind w:firstLine="0" w:left="0"/>
      </w:pPr>
    </w:lvl>
    <w:lvl w:ilvl="2">
      <w:start w:val="1"/>
      <w:numFmt w:val="lowerLetter"/>
      <w:lvlText w:val="(%3)"/>
      <w:lvlJc w:val="left"/>
      <w:pPr>
        <w:tabs>
          <w:tab w:pos="720" w:val="num"/>
        </w:tabs>
        <w:ind w:hanging="432" w:left="720"/>
      </w:pPr>
    </w:lvl>
    <w:lvl w:ilvl="3">
      <w:start w:val="1"/>
      <w:numFmt w:val="lowerRoman"/>
      <w:lvlText w:val="(%4)"/>
      <w:lvlJc w:val="right"/>
      <w:pPr>
        <w:tabs>
          <w:tab w:pos="864" w:val="num"/>
        </w:tabs>
        <w:ind w:hanging="144" w:left="864"/>
      </w:pPr>
    </w:lvl>
    <w:lvl w:ilvl="4">
      <w:start w:val="1"/>
      <w:numFmt w:val="decimal"/>
      <w:lvlText w:val="%5)"/>
      <w:lvlJc w:val="left"/>
      <w:pPr>
        <w:tabs>
          <w:tab w:pos="1008" w:val="num"/>
        </w:tabs>
        <w:ind w:hanging="432" w:left="1008"/>
      </w:pPr>
    </w:lvl>
    <w:lvl w:ilvl="5">
      <w:start w:val="1"/>
      <w:numFmt w:val="lowerLetter"/>
      <w:lvlText w:val="%6)"/>
      <w:lvlJc w:val="left"/>
      <w:pPr>
        <w:tabs>
          <w:tab w:pos="1152" w:val="num"/>
        </w:tabs>
        <w:ind w:hanging="432" w:left="1152"/>
      </w:pPr>
    </w:lvl>
    <w:lvl w:ilvl="6">
      <w:start w:val="1"/>
      <w:numFmt w:val="lowerRoman"/>
      <w:lvlText w:val="%7)"/>
      <w:lvlJc w:val="right"/>
      <w:pPr>
        <w:tabs>
          <w:tab w:pos="1296" w:val="num"/>
        </w:tabs>
        <w:ind w:hanging="288" w:left="1296"/>
      </w:pPr>
    </w:lvl>
    <w:lvl w:ilvl="7">
      <w:start w:val="1"/>
      <w:numFmt w:val="lowerLetter"/>
      <w:lvlText w:val="%8."/>
      <w:lvlJc w:val="left"/>
      <w:pPr>
        <w:tabs>
          <w:tab w:pos="1440" w:val="num"/>
        </w:tabs>
        <w:ind w:hanging="432" w:left="1440"/>
      </w:pPr>
    </w:lvl>
    <w:lvl w:ilvl="8">
      <w:start w:val="1"/>
      <w:numFmt w:val="lowerRoman"/>
      <w:lvlText w:val="%9."/>
      <w:lvlJc w:val="right"/>
      <w:pPr>
        <w:tabs>
          <w:tab w:pos="1584" w:val="num"/>
        </w:tabs>
        <w:ind w:hanging="144" w:left="1584"/>
      </w:pPr>
    </w:lvl>
  </w:abstractNum>
  <w:abstractNum w15:restartNumberingAfterBreak="0" w:abstractNumId="11">
    <w:nsid w:val="28336371"/>
    <w:multiLevelType w:val="hybridMultilevel"/>
    <w:tmpl w:val="997491D8"/>
    <w:lvl w:ilvl="0" w:tplc="930467F4">
      <w:start w:val="1"/>
      <w:numFmt w:val="bullet"/>
      <w:pStyle w:val="Tableinsetlist"/>
      <w:lvlText w:val=""/>
      <w:lvlJc w:val="left"/>
      <w:pPr>
        <w:ind w:hanging="284" w:left="397"/>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2A4E1CF1"/>
    <w:multiLevelType w:val="multilevel"/>
    <w:tmpl w:val="1E38A4A2"/>
    <w:lvl w:ilvl="0">
      <w:start w:val="1"/>
      <w:numFmt w:val="decimal"/>
      <w:pStyle w:val="AnnexTablecaption"/>
      <w:lvlText w:val="Table %1"/>
      <w:lvlJc w:val="left"/>
      <w:pPr>
        <w:ind w:hanging="992" w:left="992"/>
      </w:pPr>
      <w:rPr>
        <w:rFonts w:asciiTheme="minorHAnsi" w:hAnsiTheme="minorHAnsi" w:hint="default"/>
        <w:b w:val="0"/>
        <w:i/>
        <w:sz w:val="22"/>
        <w:u w:val="none"/>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3">
    <w:nsid w:val="2A79174A"/>
    <w:multiLevelType w:val="multilevel"/>
    <w:tmpl w:val="4A2835F0"/>
    <w:styleLink w:val="IALABulletList"/>
    <w:lvl w:ilvl="0">
      <w:start w:val="1"/>
      <w:numFmt w:val="bullet"/>
      <w:lvlText w:val=""/>
      <w:lvlJc w:val="left"/>
      <w:pPr>
        <w:ind w:hanging="480" w:left="720"/>
      </w:pPr>
      <w:rPr>
        <w:rFonts w:ascii="Symbol" w:hAnsi="Symbol" w:hint="default"/>
        <w:color w:themeColor="accent5" w:themeShade="BF" w:val="3E60A1"/>
      </w:rPr>
    </w:lvl>
    <w:lvl w:ilvl="1">
      <w:start w:val="1"/>
      <w:numFmt w:val="bullet"/>
      <w:lvlText w:val=""/>
      <w:lvlJc w:val="left"/>
      <w:pPr>
        <w:ind w:hanging="480" w:left="1440"/>
      </w:pPr>
      <w:rPr>
        <w:rFonts w:ascii="Symbol" w:hAnsi="Symbol" w:hint="default"/>
        <w:color w:themeColor="accent5" w:themeTint="99" w:val="A3B6DB"/>
      </w:rPr>
    </w:lvl>
    <w:lvl w:ilvl="2">
      <w:start w:val="1"/>
      <w:numFmt w:val="bullet"/>
      <w:lvlText w:val="o"/>
      <w:lvlJc w:val="left"/>
      <w:pPr>
        <w:ind w:hanging="480" w:left="2160"/>
      </w:pPr>
      <w:rPr>
        <w:rFonts w:ascii="Courier New" w:cs="Courier New" w:hAnsi="Courier New" w:hint="default"/>
      </w:r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4">
    <w:nsid w:val="2BDB2C74"/>
    <w:multiLevelType w:val="multilevel"/>
    <w:tmpl w:val="4B8246FA"/>
    <w:lvl w:ilvl="0">
      <w:start w:val="1"/>
      <w:numFmt w:val="decimal"/>
      <w:pStyle w:val="AnnexFigureCaption"/>
      <w:lvlText w:val="Figure %1"/>
      <w:lvlJc w:val="left"/>
      <w:pPr>
        <w:ind w:hanging="992" w:left="992"/>
      </w:pPr>
      <w:rPr>
        <w:rFonts w:asciiTheme="minorHAnsi" w:hAnsiTheme="minorHAnsi" w:hint="default"/>
        <w:b w:val="0"/>
        <w:i/>
        <w:sz w:val="22"/>
        <w:u w:val="none"/>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32547343"/>
    <w:multiLevelType w:val="multilevel"/>
    <w:tmpl w:val="0B2865BA"/>
    <w:lvl w:ilvl="0">
      <w:start w:val="1"/>
      <w:numFmt w:val="decimal"/>
      <w:pStyle w:val="Furtherreading"/>
      <w:lvlText w:val="[%1]"/>
      <w:lvlJc w:val="left"/>
      <w:pPr>
        <w:ind w:hanging="567" w:left="567"/>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6">
    <w:nsid w:val="48D554E7"/>
    <w:multiLevelType w:val="hybridMultilevel"/>
    <w:tmpl w:val="6F7ED8FE"/>
    <w:lvl w:ilvl="0" w:tplc="5A2A8644">
      <w:start w:val="1"/>
      <w:numFmt w:val="bullet"/>
      <w:pStyle w:val="Bullet1"/>
      <w:lvlText w:val=""/>
      <w:lvlJc w:val="left"/>
      <w:pPr>
        <w:ind w:hanging="360" w:left="360"/>
      </w:pPr>
      <w:rPr>
        <w:rFonts w:ascii="Symbol" w:hAnsi="Symbol" w:hint="default"/>
        <w:color w:val="00558C"/>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B407171"/>
    <w:multiLevelType w:val="multilevel"/>
    <w:tmpl w:val="342626DA"/>
    <w:styleLink w:val="IALANumberedList"/>
    <w:lvl w:ilvl="0">
      <w:start w:val="1"/>
      <w:numFmt w:val="decimal"/>
      <w:lvlText w:val="%1"/>
      <w:lvlJc w:val="left"/>
      <w:pPr>
        <w:ind w:hanging="480" w:left="720"/>
      </w:pPr>
      <w:rPr>
        <w:rFonts w:hint="default"/>
      </w:rPr>
    </w:lvl>
    <w:lvl w:ilvl="1">
      <w:start w:val="1"/>
      <w:numFmt w:val="lowerLetter"/>
      <w:lvlText w:val="%2"/>
      <w:lvlJc w:val="left"/>
      <w:pPr>
        <w:ind w:hanging="480" w:left="1440"/>
      </w:pPr>
      <w:rPr>
        <w:rFonts w:hint="default"/>
      </w:rPr>
    </w:lvl>
    <w:lvl w:ilvl="2">
      <w:start w:val="1"/>
      <w:numFmt w:val="lowerRoman"/>
      <w:lvlText w:val="%3"/>
      <w:lvlJc w:val="left"/>
      <w:pPr>
        <w:ind w:hanging="480" w:left="2160"/>
      </w:pPr>
      <w:rPr>
        <w:rFonts w:hint="default"/>
      </w:rPr>
    </w:lvl>
    <w:lvl w:ilvl="3">
      <w:start w:val="1"/>
      <w:numFmt w:val="decimal"/>
      <w:lvlText w:val="%4."/>
      <w:lvlJc w:val="left"/>
      <w:pPr>
        <w:ind w:hanging="480" w:left="2880"/>
      </w:pPr>
      <w:rPr>
        <w:rFonts w:hint="default"/>
      </w:rPr>
    </w:lvl>
    <w:lvl w:ilvl="4">
      <w:start w:val="1"/>
      <w:numFmt w:val="decimal"/>
      <w:lvlText w:val="%5."/>
      <w:lvlJc w:val="left"/>
      <w:pPr>
        <w:ind w:hanging="480" w:left="3600"/>
      </w:pPr>
      <w:rPr>
        <w:rFonts w:hint="default"/>
      </w:rPr>
    </w:lvl>
    <w:lvl w:ilvl="5">
      <w:start w:val="1"/>
      <w:numFmt w:val="decimal"/>
      <w:lvlText w:val="%6."/>
      <w:lvlJc w:val="left"/>
      <w:pPr>
        <w:ind w:hanging="480" w:left="4320"/>
      </w:pPr>
      <w:rPr>
        <w:rFonts w:hint="default"/>
      </w:rPr>
    </w:lvl>
    <w:lvl w:ilvl="6">
      <w:start w:val="1"/>
      <w:numFmt w:val="decimal"/>
      <w:lvlText w:val="%7."/>
      <w:lvlJc w:val="left"/>
      <w:pPr>
        <w:ind w:hanging="480" w:left="5040"/>
      </w:pPr>
      <w:rPr>
        <w:rFonts w:hint="default"/>
      </w:rPr>
    </w:lvl>
    <w:lvl w:ilvl="7">
      <w:start w:val="1"/>
      <w:numFmt w:val="decimal"/>
      <w:lvlText w:val="%8."/>
      <w:lvlJc w:val="left"/>
      <w:pPr>
        <w:ind w:hanging="480" w:left="5760"/>
      </w:pPr>
      <w:rPr>
        <w:rFonts w:hint="default"/>
      </w:rPr>
    </w:lvl>
    <w:lvl w:ilvl="8">
      <w:start w:val="1"/>
      <w:numFmt w:val="decimal"/>
      <w:lvlText w:val="%9."/>
      <w:lvlJc w:val="left"/>
      <w:pPr>
        <w:ind w:hanging="480" w:left="6480"/>
      </w:pPr>
      <w:rPr>
        <w:rFonts w:hint="default"/>
      </w:rPr>
    </w:lvl>
  </w:abstractNum>
  <w:abstractNum w15:restartNumberingAfterBreak="0" w:abstractNumId="18">
    <w:nsid w:val="5EB057A3"/>
    <w:multiLevelType w:val="multilevel"/>
    <w:tmpl w:val="46686680"/>
    <w:lvl w:ilvl="0">
      <w:start w:val="1"/>
      <w:numFmt w:val="decimal"/>
      <w:pStyle w:val="Equation"/>
      <w:lvlText w:val="(%1)"/>
      <w:lvlJc w:val="left"/>
      <w:pPr>
        <w:ind w:hanging="360" w:left="360"/>
      </w:pPr>
      <w:rPr>
        <w:rFonts w:hint="default"/>
        <w:b w:val="0"/>
        <w:i w:val="0"/>
        <w:sz w:val="22"/>
        <w:u w:val="none"/>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9">
    <w:nsid w:val="67AB4D84"/>
    <w:multiLevelType w:val="multilevel"/>
    <w:tmpl w:val="FFDC463E"/>
    <w:lvl w:ilvl="0">
      <w:start w:val="1"/>
      <w:numFmt w:val="decimal"/>
      <w:pStyle w:val="Heading1"/>
      <w:lvlText w:val="%1."/>
      <w:lvlJc w:val="left"/>
      <w:pPr>
        <w:tabs>
          <w:tab w:pos="0" w:val="num"/>
        </w:tabs>
        <w:ind w:hanging="709" w:left="709"/>
      </w:pPr>
      <w:rPr>
        <w:rFonts w:asciiTheme="minorHAnsi" w:hAnsiTheme="minorHAnsi" w:hint="default"/>
        <w:b/>
        <w:i w:val="0"/>
        <w:color w:val="00558C"/>
        <w:sz w:val="28"/>
      </w:rPr>
    </w:lvl>
    <w:lvl w:ilvl="1">
      <w:start w:val="1"/>
      <w:numFmt w:val="decimal"/>
      <w:pStyle w:val="Heading2"/>
      <w:lvlText w:val="%1.%2."/>
      <w:lvlJc w:val="left"/>
      <w:pPr>
        <w:tabs>
          <w:tab w:pos="0" w:val="num"/>
        </w:tabs>
        <w:ind w:hanging="851" w:left="851"/>
      </w:pPr>
      <w:rPr>
        <w:rFonts w:asciiTheme="minorHAnsi" w:hAnsiTheme="minorHAnsi" w:hint="default"/>
        <w:b/>
        <w:i w:val="0"/>
        <w:color w:val="00558C"/>
        <w:sz w:val="24"/>
      </w:rPr>
    </w:lvl>
    <w:lvl w:ilvl="2">
      <w:start w:val="1"/>
      <w:numFmt w:val="decimal"/>
      <w:pStyle w:val="Heading3"/>
      <w:lvlText w:val="%1.%2.%3."/>
      <w:lvlJc w:val="left"/>
      <w:pPr>
        <w:tabs>
          <w:tab w:pos="0" w:val="num"/>
        </w:tabs>
        <w:ind w:hanging="992" w:left="992"/>
      </w:pPr>
      <w:rPr>
        <w:rFonts w:asciiTheme="minorHAnsi" w:hAnsiTheme="minorHAnsi" w:hint="default"/>
        <w:b/>
        <w:i w:val="0"/>
        <w:color w:val="00558C"/>
        <w:sz w:val="22"/>
      </w:rPr>
    </w:lvl>
    <w:lvl w:ilvl="3">
      <w:start w:val="1"/>
      <w:numFmt w:val="decimal"/>
      <w:pStyle w:val="Heading4"/>
      <w:lvlText w:val="%1.%2.%3.%4."/>
      <w:lvlJc w:val="left"/>
      <w:pPr>
        <w:tabs>
          <w:tab w:pos="0" w:val="num"/>
        </w:tabs>
        <w:ind w:hanging="1134" w:left="1134"/>
      </w:pPr>
      <w:rPr>
        <w:rFonts w:asciiTheme="minorHAnsi" w:hAnsiTheme="minorHAnsi" w:hint="default"/>
        <w:b/>
        <w:i w:val="0"/>
        <w:color w:val="00558C"/>
        <w:sz w:val="22"/>
      </w:rPr>
    </w:lvl>
    <w:lvl w:ilvl="4">
      <w:start w:val="1"/>
      <w:numFmt w:val="decimal"/>
      <w:pStyle w:val="Heading5"/>
      <w:lvlText w:val="%1.%2.%3.%4.%5"/>
      <w:lvlJc w:val="left"/>
      <w:pPr>
        <w:ind w:hanging="1008" w:left="1008"/>
      </w:pPr>
      <w:rPr>
        <w:rFonts w:ascii="Calibri" w:hAnsi="Calibri" w:hint="default"/>
        <w:color w:val="00558C"/>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6C9C62AB"/>
    <w:multiLevelType w:val="multilevel"/>
    <w:tmpl w:val="5C4AF784"/>
    <w:lvl w:ilvl="0">
      <w:start w:val="1"/>
      <w:numFmt w:val="decimal"/>
      <w:lvlText w:val="%1"/>
      <w:lvlJc w:val="left"/>
      <w:pPr>
        <w:ind w:hanging="567" w:left="567"/>
      </w:pPr>
      <w:rPr>
        <w:rFonts w:asciiTheme="minorHAnsi" w:hAnsiTheme="minorHAnsi" w:hint="default"/>
        <w:b w:val="0"/>
        <w:i w:val="0"/>
        <w:sz w:val="22"/>
      </w:rPr>
    </w:lvl>
    <w:lvl w:ilvl="1">
      <w:start w:val="1"/>
      <w:numFmt w:val="lowerLetter"/>
      <w:pStyle w:val="Lista"/>
      <w:lvlText w:val="%2"/>
      <w:lvlJc w:val="left"/>
      <w:pPr>
        <w:ind w:hanging="567" w:left="1134"/>
      </w:pPr>
      <w:rPr>
        <w:rFonts w:asciiTheme="minorHAnsi" w:hAnsiTheme="minorHAnsi" w:hint="default"/>
        <w:b w:val="0"/>
        <w:i w:val="0"/>
        <w:sz w:val="22"/>
      </w:rPr>
    </w:lvl>
    <w:lvl w:ilvl="2">
      <w:start w:val="1"/>
      <w:numFmt w:val="lowerRoman"/>
      <w:pStyle w:val="Listi"/>
      <w:lvlText w:val="%3"/>
      <w:lvlJc w:val="left"/>
      <w:pPr>
        <w:ind w:hanging="567" w:left="2268"/>
      </w:pPr>
      <w:rPr>
        <w:rFonts w:asciiTheme="minorHAnsi" w:hAnsiTheme="minorHAnsi" w:hint="default"/>
        <w:b w:val="0"/>
        <w:i w:val="0"/>
        <w:sz w:val="20"/>
      </w:rPr>
    </w:lvl>
    <w:lvl w:ilvl="3">
      <w:start w:val="1"/>
      <w:numFmt w:val="decimal"/>
      <w:lvlText w:val="(%4)"/>
      <w:lvlJc w:val="left"/>
      <w:pPr>
        <w:ind w:hanging="360" w:left="2858"/>
      </w:pPr>
      <w:rPr>
        <w:rFonts w:hint="default"/>
      </w:rPr>
    </w:lvl>
    <w:lvl w:ilvl="4">
      <w:start w:val="1"/>
      <w:numFmt w:val="lowerLetter"/>
      <w:lvlText w:val="(%5)"/>
      <w:lvlJc w:val="left"/>
      <w:pPr>
        <w:ind w:hanging="360" w:left="3218"/>
      </w:pPr>
      <w:rPr>
        <w:rFonts w:hint="default"/>
      </w:rPr>
    </w:lvl>
    <w:lvl w:ilvl="5">
      <w:start w:val="1"/>
      <w:numFmt w:val="lowerRoman"/>
      <w:lvlText w:val="(%6)"/>
      <w:lvlJc w:val="left"/>
      <w:pPr>
        <w:ind w:hanging="360" w:left="3578"/>
      </w:pPr>
      <w:rPr>
        <w:rFonts w:hint="default"/>
      </w:rPr>
    </w:lvl>
    <w:lvl w:ilvl="6">
      <w:start w:val="1"/>
      <w:numFmt w:val="decimal"/>
      <w:lvlText w:val="%7."/>
      <w:lvlJc w:val="left"/>
      <w:pPr>
        <w:ind w:hanging="360" w:left="3938"/>
      </w:pPr>
      <w:rPr>
        <w:rFonts w:hint="default"/>
      </w:rPr>
    </w:lvl>
    <w:lvl w:ilvl="7">
      <w:start w:val="1"/>
      <w:numFmt w:val="lowerLetter"/>
      <w:lvlText w:val="%8."/>
      <w:lvlJc w:val="left"/>
      <w:pPr>
        <w:ind w:hanging="360" w:left="4298"/>
      </w:pPr>
      <w:rPr>
        <w:rFonts w:hint="default"/>
      </w:rPr>
    </w:lvl>
    <w:lvl w:ilvl="8">
      <w:start w:val="1"/>
      <w:numFmt w:val="lowerRoman"/>
      <w:lvlText w:val="%9."/>
      <w:lvlJc w:val="left"/>
      <w:pPr>
        <w:ind w:hanging="360" w:left="4658"/>
      </w:pPr>
      <w:rPr>
        <w:rFonts w:hint="default"/>
      </w:rPr>
    </w:lvl>
  </w:abstractNum>
  <w:abstractNum w15:restartNumberingAfterBreak="0" w:abstractNumId="21">
    <w:nsid w:val="76D64DA6"/>
    <w:multiLevelType w:val="hybridMultilevel"/>
    <w:tmpl w:val="60E6F4BE"/>
    <w:lvl w:ilvl="0" w:tplc="84F40B06">
      <w:start w:val="1"/>
      <w:numFmt w:val="bullet"/>
      <w:pStyle w:val="Bullet3"/>
      <w:lvlText w:val="o"/>
      <w:lvlJc w:val="left"/>
      <w:pPr>
        <w:ind w:hanging="360" w:left="1211"/>
      </w:pPr>
      <w:rPr>
        <w:rFonts w:ascii="Courier New" w:cs="Courier New" w:hAnsi="Courier New" w:hint="default"/>
      </w:rPr>
    </w:lvl>
    <w:lvl w:ilvl="1" w:tentative="1" w:tplc="041D0003">
      <w:start w:val="1"/>
      <w:numFmt w:val="bullet"/>
      <w:lvlText w:val="o"/>
      <w:lvlJc w:val="left"/>
      <w:pPr>
        <w:tabs>
          <w:tab w:pos="1440" w:val="num"/>
        </w:tabs>
        <w:ind w:hanging="360" w:left="1440"/>
      </w:pPr>
      <w:rPr>
        <w:rFonts w:ascii="Courier New" w:cs="Courier New" w:hAnsi="Courier New" w:hint="default"/>
      </w:rPr>
    </w:lvl>
    <w:lvl w:ilvl="2" w:tentative="1" w:tplc="041D0005">
      <w:start w:val="1"/>
      <w:numFmt w:val="bullet"/>
      <w:lvlText w:val=""/>
      <w:lvlJc w:val="left"/>
      <w:pPr>
        <w:tabs>
          <w:tab w:pos="2160" w:val="num"/>
        </w:tabs>
        <w:ind w:hanging="360" w:left="2160"/>
      </w:pPr>
      <w:rPr>
        <w:rFonts w:ascii="Wingdings" w:hAnsi="Wingdings" w:hint="default"/>
      </w:rPr>
    </w:lvl>
    <w:lvl w:ilvl="3" w:tentative="1" w:tplc="041D0001">
      <w:start w:val="1"/>
      <w:numFmt w:val="bullet"/>
      <w:lvlText w:val=""/>
      <w:lvlJc w:val="left"/>
      <w:pPr>
        <w:tabs>
          <w:tab w:pos="2880" w:val="num"/>
        </w:tabs>
        <w:ind w:hanging="360" w:left="2880"/>
      </w:pPr>
      <w:rPr>
        <w:rFonts w:ascii="Symbol" w:hAnsi="Symbol" w:hint="default"/>
      </w:rPr>
    </w:lvl>
    <w:lvl w:ilvl="4" w:tentative="1" w:tplc="041D0003">
      <w:start w:val="1"/>
      <w:numFmt w:val="bullet"/>
      <w:lvlText w:val="o"/>
      <w:lvlJc w:val="left"/>
      <w:pPr>
        <w:tabs>
          <w:tab w:pos="3600" w:val="num"/>
        </w:tabs>
        <w:ind w:hanging="360" w:left="3600"/>
      </w:pPr>
      <w:rPr>
        <w:rFonts w:ascii="Courier New" w:cs="Courier New" w:hAnsi="Courier New" w:hint="default"/>
      </w:rPr>
    </w:lvl>
    <w:lvl w:ilvl="5" w:tentative="1" w:tplc="041D0005">
      <w:start w:val="1"/>
      <w:numFmt w:val="bullet"/>
      <w:lvlText w:val=""/>
      <w:lvlJc w:val="left"/>
      <w:pPr>
        <w:tabs>
          <w:tab w:pos="4320" w:val="num"/>
        </w:tabs>
        <w:ind w:hanging="360" w:left="4320"/>
      </w:pPr>
      <w:rPr>
        <w:rFonts w:ascii="Wingdings" w:hAnsi="Wingdings" w:hint="default"/>
      </w:rPr>
    </w:lvl>
    <w:lvl w:ilvl="6" w:tentative="1" w:tplc="041D0001">
      <w:start w:val="1"/>
      <w:numFmt w:val="bullet"/>
      <w:lvlText w:val=""/>
      <w:lvlJc w:val="left"/>
      <w:pPr>
        <w:tabs>
          <w:tab w:pos="5040" w:val="num"/>
        </w:tabs>
        <w:ind w:hanging="360" w:left="5040"/>
      </w:pPr>
      <w:rPr>
        <w:rFonts w:ascii="Symbol" w:hAnsi="Symbol" w:hint="default"/>
      </w:rPr>
    </w:lvl>
    <w:lvl w:ilvl="7" w:tentative="1" w:tplc="041D0003">
      <w:start w:val="1"/>
      <w:numFmt w:val="bullet"/>
      <w:lvlText w:val="o"/>
      <w:lvlJc w:val="left"/>
      <w:pPr>
        <w:tabs>
          <w:tab w:pos="5760" w:val="num"/>
        </w:tabs>
        <w:ind w:hanging="360" w:left="5760"/>
      </w:pPr>
      <w:rPr>
        <w:rFonts w:ascii="Courier New" w:cs="Courier New" w:hAnsi="Courier New" w:hint="default"/>
      </w:rPr>
    </w:lvl>
    <w:lvl w:ilvl="8" w:tentative="1" w:tplc="041D0005">
      <w:start w:val="1"/>
      <w:numFmt w:val="bullet"/>
      <w:lvlText w:val=""/>
      <w:lvlJc w:val="left"/>
      <w:pPr>
        <w:tabs>
          <w:tab w:pos="6480" w:val="num"/>
        </w:tabs>
        <w:ind w:hanging="360" w:left="6480"/>
      </w:pPr>
      <w:rPr>
        <w:rFonts w:ascii="Wingdings" w:hAnsi="Wingdings" w:hint="default"/>
      </w:rPr>
    </w:lvl>
  </w:abstractNum>
  <w:abstractNum w15:restartNumberingAfterBreak="0" w:abstractNumId="22">
    <w:nsid w:val="77B65365"/>
    <w:multiLevelType w:val="multilevel"/>
    <w:tmpl w:val="1898C208"/>
    <w:lvl w:ilvl="0">
      <w:start w:val="1"/>
      <w:numFmt w:val="decimal"/>
      <w:pStyle w:val="List1"/>
      <w:lvlText w:val="%1"/>
      <w:lvlJc w:val="left"/>
      <w:pPr>
        <w:tabs>
          <w:tab w:pos="0" w:val="num"/>
        </w:tabs>
        <w:ind w:hanging="567" w:left="567"/>
      </w:pPr>
      <w:rPr>
        <w:rFonts w:asciiTheme="minorHAnsi" w:hAnsiTheme="minorHAnsi" w:hint="default"/>
        <w:b w:val="0"/>
        <w:i w:val="0"/>
        <w:sz w:val="22"/>
      </w:rPr>
    </w:lvl>
    <w:lvl w:ilvl="1">
      <w:start w:val="1"/>
      <w:numFmt w:val="lowerLetter"/>
      <w:lvlText w:val="%2"/>
      <w:lvlJc w:val="left"/>
      <w:pPr>
        <w:tabs>
          <w:tab w:pos="0" w:val="num"/>
        </w:tabs>
        <w:ind w:hanging="567" w:left="1134"/>
      </w:pPr>
      <w:rPr>
        <w:rFonts w:asciiTheme="minorHAnsi" w:hAnsiTheme="minorHAnsi" w:hint="default"/>
        <w:b w:val="0"/>
        <w:i w:val="0"/>
        <w:sz w:val="22"/>
      </w:rPr>
    </w:lvl>
    <w:lvl w:ilvl="2">
      <w:start w:val="1"/>
      <w:numFmt w:val="lowerRoman"/>
      <w:lvlText w:val="%3"/>
      <w:lvlJc w:val="left"/>
      <w:pPr>
        <w:ind w:firstLine="567" w:left="567"/>
      </w:pPr>
      <w:rPr>
        <w:rFonts w:asciiTheme="minorHAnsi" w:hAnsiTheme="minorHAnsi" w:hint="default"/>
        <w:b w:val="0"/>
        <w:i w:val="0"/>
        <w:sz w:val="20"/>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3">
    <w:nsid w:val="7BB11B89"/>
    <w:multiLevelType w:val="hybridMultilevel"/>
    <w:tmpl w:val="22EAEB96"/>
    <w:lvl w:ilvl="0" w:tplc="D44E2B6C">
      <w:start w:val="1"/>
      <w:numFmt w:val="bullet"/>
      <w:pStyle w:val="Bullet2"/>
      <w:lvlText w:val=""/>
      <w:lvlJc w:val="left"/>
      <w:pPr>
        <w:ind w:hanging="426" w:left="851"/>
      </w:pPr>
      <w:rPr>
        <w:rFonts w:ascii="Symbol" w:hAnsi="Symbol" w:hint="default"/>
        <w:color w:val="B2C1ED"/>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76901306" w:numId="1">
    <w:abstractNumId w:val="5"/>
  </w:num>
  <w:num w16cid:durableId="1411194377" w:numId="2">
    <w:abstractNumId w:val="11"/>
  </w:num>
  <w:num w16cid:durableId="2979000" w:numId="3">
    <w:abstractNumId w:val="6"/>
  </w:num>
  <w:num w16cid:durableId="948463710" w:numId="4">
    <w:abstractNumId w:val="10"/>
  </w:num>
  <w:num w16cid:durableId="1345281543" w:numId="5">
    <w:abstractNumId w:val="4"/>
  </w:num>
  <w:num w16cid:durableId="1607926095" w:numId="6">
    <w:abstractNumId w:val="0"/>
  </w:num>
  <w:num w16cid:durableId="803155920" w:numId="7">
    <w:abstractNumId w:val="7"/>
  </w:num>
  <w:num w16cid:durableId="360401034" w:numId="8">
    <w:abstractNumId w:val="8"/>
  </w:num>
  <w:num w16cid:durableId="1798180209" w:numId="9">
    <w:abstractNumId w:val="18"/>
  </w:num>
  <w:num w16cid:durableId="698508161" w:numId="10">
    <w:abstractNumId w:val="15"/>
  </w:num>
  <w:num w16cid:durableId="275060282" w:numId="11">
    <w:abstractNumId w:val="16"/>
  </w:num>
  <w:num w16cid:durableId="391082471" w:numId="12">
    <w:abstractNumId w:val="23"/>
  </w:num>
  <w:num w16cid:durableId="679164451" w:numId="13">
    <w:abstractNumId w:val="21"/>
  </w:num>
  <w:num w16cid:durableId="378474905" w:numId="14">
    <w:abstractNumId w:val="22"/>
  </w:num>
  <w:num w16cid:durableId="86850773" w:numId="15">
    <w:abstractNumId w:val="20"/>
  </w:num>
  <w:num w16cid:durableId="478696562" w:numId="16">
    <w:abstractNumId w:val="19"/>
  </w:num>
  <w:num w16cid:durableId="1402555476" w:numId="17">
    <w:abstractNumId w:val="14"/>
  </w:num>
  <w:num w16cid:durableId="107546910" w:numId="18">
    <w:abstractNumId w:val="12"/>
  </w:num>
  <w:num w16cid:durableId="230426246" w:numId="19">
    <w:abstractNumId w:val="9"/>
  </w:num>
  <w:num w16cid:durableId="349914664" w:numId="20">
    <w:abstractNumId w:val="13"/>
  </w:num>
  <w:num w16cid:durableId="1672485451" w:numId="21">
    <w:abstractNumId w:val="17"/>
  </w:num>
  <w:num w16cid:durableId="1052654787" w:numId="22">
    <w:abstractNumId w:val="1"/>
  </w:num>
  <w:num w16cid:durableId="1473597891" w:numId="23">
    <w:abstractNumId w:val="2"/>
  </w:num>
  <w:num w16cid:durableId="1780031048" w:numId="24">
    <w:abstractNumId w:val="2"/>
  </w:num>
  <w:num w16cid:durableId="257449629" w:numId="25">
    <w:abstractNumId w:val="2"/>
  </w:num>
  <w:num w16cid:durableId="1991521546" w:numId="26">
    <w:abstractNumId w:val="2"/>
  </w:num>
  <w:num w16cid:durableId="1301115403"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35100663" w:numId="28">
    <w:abstractNumId w:val="2"/>
  </w:num>
  <w:num w16cid:durableId="886142082" w:numId="29">
    <w:abstractNumId w:val="2"/>
  </w:num>
  <w:num w16cid:durableId="1965035246" w:numId="30">
    <w:abstractNumId w:val="2"/>
  </w:num>
  <w:num w16cid:durableId="2072606676"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7417462"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5149107"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45343929" w:numId="34">
    <w:abstractNumId w:val="2"/>
  </w:num>
  <w:num w16cid:durableId="1763338685" w:numId="35">
    <w:abstractNumId w:val="2"/>
  </w:num>
  <w:num w16cid:durableId="702560335" w:numId="36">
    <w:abstractNumId w:val="2"/>
  </w:num>
  <w:num w16cid:durableId="989137821"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4757186"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27690886"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26362503"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1" w:dllVersion="6" w:lang="en-GB" w:nlCheck="1" w:vendorID="64"/>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08"/>
  <w:hyphenationZone w:val="425"/>
  <w:drawingGridHorizontalSpacing w:val="90"/>
  <w:drawingGridVerticalSpacing w:val="360"/>
  <w:displayHorizontalDrawingGridEvery w:val="2"/>
  <w:displayVerticalDrawingGridEvery w:val="2"/>
  <w:characterSpacingControl w:val="doNotCompress"/>
  <w:savePreviewPicture/>
  <w:hdrShapeDefaults>
    <o:shapedefaults spidmax="2050" v:ext="edit"/>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0E9"/>
    <w:rsid w:val="00001616"/>
    <w:rsid w:val="0001616D"/>
    <w:rsid w:val="00016839"/>
    <w:rsid w:val="000174F9"/>
    <w:rsid w:val="000249C2"/>
    <w:rsid w:val="000258F6"/>
    <w:rsid w:val="00027B36"/>
    <w:rsid w:val="00030390"/>
    <w:rsid w:val="0003449E"/>
    <w:rsid w:val="00035E1F"/>
    <w:rsid w:val="000379A7"/>
    <w:rsid w:val="00040EB8"/>
    <w:rsid w:val="000418CA"/>
    <w:rsid w:val="0004255E"/>
    <w:rsid w:val="00044CA5"/>
    <w:rsid w:val="00050F02"/>
    <w:rsid w:val="0005129B"/>
    <w:rsid w:val="00051724"/>
    <w:rsid w:val="0005449E"/>
    <w:rsid w:val="00054C7D"/>
    <w:rsid w:val="00055938"/>
    <w:rsid w:val="00057B6D"/>
    <w:rsid w:val="00061A7B"/>
    <w:rsid w:val="00062874"/>
    <w:rsid w:val="00082C85"/>
    <w:rsid w:val="0008654C"/>
    <w:rsid w:val="000870E9"/>
    <w:rsid w:val="000904ED"/>
    <w:rsid w:val="00091545"/>
    <w:rsid w:val="0009165E"/>
    <w:rsid w:val="000A27A8"/>
    <w:rsid w:val="000A4119"/>
    <w:rsid w:val="000A49B9"/>
    <w:rsid w:val="000A59C0"/>
    <w:rsid w:val="000A78A9"/>
    <w:rsid w:val="000B1A90"/>
    <w:rsid w:val="000B2356"/>
    <w:rsid w:val="000B577B"/>
    <w:rsid w:val="000C2133"/>
    <w:rsid w:val="000C2857"/>
    <w:rsid w:val="000C711B"/>
    <w:rsid w:val="000D1024"/>
    <w:rsid w:val="000D14CE"/>
    <w:rsid w:val="000D1D15"/>
    <w:rsid w:val="000D2431"/>
    <w:rsid w:val="000D76B7"/>
    <w:rsid w:val="000E010F"/>
    <w:rsid w:val="000E0EC6"/>
    <w:rsid w:val="000E34D3"/>
    <w:rsid w:val="000E3954"/>
    <w:rsid w:val="000E3E52"/>
    <w:rsid w:val="000E677F"/>
    <w:rsid w:val="000F0F9F"/>
    <w:rsid w:val="000F22C4"/>
    <w:rsid w:val="000F3F43"/>
    <w:rsid w:val="000F58ED"/>
    <w:rsid w:val="0010529E"/>
    <w:rsid w:val="001105AF"/>
    <w:rsid w:val="00113D5B"/>
    <w:rsid w:val="00113F8F"/>
    <w:rsid w:val="0011564E"/>
    <w:rsid w:val="00116A46"/>
    <w:rsid w:val="00121616"/>
    <w:rsid w:val="00121F1B"/>
    <w:rsid w:val="001236B5"/>
    <w:rsid w:val="001349DB"/>
    <w:rsid w:val="00134B86"/>
    <w:rsid w:val="00135AEB"/>
    <w:rsid w:val="00136E58"/>
    <w:rsid w:val="00137156"/>
    <w:rsid w:val="0014060A"/>
    <w:rsid w:val="0014597C"/>
    <w:rsid w:val="00147755"/>
    <w:rsid w:val="00151BFE"/>
    <w:rsid w:val="001535C6"/>
    <w:rsid w:val="001547F9"/>
    <w:rsid w:val="001607D8"/>
    <w:rsid w:val="00161325"/>
    <w:rsid w:val="00161401"/>
    <w:rsid w:val="00162612"/>
    <w:rsid w:val="001626AB"/>
    <w:rsid w:val="001635F3"/>
    <w:rsid w:val="00173602"/>
    <w:rsid w:val="00175FC5"/>
    <w:rsid w:val="00176BB8"/>
    <w:rsid w:val="00182B9C"/>
    <w:rsid w:val="00184427"/>
    <w:rsid w:val="00186FED"/>
    <w:rsid w:val="001875B1"/>
    <w:rsid w:val="00191120"/>
    <w:rsid w:val="0019173E"/>
    <w:rsid w:val="001A2DCA"/>
    <w:rsid w:val="001A73B9"/>
    <w:rsid w:val="001B1EF6"/>
    <w:rsid w:val="001B2745"/>
    <w:rsid w:val="001B2A35"/>
    <w:rsid w:val="001B339A"/>
    <w:rsid w:val="001B60A6"/>
    <w:rsid w:val="001C2971"/>
    <w:rsid w:val="001C61B4"/>
    <w:rsid w:val="001C650B"/>
    <w:rsid w:val="001C72B5"/>
    <w:rsid w:val="001C77FB"/>
    <w:rsid w:val="001D11AC"/>
    <w:rsid w:val="001D1845"/>
    <w:rsid w:val="001D2E7A"/>
    <w:rsid w:val="001D3992"/>
    <w:rsid w:val="001D4A3E"/>
    <w:rsid w:val="001E32E5"/>
    <w:rsid w:val="001E3AEE"/>
    <w:rsid w:val="001E416D"/>
    <w:rsid w:val="001F4EF8"/>
    <w:rsid w:val="001F574E"/>
    <w:rsid w:val="001F5AB1"/>
    <w:rsid w:val="00200579"/>
    <w:rsid w:val="00201337"/>
    <w:rsid w:val="00201579"/>
    <w:rsid w:val="002022EA"/>
    <w:rsid w:val="00202CB2"/>
    <w:rsid w:val="002044E9"/>
    <w:rsid w:val="00205B17"/>
    <w:rsid w:val="00205D9B"/>
    <w:rsid w:val="002115A6"/>
    <w:rsid w:val="00213436"/>
    <w:rsid w:val="00213701"/>
    <w:rsid w:val="00214033"/>
    <w:rsid w:val="002176C4"/>
    <w:rsid w:val="002204DA"/>
    <w:rsid w:val="0022371A"/>
    <w:rsid w:val="00224DAB"/>
    <w:rsid w:val="0022582A"/>
    <w:rsid w:val="00237785"/>
    <w:rsid w:val="00237A2B"/>
    <w:rsid w:val="002406D3"/>
    <w:rsid w:val="00246546"/>
    <w:rsid w:val="002505E9"/>
    <w:rsid w:val="00251FB9"/>
    <w:rsid w:val="002520AD"/>
    <w:rsid w:val="00255FD9"/>
    <w:rsid w:val="0025660A"/>
    <w:rsid w:val="00257DF8"/>
    <w:rsid w:val="00257E4A"/>
    <w:rsid w:val="0026038D"/>
    <w:rsid w:val="002617BA"/>
    <w:rsid w:val="00262E69"/>
    <w:rsid w:val="00263D78"/>
    <w:rsid w:val="0027175D"/>
    <w:rsid w:val="002735DD"/>
    <w:rsid w:val="00274B97"/>
    <w:rsid w:val="00286250"/>
    <w:rsid w:val="00290909"/>
    <w:rsid w:val="00296AE1"/>
    <w:rsid w:val="0029793F"/>
    <w:rsid w:val="002A1C42"/>
    <w:rsid w:val="002A617C"/>
    <w:rsid w:val="002A71CF"/>
    <w:rsid w:val="002B3166"/>
    <w:rsid w:val="002B3E9D"/>
    <w:rsid w:val="002B574E"/>
    <w:rsid w:val="002C1E38"/>
    <w:rsid w:val="002C605E"/>
    <w:rsid w:val="002C77F4"/>
    <w:rsid w:val="002D0869"/>
    <w:rsid w:val="002D6A2B"/>
    <w:rsid w:val="002D78FE"/>
    <w:rsid w:val="002E4993"/>
    <w:rsid w:val="002E560E"/>
    <w:rsid w:val="002E5BAC"/>
    <w:rsid w:val="002E6010"/>
    <w:rsid w:val="002E642A"/>
    <w:rsid w:val="002E7635"/>
    <w:rsid w:val="002F2576"/>
    <w:rsid w:val="002F265A"/>
    <w:rsid w:val="002F3B40"/>
    <w:rsid w:val="002F4793"/>
    <w:rsid w:val="003032C4"/>
    <w:rsid w:val="0030413F"/>
    <w:rsid w:val="00305EFE"/>
    <w:rsid w:val="00313B4B"/>
    <w:rsid w:val="00313D13"/>
    <w:rsid w:val="00313D85"/>
    <w:rsid w:val="00315CE3"/>
    <w:rsid w:val="0031629B"/>
    <w:rsid w:val="00317F49"/>
    <w:rsid w:val="003251FE"/>
    <w:rsid w:val="00325D9A"/>
    <w:rsid w:val="00326BB4"/>
    <w:rsid w:val="003274DB"/>
    <w:rsid w:val="003276DE"/>
    <w:rsid w:val="00327FBF"/>
    <w:rsid w:val="003327BE"/>
    <w:rsid w:val="00332A7B"/>
    <w:rsid w:val="003343E0"/>
    <w:rsid w:val="00335E40"/>
    <w:rsid w:val="00344408"/>
    <w:rsid w:val="00345E37"/>
    <w:rsid w:val="00346A15"/>
    <w:rsid w:val="00346AEC"/>
    <w:rsid w:val="00347F3E"/>
    <w:rsid w:val="00350A92"/>
    <w:rsid w:val="00356472"/>
    <w:rsid w:val="003621C3"/>
    <w:rsid w:val="00362816"/>
    <w:rsid w:val="0036345C"/>
    <w:rsid w:val="0036382D"/>
    <w:rsid w:val="00380350"/>
    <w:rsid w:val="00380B4E"/>
    <w:rsid w:val="00380F88"/>
    <w:rsid w:val="003816E4"/>
    <w:rsid w:val="00381F7A"/>
    <w:rsid w:val="00382C28"/>
    <w:rsid w:val="0038597C"/>
    <w:rsid w:val="0039131E"/>
    <w:rsid w:val="003A04A6"/>
    <w:rsid w:val="003A6A32"/>
    <w:rsid w:val="003A7759"/>
    <w:rsid w:val="003A7F6E"/>
    <w:rsid w:val="003B03EA"/>
    <w:rsid w:val="003B76F0"/>
    <w:rsid w:val="003C138B"/>
    <w:rsid w:val="003C7C34"/>
    <w:rsid w:val="003D0F37"/>
    <w:rsid w:val="003D2A7A"/>
    <w:rsid w:val="003D3B40"/>
    <w:rsid w:val="003D5150"/>
    <w:rsid w:val="003D6614"/>
    <w:rsid w:val="003E1065"/>
    <w:rsid w:val="003F1C3A"/>
    <w:rsid w:val="003F1F36"/>
    <w:rsid w:val="003F4DE4"/>
    <w:rsid w:val="003F70D2"/>
    <w:rsid w:val="00414698"/>
    <w:rsid w:val="00415649"/>
    <w:rsid w:val="0042565E"/>
    <w:rsid w:val="00432C05"/>
    <w:rsid w:val="00440379"/>
    <w:rsid w:val="00441393"/>
    <w:rsid w:val="004441F8"/>
    <w:rsid w:val="00447CF0"/>
    <w:rsid w:val="0045038A"/>
    <w:rsid w:val="00452FA5"/>
    <w:rsid w:val="00456DE1"/>
    <w:rsid w:val="00456F10"/>
    <w:rsid w:val="00460D62"/>
    <w:rsid w:val="00461DDC"/>
    <w:rsid w:val="00462095"/>
    <w:rsid w:val="00463B48"/>
    <w:rsid w:val="0046464D"/>
    <w:rsid w:val="00474746"/>
    <w:rsid w:val="00476942"/>
    <w:rsid w:val="00477D62"/>
    <w:rsid w:val="00481C27"/>
    <w:rsid w:val="004871A2"/>
    <w:rsid w:val="004908B8"/>
    <w:rsid w:val="00492A8D"/>
    <w:rsid w:val="00493B3C"/>
    <w:rsid w:val="004944C8"/>
    <w:rsid w:val="00495DDA"/>
    <w:rsid w:val="004A0EBF"/>
    <w:rsid w:val="004A3751"/>
    <w:rsid w:val="004A4EC4"/>
    <w:rsid w:val="004B65D9"/>
    <w:rsid w:val="004B744B"/>
    <w:rsid w:val="004B7810"/>
    <w:rsid w:val="004C0C7E"/>
    <w:rsid w:val="004C0E4B"/>
    <w:rsid w:val="004D4109"/>
    <w:rsid w:val="004D6C87"/>
    <w:rsid w:val="004E0BBB"/>
    <w:rsid w:val="004E1D57"/>
    <w:rsid w:val="004E2F16"/>
    <w:rsid w:val="004F26FF"/>
    <w:rsid w:val="004F2AA4"/>
    <w:rsid w:val="004F4AAE"/>
    <w:rsid w:val="004F5930"/>
    <w:rsid w:val="004F6196"/>
    <w:rsid w:val="00501E6E"/>
    <w:rsid w:val="00503044"/>
    <w:rsid w:val="005051B1"/>
    <w:rsid w:val="005222AF"/>
    <w:rsid w:val="00523666"/>
    <w:rsid w:val="00525922"/>
    <w:rsid w:val="00526234"/>
    <w:rsid w:val="00534F34"/>
    <w:rsid w:val="0053692E"/>
    <w:rsid w:val="00536C1B"/>
    <w:rsid w:val="005378A6"/>
    <w:rsid w:val="00540D36"/>
    <w:rsid w:val="00541ED1"/>
    <w:rsid w:val="00547837"/>
    <w:rsid w:val="00551C89"/>
    <w:rsid w:val="00553815"/>
    <w:rsid w:val="00553FE0"/>
    <w:rsid w:val="00557434"/>
    <w:rsid w:val="00561ACA"/>
    <w:rsid w:val="00562B0A"/>
    <w:rsid w:val="00563D55"/>
    <w:rsid w:val="00574ADC"/>
    <w:rsid w:val="005805D2"/>
    <w:rsid w:val="00581239"/>
    <w:rsid w:val="00586C48"/>
    <w:rsid w:val="00586C66"/>
    <w:rsid w:val="00593EFC"/>
    <w:rsid w:val="00595415"/>
    <w:rsid w:val="00597652"/>
    <w:rsid w:val="005A0703"/>
    <w:rsid w:val="005A080B"/>
    <w:rsid w:val="005B12A5"/>
    <w:rsid w:val="005C161A"/>
    <w:rsid w:val="005C1BCB"/>
    <w:rsid w:val="005C2312"/>
    <w:rsid w:val="005C4735"/>
    <w:rsid w:val="005C5C63"/>
    <w:rsid w:val="005D03E9"/>
    <w:rsid w:val="005D2839"/>
    <w:rsid w:val="005D304B"/>
    <w:rsid w:val="005D329D"/>
    <w:rsid w:val="005D3920"/>
    <w:rsid w:val="005D6E5D"/>
    <w:rsid w:val="005E091A"/>
    <w:rsid w:val="005E1F90"/>
    <w:rsid w:val="005E3989"/>
    <w:rsid w:val="005E4659"/>
    <w:rsid w:val="005E55DC"/>
    <w:rsid w:val="005E5AB7"/>
    <w:rsid w:val="005E657A"/>
    <w:rsid w:val="005E7063"/>
    <w:rsid w:val="005F1314"/>
    <w:rsid w:val="005F1386"/>
    <w:rsid w:val="005F17C2"/>
    <w:rsid w:val="005F4BA4"/>
    <w:rsid w:val="005F7025"/>
    <w:rsid w:val="00600C2B"/>
    <w:rsid w:val="00606A1F"/>
    <w:rsid w:val="00611BF0"/>
    <w:rsid w:val="006127AC"/>
    <w:rsid w:val="00622C26"/>
    <w:rsid w:val="006326F0"/>
    <w:rsid w:val="00634A78"/>
    <w:rsid w:val="00641794"/>
    <w:rsid w:val="00642025"/>
    <w:rsid w:val="00642ECC"/>
    <w:rsid w:val="00646AFD"/>
    <w:rsid w:val="00646E87"/>
    <w:rsid w:val="0065107F"/>
    <w:rsid w:val="00661946"/>
    <w:rsid w:val="00661BCD"/>
    <w:rsid w:val="00664D43"/>
    <w:rsid w:val="00666061"/>
    <w:rsid w:val="00666380"/>
    <w:rsid w:val="00667424"/>
    <w:rsid w:val="0066759C"/>
    <w:rsid w:val="00667792"/>
    <w:rsid w:val="00671677"/>
    <w:rsid w:val="006744D8"/>
    <w:rsid w:val="006750F2"/>
    <w:rsid w:val="006752D6"/>
    <w:rsid w:val="00675E02"/>
    <w:rsid w:val="0068553C"/>
    <w:rsid w:val="00685F34"/>
    <w:rsid w:val="00693B1F"/>
    <w:rsid w:val="00695656"/>
    <w:rsid w:val="006975A8"/>
    <w:rsid w:val="006A1012"/>
    <w:rsid w:val="006A7DF5"/>
    <w:rsid w:val="006B54CC"/>
    <w:rsid w:val="006C1376"/>
    <w:rsid w:val="006C25B9"/>
    <w:rsid w:val="006C48F9"/>
    <w:rsid w:val="006C75B6"/>
    <w:rsid w:val="006D1175"/>
    <w:rsid w:val="006E0E7D"/>
    <w:rsid w:val="006E10BF"/>
    <w:rsid w:val="006E363C"/>
    <w:rsid w:val="006F1C14"/>
    <w:rsid w:val="006F4B80"/>
    <w:rsid w:val="006F7B98"/>
    <w:rsid w:val="00703A6A"/>
    <w:rsid w:val="00722236"/>
    <w:rsid w:val="00723824"/>
    <w:rsid w:val="00724387"/>
    <w:rsid w:val="00725CCA"/>
    <w:rsid w:val="0072737A"/>
    <w:rsid w:val="007311E7"/>
    <w:rsid w:val="00731DEE"/>
    <w:rsid w:val="007338DE"/>
    <w:rsid w:val="00734BC6"/>
    <w:rsid w:val="0074084C"/>
    <w:rsid w:val="007541D3"/>
    <w:rsid w:val="00755B47"/>
    <w:rsid w:val="007577D7"/>
    <w:rsid w:val="00760004"/>
    <w:rsid w:val="007715E8"/>
    <w:rsid w:val="00773A35"/>
    <w:rsid w:val="00776004"/>
    <w:rsid w:val="00777956"/>
    <w:rsid w:val="007811C4"/>
    <w:rsid w:val="0078486B"/>
    <w:rsid w:val="00785A39"/>
    <w:rsid w:val="00787D8A"/>
    <w:rsid w:val="00790277"/>
    <w:rsid w:val="00791EBC"/>
    <w:rsid w:val="00793577"/>
    <w:rsid w:val="00795637"/>
    <w:rsid w:val="007A446A"/>
    <w:rsid w:val="007A4FEF"/>
    <w:rsid w:val="007A53A6"/>
    <w:rsid w:val="007A559B"/>
    <w:rsid w:val="007A6159"/>
    <w:rsid w:val="007B27E9"/>
    <w:rsid w:val="007B2C5B"/>
    <w:rsid w:val="007B2D11"/>
    <w:rsid w:val="007B4994"/>
    <w:rsid w:val="007B6700"/>
    <w:rsid w:val="007B6A93"/>
    <w:rsid w:val="007B7377"/>
    <w:rsid w:val="007B7BEC"/>
    <w:rsid w:val="007C25BB"/>
    <w:rsid w:val="007D1805"/>
    <w:rsid w:val="007D2107"/>
    <w:rsid w:val="007D3A42"/>
    <w:rsid w:val="007D5895"/>
    <w:rsid w:val="007D77AB"/>
    <w:rsid w:val="007E28D0"/>
    <w:rsid w:val="007E2FC2"/>
    <w:rsid w:val="007E30DF"/>
    <w:rsid w:val="007F2C43"/>
    <w:rsid w:val="007F7544"/>
    <w:rsid w:val="00800995"/>
    <w:rsid w:val="00804736"/>
    <w:rsid w:val="0080602A"/>
    <w:rsid w:val="008069C5"/>
    <w:rsid w:val="0081117E"/>
    <w:rsid w:val="00816F79"/>
    <w:rsid w:val="008172F8"/>
    <w:rsid w:val="00820C2C"/>
    <w:rsid w:val="00827301"/>
    <w:rsid w:val="008310C9"/>
    <w:rsid w:val="008326B2"/>
    <w:rsid w:val="00833936"/>
    <w:rsid w:val="00834150"/>
    <w:rsid w:val="008357F2"/>
    <w:rsid w:val="00835EA0"/>
    <w:rsid w:val="0084098D"/>
    <w:rsid w:val="008416E0"/>
    <w:rsid w:val="00841E7A"/>
    <w:rsid w:val="00842B85"/>
    <w:rsid w:val="00843CED"/>
    <w:rsid w:val="00844B35"/>
    <w:rsid w:val="00845D8A"/>
    <w:rsid w:val="00846831"/>
    <w:rsid w:val="00846D0C"/>
    <w:rsid w:val="00847B32"/>
    <w:rsid w:val="00854BCE"/>
    <w:rsid w:val="00857346"/>
    <w:rsid w:val="008603E0"/>
    <w:rsid w:val="00865532"/>
    <w:rsid w:val="00867686"/>
    <w:rsid w:val="008737D3"/>
    <w:rsid w:val="00874179"/>
    <w:rsid w:val="008747E0"/>
    <w:rsid w:val="00876841"/>
    <w:rsid w:val="00882B3C"/>
    <w:rsid w:val="00886C21"/>
    <w:rsid w:val="0088783D"/>
    <w:rsid w:val="00893988"/>
    <w:rsid w:val="008972C3"/>
    <w:rsid w:val="00897C4A"/>
    <w:rsid w:val="008A28D9"/>
    <w:rsid w:val="008A30BA"/>
    <w:rsid w:val="008A52DC"/>
    <w:rsid w:val="008A5435"/>
    <w:rsid w:val="008B62E0"/>
    <w:rsid w:val="008C2A0C"/>
    <w:rsid w:val="008C33B5"/>
    <w:rsid w:val="008C3A72"/>
    <w:rsid w:val="008C46F4"/>
    <w:rsid w:val="008C478E"/>
    <w:rsid w:val="008C4A94"/>
    <w:rsid w:val="008C6969"/>
    <w:rsid w:val="008D3046"/>
    <w:rsid w:val="008D45D2"/>
    <w:rsid w:val="008D483C"/>
    <w:rsid w:val="008D5CCD"/>
    <w:rsid w:val="008E1D70"/>
    <w:rsid w:val="008E1F69"/>
    <w:rsid w:val="008E76B1"/>
    <w:rsid w:val="008F34F4"/>
    <w:rsid w:val="008F38BB"/>
    <w:rsid w:val="008F57D8"/>
    <w:rsid w:val="009005D6"/>
    <w:rsid w:val="00902834"/>
    <w:rsid w:val="009110DD"/>
    <w:rsid w:val="00913056"/>
    <w:rsid w:val="00914E26"/>
    <w:rsid w:val="0091590F"/>
    <w:rsid w:val="009217F2"/>
    <w:rsid w:val="00923B4D"/>
    <w:rsid w:val="0092540C"/>
    <w:rsid w:val="00925B39"/>
    <w:rsid w:val="00925E0F"/>
    <w:rsid w:val="00931A57"/>
    <w:rsid w:val="00933EE0"/>
    <w:rsid w:val="0093492E"/>
    <w:rsid w:val="00937BF0"/>
    <w:rsid w:val="009414E6"/>
    <w:rsid w:val="00947A3F"/>
    <w:rsid w:val="00950555"/>
    <w:rsid w:val="00950B15"/>
    <w:rsid w:val="0095450F"/>
    <w:rsid w:val="00956901"/>
    <w:rsid w:val="0096203C"/>
    <w:rsid w:val="00962EC1"/>
    <w:rsid w:val="009630F5"/>
    <w:rsid w:val="009656B9"/>
    <w:rsid w:val="0096631C"/>
    <w:rsid w:val="00967DD9"/>
    <w:rsid w:val="00971591"/>
    <w:rsid w:val="009727CB"/>
    <w:rsid w:val="00974564"/>
    <w:rsid w:val="00974B53"/>
    <w:rsid w:val="00974E99"/>
    <w:rsid w:val="009764FA"/>
    <w:rsid w:val="00980192"/>
    <w:rsid w:val="00980799"/>
    <w:rsid w:val="009812B5"/>
    <w:rsid w:val="00982A22"/>
    <w:rsid w:val="009830CC"/>
    <w:rsid w:val="00983287"/>
    <w:rsid w:val="00994D97"/>
    <w:rsid w:val="0099752C"/>
    <w:rsid w:val="009A07B7"/>
    <w:rsid w:val="009B0C65"/>
    <w:rsid w:val="009B1545"/>
    <w:rsid w:val="009B372E"/>
    <w:rsid w:val="009B5023"/>
    <w:rsid w:val="009B6582"/>
    <w:rsid w:val="009B785E"/>
    <w:rsid w:val="009C1908"/>
    <w:rsid w:val="009C26F8"/>
    <w:rsid w:val="009C387B"/>
    <w:rsid w:val="009C4AA9"/>
    <w:rsid w:val="009C609E"/>
    <w:rsid w:val="009C6984"/>
    <w:rsid w:val="009D25B8"/>
    <w:rsid w:val="009D26AB"/>
    <w:rsid w:val="009D6B98"/>
    <w:rsid w:val="009E075B"/>
    <w:rsid w:val="009E16EC"/>
    <w:rsid w:val="009E1F25"/>
    <w:rsid w:val="009E42A7"/>
    <w:rsid w:val="009E433C"/>
    <w:rsid w:val="009E4A4D"/>
    <w:rsid w:val="009E6578"/>
    <w:rsid w:val="009F081F"/>
    <w:rsid w:val="009F4A19"/>
    <w:rsid w:val="00A06654"/>
    <w:rsid w:val="00A06A0E"/>
    <w:rsid w:val="00A06A3D"/>
    <w:rsid w:val="00A07CE4"/>
    <w:rsid w:val="00A10EBA"/>
    <w:rsid w:val="00A11128"/>
    <w:rsid w:val="00A13E56"/>
    <w:rsid w:val="00A13FDB"/>
    <w:rsid w:val="00A15050"/>
    <w:rsid w:val="00A179F2"/>
    <w:rsid w:val="00A227BF"/>
    <w:rsid w:val="00A23CAC"/>
    <w:rsid w:val="00A24838"/>
    <w:rsid w:val="00A2743E"/>
    <w:rsid w:val="00A3074A"/>
    <w:rsid w:val="00A30C33"/>
    <w:rsid w:val="00A37755"/>
    <w:rsid w:val="00A4308C"/>
    <w:rsid w:val="00A43432"/>
    <w:rsid w:val="00A44836"/>
    <w:rsid w:val="00A44DD0"/>
    <w:rsid w:val="00A524B5"/>
    <w:rsid w:val="00A53E1D"/>
    <w:rsid w:val="00A549B3"/>
    <w:rsid w:val="00A56184"/>
    <w:rsid w:val="00A66081"/>
    <w:rsid w:val="00A67954"/>
    <w:rsid w:val="00A72893"/>
    <w:rsid w:val="00A72ED7"/>
    <w:rsid w:val="00A800A9"/>
    <w:rsid w:val="00A8083F"/>
    <w:rsid w:val="00A83FF2"/>
    <w:rsid w:val="00A86343"/>
    <w:rsid w:val="00A87080"/>
    <w:rsid w:val="00A90AAC"/>
    <w:rsid w:val="00A90D86"/>
    <w:rsid w:val="00A91DBA"/>
    <w:rsid w:val="00A95240"/>
    <w:rsid w:val="00A97900"/>
    <w:rsid w:val="00AA1B91"/>
    <w:rsid w:val="00AA1D7A"/>
    <w:rsid w:val="00AA3E01"/>
    <w:rsid w:val="00AB0BFA"/>
    <w:rsid w:val="00AB2C66"/>
    <w:rsid w:val="00AB4ABA"/>
    <w:rsid w:val="00AB5C42"/>
    <w:rsid w:val="00AB76B7"/>
    <w:rsid w:val="00AC33A2"/>
    <w:rsid w:val="00AC3FFB"/>
    <w:rsid w:val="00AC583D"/>
    <w:rsid w:val="00AD12E6"/>
    <w:rsid w:val="00AD38F7"/>
    <w:rsid w:val="00AE65F1"/>
    <w:rsid w:val="00AE6BB4"/>
    <w:rsid w:val="00AE74AD"/>
    <w:rsid w:val="00AF159C"/>
    <w:rsid w:val="00B007F2"/>
    <w:rsid w:val="00B01873"/>
    <w:rsid w:val="00B0572F"/>
    <w:rsid w:val="00B074AB"/>
    <w:rsid w:val="00B07717"/>
    <w:rsid w:val="00B13AC5"/>
    <w:rsid w:val="00B16334"/>
    <w:rsid w:val="00B17253"/>
    <w:rsid w:val="00B250D6"/>
    <w:rsid w:val="00B2583D"/>
    <w:rsid w:val="00B26A2D"/>
    <w:rsid w:val="00B31A41"/>
    <w:rsid w:val="00B40199"/>
    <w:rsid w:val="00B453D3"/>
    <w:rsid w:val="00B45400"/>
    <w:rsid w:val="00B46B94"/>
    <w:rsid w:val="00B502FF"/>
    <w:rsid w:val="00B50B90"/>
    <w:rsid w:val="00B50E28"/>
    <w:rsid w:val="00B55ACF"/>
    <w:rsid w:val="00B56A75"/>
    <w:rsid w:val="00B6066D"/>
    <w:rsid w:val="00B621CA"/>
    <w:rsid w:val="00B643DF"/>
    <w:rsid w:val="00B65300"/>
    <w:rsid w:val="00B658B7"/>
    <w:rsid w:val="00B67422"/>
    <w:rsid w:val="00B70796"/>
    <w:rsid w:val="00B70BD4"/>
    <w:rsid w:val="00B712CA"/>
    <w:rsid w:val="00B73463"/>
    <w:rsid w:val="00B75110"/>
    <w:rsid w:val="00B90123"/>
    <w:rsid w:val="00B9016D"/>
    <w:rsid w:val="00B92476"/>
    <w:rsid w:val="00B971C2"/>
    <w:rsid w:val="00BA0F98"/>
    <w:rsid w:val="00BA1517"/>
    <w:rsid w:val="00BA1C02"/>
    <w:rsid w:val="00BA4E39"/>
    <w:rsid w:val="00BA67FD"/>
    <w:rsid w:val="00BA7C48"/>
    <w:rsid w:val="00BC251F"/>
    <w:rsid w:val="00BC27F6"/>
    <w:rsid w:val="00BC39F4"/>
    <w:rsid w:val="00BC7FE0"/>
    <w:rsid w:val="00BD150C"/>
    <w:rsid w:val="00BD1587"/>
    <w:rsid w:val="00BD6A20"/>
    <w:rsid w:val="00BD7EE1"/>
    <w:rsid w:val="00BE390F"/>
    <w:rsid w:val="00BE5568"/>
    <w:rsid w:val="00BE5764"/>
    <w:rsid w:val="00BF1358"/>
    <w:rsid w:val="00C0106D"/>
    <w:rsid w:val="00C130C5"/>
    <w:rsid w:val="00C133BE"/>
    <w:rsid w:val="00C1400A"/>
    <w:rsid w:val="00C21A1B"/>
    <w:rsid w:val="00C222B4"/>
    <w:rsid w:val="00C262E4"/>
    <w:rsid w:val="00C33E20"/>
    <w:rsid w:val="00C35CF6"/>
    <w:rsid w:val="00C36EDB"/>
    <w:rsid w:val="00C3725B"/>
    <w:rsid w:val="00C401B7"/>
    <w:rsid w:val="00C41823"/>
    <w:rsid w:val="00C473B5"/>
    <w:rsid w:val="00C522BE"/>
    <w:rsid w:val="00C52413"/>
    <w:rsid w:val="00C533EC"/>
    <w:rsid w:val="00C5470E"/>
    <w:rsid w:val="00C55EFB"/>
    <w:rsid w:val="00C56585"/>
    <w:rsid w:val="00C56B3F"/>
    <w:rsid w:val="00C62DF5"/>
    <w:rsid w:val="00C65492"/>
    <w:rsid w:val="00C65C4C"/>
    <w:rsid w:val="00C67C67"/>
    <w:rsid w:val="00C7022C"/>
    <w:rsid w:val="00C71032"/>
    <w:rsid w:val="00C716E5"/>
    <w:rsid w:val="00C76A4E"/>
    <w:rsid w:val="00C773D9"/>
    <w:rsid w:val="00C80307"/>
    <w:rsid w:val="00C80ACE"/>
    <w:rsid w:val="00C80B0C"/>
    <w:rsid w:val="00C81162"/>
    <w:rsid w:val="00C82EC7"/>
    <w:rsid w:val="00C83258"/>
    <w:rsid w:val="00C83666"/>
    <w:rsid w:val="00C843AC"/>
    <w:rsid w:val="00C870B5"/>
    <w:rsid w:val="00C907DF"/>
    <w:rsid w:val="00C91630"/>
    <w:rsid w:val="00C94BC1"/>
    <w:rsid w:val="00C9558A"/>
    <w:rsid w:val="00C966EB"/>
    <w:rsid w:val="00CA004F"/>
    <w:rsid w:val="00CA04B1"/>
    <w:rsid w:val="00CA2DFC"/>
    <w:rsid w:val="00CA4EC9"/>
    <w:rsid w:val="00CA66CE"/>
    <w:rsid w:val="00CB03D4"/>
    <w:rsid w:val="00CB0617"/>
    <w:rsid w:val="00CB137B"/>
    <w:rsid w:val="00CB1D11"/>
    <w:rsid w:val="00CB24F6"/>
    <w:rsid w:val="00CB59F3"/>
    <w:rsid w:val="00CB7D0F"/>
    <w:rsid w:val="00CC35EF"/>
    <w:rsid w:val="00CC5048"/>
    <w:rsid w:val="00CC6246"/>
    <w:rsid w:val="00CD0232"/>
    <w:rsid w:val="00CE0421"/>
    <w:rsid w:val="00CE5E46"/>
    <w:rsid w:val="00CE6A04"/>
    <w:rsid w:val="00CF10E3"/>
    <w:rsid w:val="00CF49CC"/>
    <w:rsid w:val="00D03A27"/>
    <w:rsid w:val="00D04F0B"/>
    <w:rsid w:val="00D120AF"/>
    <w:rsid w:val="00D1463A"/>
    <w:rsid w:val="00D15F11"/>
    <w:rsid w:val="00D252C9"/>
    <w:rsid w:val="00D270FA"/>
    <w:rsid w:val="00D32DDF"/>
    <w:rsid w:val="00D36206"/>
    <w:rsid w:val="00D36E93"/>
    <w:rsid w:val="00D3700C"/>
    <w:rsid w:val="00D41940"/>
    <w:rsid w:val="00D55D67"/>
    <w:rsid w:val="00D603BF"/>
    <w:rsid w:val="00D638E0"/>
    <w:rsid w:val="00D653B1"/>
    <w:rsid w:val="00D656A2"/>
    <w:rsid w:val="00D740A5"/>
    <w:rsid w:val="00D74AE1"/>
    <w:rsid w:val="00D75D42"/>
    <w:rsid w:val="00D80A15"/>
    <w:rsid w:val="00D80B20"/>
    <w:rsid w:val="00D850A3"/>
    <w:rsid w:val="00D865A8"/>
    <w:rsid w:val="00D9012A"/>
    <w:rsid w:val="00D92C2D"/>
    <w:rsid w:val="00D9361E"/>
    <w:rsid w:val="00D94F38"/>
    <w:rsid w:val="00D96F91"/>
    <w:rsid w:val="00DA005A"/>
    <w:rsid w:val="00DA17CD"/>
    <w:rsid w:val="00DB1238"/>
    <w:rsid w:val="00DB25B3"/>
    <w:rsid w:val="00DC1C10"/>
    <w:rsid w:val="00DC6F92"/>
    <w:rsid w:val="00DD60F2"/>
    <w:rsid w:val="00DD69FB"/>
    <w:rsid w:val="00DE0893"/>
    <w:rsid w:val="00DE2494"/>
    <w:rsid w:val="00DE2814"/>
    <w:rsid w:val="00DE6796"/>
    <w:rsid w:val="00DF41B2"/>
    <w:rsid w:val="00DF47E2"/>
    <w:rsid w:val="00DF76E9"/>
    <w:rsid w:val="00E01272"/>
    <w:rsid w:val="00E03067"/>
    <w:rsid w:val="00E03814"/>
    <w:rsid w:val="00E03846"/>
    <w:rsid w:val="00E03A07"/>
    <w:rsid w:val="00E06421"/>
    <w:rsid w:val="00E07227"/>
    <w:rsid w:val="00E10BDB"/>
    <w:rsid w:val="00E13CC9"/>
    <w:rsid w:val="00E16EB4"/>
    <w:rsid w:val="00E17839"/>
    <w:rsid w:val="00E20A7D"/>
    <w:rsid w:val="00E21A27"/>
    <w:rsid w:val="00E22643"/>
    <w:rsid w:val="00E27A2F"/>
    <w:rsid w:val="00E30A98"/>
    <w:rsid w:val="00E42A94"/>
    <w:rsid w:val="00E45876"/>
    <w:rsid w:val="00E458BF"/>
    <w:rsid w:val="00E47285"/>
    <w:rsid w:val="00E476C7"/>
    <w:rsid w:val="00E5035D"/>
    <w:rsid w:val="00E51C33"/>
    <w:rsid w:val="00E54676"/>
    <w:rsid w:val="00E54AD5"/>
    <w:rsid w:val="00E54BFB"/>
    <w:rsid w:val="00E54CD7"/>
    <w:rsid w:val="00E706E7"/>
    <w:rsid w:val="00E76B2C"/>
    <w:rsid w:val="00E77587"/>
    <w:rsid w:val="00E818AD"/>
    <w:rsid w:val="00E84229"/>
    <w:rsid w:val="00E843F0"/>
    <w:rsid w:val="00E84965"/>
    <w:rsid w:val="00E86147"/>
    <w:rsid w:val="00E877DC"/>
    <w:rsid w:val="00E90E4E"/>
    <w:rsid w:val="00E9391E"/>
    <w:rsid w:val="00EA1052"/>
    <w:rsid w:val="00EA218F"/>
    <w:rsid w:val="00EA4F29"/>
    <w:rsid w:val="00EA5B27"/>
    <w:rsid w:val="00EA5F83"/>
    <w:rsid w:val="00EA6F9D"/>
    <w:rsid w:val="00EB2273"/>
    <w:rsid w:val="00EB6C62"/>
    <w:rsid w:val="00EB6F3C"/>
    <w:rsid w:val="00EB7C6F"/>
    <w:rsid w:val="00EC0CF9"/>
    <w:rsid w:val="00EC1E2C"/>
    <w:rsid w:val="00EC254E"/>
    <w:rsid w:val="00EC2B9A"/>
    <w:rsid w:val="00EC3723"/>
    <w:rsid w:val="00EC568A"/>
    <w:rsid w:val="00EC7C87"/>
    <w:rsid w:val="00ED030E"/>
    <w:rsid w:val="00ED2672"/>
    <w:rsid w:val="00ED2A8D"/>
    <w:rsid w:val="00ED3784"/>
    <w:rsid w:val="00ED4450"/>
    <w:rsid w:val="00ED7692"/>
    <w:rsid w:val="00EE2455"/>
    <w:rsid w:val="00EE2F17"/>
    <w:rsid w:val="00EE54CB"/>
    <w:rsid w:val="00EE6424"/>
    <w:rsid w:val="00EF1936"/>
    <w:rsid w:val="00EF1C54"/>
    <w:rsid w:val="00EF404B"/>
    <w:rsid w:val="00EF65E5"/>
    <w:rsid w:val="00F00376"/>
    <w:rsid w:val="00F01F0C"/>
    <w:rsid w:val="00F02A5A"/>
    <w:rsid w:val="00F06ECB"/>
    <w:rsid w:val="00F1078D"/>
    <w:rsid w:val="00F11368"/>
    <w:rsid w:val="00F11764"/>
    <w:rsid w:val="00F118B2"/>
    <w:rsid w:val="00F157E2"/>
    <w:rsid w:val="00F16C7D"/>
    <w:rsid w:val="00F203BE"/>
    <w:rsid w:val="00F21960"/>
    <w:rsid w:val="00F219A9"/>
    <w:rsid w:val="00F23723"/>
    <w:rsid w:val="00F2525D"/>
    <w:rsid w:val="00F259E2"/>
    <w:rsid w:val="00F30739"/>
    <w:rsid w:val="00F346A3"/>
    <w:rsid w:val="00F404B9"/>
    <w:rsid w:val="00F40DC3"/>
    <w:rsid w:val="00F41F0B"/>
    <w:rsid w:val="00F50222"/>
    <w:rsid w:val="00F52277"/>
    <w:rsid w:val="00F527AC"/>
    <w:rsid w:val="00F5503F"/>
    <w:rsid w:val="00F55AD7"/>
    <w:rsid w:val="00F61D83"/>
    <w:rsid w:val="00F628DA"/>
    <w:rsid w:val="00F636EF"/>
    <w:rsid w:val="00F64BE0"/>
    <w:rsid w:val="00F65DD1"/>
    <w:rsid w:val="00F707B3"/>
    <w:rsid w:val="00F71135"/>
    <w:rsid w:val="00F730DC"/>
    <w:rsid w:val="00F741EE"/>
    <w:rsid w:val="00F74309"/>
    <w:rsid w:val="00F828E7"/>
    <w:rsid w:val="00F82C35"/>
    <w:rsid w:val="00F83068"/>
    <w:rsid w:val="00F830EC"/>
    <w:rsid w:val="00F85647"/>
    <w:rsid w:val="00F90461"/>
    <w:rsid w:val="00F91B03"/>
    <w:rsid w:val="00FA06B2"/>
    <w:rsid w:val="00FA370D"/>
    <w:rsid w:val="00FA5F89"/>
    <w:rsid w:val="00FA66F1"/>
    <w:rsid w:val="00FB1198"/>
    <w:rsid w:val="00FB5308"/>
    <w:rsid w:val="00FB5647"/>
    <w:rsid w:val="00FC378B"/>
    <w:rsid w:val="00FC3977"/>
    <w:rsid w:val="00FD0C30"/>
    <w:rsid w:val="00FD20C1"/>
    <w:rsid w:val="00FD2566"/>
    <w:rsid w:val="00FD25C7"/>
    <w:rsid w:val="00FD2F16"/>
    <w:rsid w:val="00FD2F54"/>
    <w:rsid w:val="00FD3A31"/>
    <w:rsid w:val="00FD6065"/>
    <w:rsid w:val="00FE1D34"/>
    <w:rsid w:val="00FE244F"/>
    <w:rsid w:val="00FE2A6F"/>
    <w:rsid w:val="00FF2C98"/>
    <w:rsid w:val="00FF418D"/>
    <w:rsid w:val="00FF6538"/>
  </w:rsids>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semiHidden="1" w:uiPriority="0"/>
    <w:lsdException w:name="heading 5" w:qFormat="1" w:semiHidden="1" w:uiPriority="0"/>
    <w:lsdException w:name="heading 6" w:semiHidden="1" w:uiPriority="0"/>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qFormat="1" w:semiHidden="1" w:uiPriority="9"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lsdException w:name="table of figures"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lsdException w:name="List 2" w:semiHidden="1" w:uiPriority="0"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lsdException w:name="Date" w:qFormat="1" w:semiHidden="1" w:uiPriority="0"/>
    <w:lsdException w:name="Body Text First Indent" w:semiHidden="1" w:uiPriority="0"/>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qFormat="1" w:semiHidden="1" w:uiPriority="9" w:unhideWhenUsed="1"/>
    <w:lsdException w:name="Hyperlink" w:qFormat="1" w:semiHidden="1" w:unhideWhenUsed="1"/>
    <w:lsdException w:name="FollowedHyperlink" w:semiHidden="1" w:uiPriority="0" w:unhideWhenUsed="1"/>
    <w:lsdException w:name="Strong" w:uiPriority="22"/>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661BCD"/>
    <w:pPr>
      <w:spacing w:after="120" w:line="216" w:lineRule="atLeast"/>
    </w:pPr>
    <w:rPr>
      <w:lang w:val="en-GB"/>
    </w:rPr>
  </w:style>
  <w:style w:styleId="Heading1" w:type="paragraph">
    <w:name w:val="heading 1"/>
    <w:next w:val="Heading1separationline"/>
    <w:link w:val="Heading1Char"/>
    <w:qFormat/>
    <w:rsid w:val="00937BF0"/>
    <w:pPr>
      <w:keepNext/>
      <w:keepLines/>
      <w:numPr>
        <w:numId w:val="16"/>
      </w:numPr>
      <w:spacing w:before="240" w:line="240" w:lineRule="atLeast"/>
      <w:outlineLvl w:val="0"/>
    </w:pPr>
    <w:rPr>
      <w:rFonts w:asciiTheme="majorHAnsi" w:cstheme="majorBidi" w:eastAsiaTheme="majorEastAsia" w:hAnsiTheme="majorHAnsi"/>
      <w:b/>
      <w:bCs/>
      <w:caps/>
      <w:color w:themeColor="accent1" w:val="00558C"/>
      <w:sz w:val="28"/>
      <w:szCs w:val="24"/>
      <w:lang w:val="en-GB"/>
    </w:rPr>
  </w:style>
  <w:style w:styleId="Heading2" w:type="paragraph">
    <w:name w:val="heading 2"/>
    <w:basedOn w:val="Heading1"/>
    <w:next w:val="Heading2separationline"/>
    <w:link w:val="Heading2Char"/>
    <w:qFormat/>
    <w:rsid w:val="00A95240"/>
    <w:pPr>
      <w:numPr>
        <w:ilvl w:val="1"/>
      </w:numPr>
      <w:ind w:right="709"/>
      <w:outlineLvl w:val="1"/>
    </w:pPr>
    <w:rPr>
      <w:bCs w:val="0"/>
      <w:sz w:val="24"/>
    </w:rPr>
  </w:style>
  <w:style w:styleId="Heading3" w:type="paragraph">
    <w:name w:val="heading 3"/>
    <w:basedOn w:val="Heading2"/>
    <w:next w:val="BodyText"/>
    <w:link w:val="Heading3Char"/>
    <w:qFormat/>
    <w:rsid w:val="00937BF0"/>
    <w:pPr>
      <w:numPr>
        <w:ilvl w:val="2"/>
      </w:numPr>
      <w:spacing w:after="120" w:before="120"/>
      <w:ind w:right="851"/>
      <w:outlineLvl w:val="2"/>
    </w:pPr>
    <w:rPr>
      <w:bCs/>
      <w:caps w:val="0"/>
      <w:smallCaps/>
    </w:rPr>
  </w:style>
  <w:style w:styleId="Heading4" w:type="paragraph">
    <w:name w:val="heading 4"/>
    <w:basedOn w:val="Heading3"/>
    <w:next w:val="BodyText"/>
    <w:link w:val="Heading4Char"/>
    <w:qFormat/>
    <w:rsid w:val="000418CA"/>
    <w:pPr>
      <w:numPr>
        <w:ilvl w:val="3"/>
      </w:numPr>
      <w:ind w:right="992"/>
      <w:outlineLvl w:val="3"/>
    </w:pPr>
    <w:rPr>
      <w:bCs w:val="0"/>
      <w:iCs/>
      <w:smallCaps w:val="0"/>
      <w:sz w:val="22"/>
    </w:rPr>
  </w:style>
  <w:style w:styleId="Heading5" w:type="paragraph">
    <w:name w:val="heading 5"/>
    <w:basedOn w:val="Heading4"/>
    <w:next w:val="Normal"/>
    <w:link w:val="Heading5Char"/>
    <w:qFormat/>
    <w:rsid w:val="000418CA"/>
    <w:pPr>
      <w:numPr>
        <w:ilvl w:val="4"/>
      </w:numPr>
      <w:spacing w:before="200"/>
      <w:ind w:hanging="1701" w:left="1701"/>
      <w:outlineLvl w:val="4"/>
    </w:pPr>
    <w:rPr>
      <w:b w:val="0"/>
    </w:rPr>
  </w:style>
  <w:style w:styleId="Heading6" w:type="paragraph">
    <w:name w:val="heading 6"/>
    <w:basedOn w:val="Normal"/>
    <w:next w:val="Normal"/>
    <w:link w:val="Heading6Char"/>
    <w:rsid w:val="00CF49CC"/>
    <w:pPr>
      <w:keepNext/>
      <w:keepLines/>
      <w:spacing w:before="200"/>
      <w:outlineLvl w:val="5"/>
    </w:pPr>
    <w:rPr>
      <w:rFonts w:asciiTheme="majorHAnsi" w:cstheme="majorBidi" w:eastAsiaTheme="majorEastAsia" w:hAnsiTheme="majorHAnsi"/>
      <w:i/>
      <w:iCs/>
      <w:color w:themeColor="accent1" w:themeShade="7F" w:val="002A45"/>
    </w:rPr>
  </w:style>
  <w:style w:styleId="Heading7" w:type="paragraph">
    <w:name w:val="heading 7"/>
    <w:basedOn w:val="Normal"/>
    <w:next w:val="Normal"/>
    <w:link w:val="Heading7Char"/>
    <w:rsid w:val="00CF49CC"/>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rsid w:val="00CF49CC"/>
    <w:pPr>
      <w:keepNext/>
      <w:keepLines/>
      <w:spacing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rsid w:val="00CF49CC"/>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link w:val="HeaderChar"/>
    <w:rsid w:val="00380350"/>
    <w:pPr>
      <w:spacing w:after="0" w:line="240" w:lineRule="exact"/>
    </w:pPr>
    <w:rPr>
      <w:sz w:val="20"/>
      <w:lang w:val="en-GB"/>
    </w:rPr>
  </w:style>
  <w:style w:customStyle="1" w:styleId="HeaderChar" w:type="character">
    <w:name w:val="Header Char"/>
    <w:basedOn w:val="DefaultParagraphFont"/>
    <w:link w:val="Header"/>
    <w:rsid w:val="00380350"/>
    <w:rPr>
      <w:sz w:val="20"/>
      <w:lang w:val="en-GB"/>
    </w:rPr>
  </w:style>
  <w:style w:styleId="Footer" w:type="paragraph">
    <w:name w:val="footer"/>
    <w:link w:val="FooterChar"/>
    <w:rsid w:val="00CF49CC"/>
    <w:pPr>
      <w:spacing w:after="0" w:line="240" w:lineRule="exact"/>
    </w:pPr>
    <w:rPr>
      <w:sz w:val="20"/>
      <w:lang w:val="en-GB"/>
    </w:rPr>
  </w:style>
  <w:style w:customStyle="1" w:styleId="FooterChar" w:type="character">
    <w:name w:val="Footer Char"/>
    <w:basedOn w:val="DefaultParagraphFont"/>
    <w:link w:val="Footer"/>
    <w:rsid w:val="00CF49CC"/>
    <w:rPr>
      <w:sz w:val="20"/>
      <w:lang w:val="en-GB"/>
    </w:rPr>
  </w:style>
  <w:style w:styleId="BalloonText" w:type="paragraph">
    <w:name w:val="Balloon Text"/>
    <w:basedOn w:val="Normal"/>
    <w:link w:val="BalloonTextChar"/>
    <w:rsid w:val="00EB6F3C"/>
    <w:pPr>
      <w:spacing w:line="240" w:lineRule="auto"/>
    </w:pPr>
    <w:rPr>
      <w:rFonts w:ascii="Tahoma" w:cs="Tahoma" w:hAnsi="Tahoma"/>
      <w:sz w:val="16"/>
      <w:szCs w:val="16"/>
    </w:rPr>
  </w:style>
  <w:style w:customStyle="1" w:styleId="BalloonTextChar" w:type="character">
    <w:name w:val="Balloon Text Char"/>
    <w:basedOn w:val="DefaultParagraphFont"/>
    <w:link w:val="BalloonText"/>
    <w:rsid w:val="00EB6F3C"/>
    <w:rPr>
      <w:rFonts w:ascii="Tahoma" w:cs="Tahoma" w:hAnsi="Tahoma"/>
      <w:sz w:val="16"/>
      <w:szCs w:val="16"/>
      <w:lang w:val="en-US"/>
    </w:rPr>
  </w:style>
  <w:style w:styleId="TableGrid" w:type="table">
    <w:name w:val="Table Grid"/>
    <w:basedOn w:val="TableNormal"/>
    <w:uiPriority w:val="59"/>
    <w:rsid w:val="004D6C8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style>
  <w:style w:customStyle="1" w:styleId="Documenttype" w:type="paragraph">
    <w:name w:val="Document type"/>
    <w:basedOn w:val="Normal"/>
    <w:rsid w:val="00380350"/>
    <w:pPr>
      <w:spacing w:line="500" w:lineRule="exact"/>
      <w:ind w:left="907" w:right="907"/>
    </w:pPr>
    <w:rPr>
      <w:b/>
      <w:caps/>
      <w:color w:themeColor="background1" w:val="FFFFFF"/>
      <w:sz w:val="50"/>
      <w:szCs w:val="50"/>
    </w:rPr>
  </w:style>
  <w:style w:customStyle="1" w:styleId="Heading1Char" w:type="character">
    <w:name w:val="Heading 1 Char"/>
    <w:basedOn w:val="DefaultParagraphFont"/>
    <w:link w:val="Heading1"/>
    <w:rsid w:val="00937BF0"/>
    <w:rPr>
      <w:rFonts w:asciiTheme="majorHAnsi" w:cstheme="majorBidi" w:eastAsiaTheme="majorEastAsia" w:hAnsiTheme="majorHAnsi"/>
      <w:b/>
      <w:bCs/>
      <w:caps/>
      <w:color w:themeColor="accent1" w:val="00558C"/>
      <w:sz w:val="28"/>
      <w:szCs w:val="24"/>
      <w:lang w:val="en-GB"/>
    </w:rPr>
  </w:style>
  <w:style w:customStyle="1" w:styleId="Heading2Char" w:type="character">
    <w:name w:val="Heading 2 Char"/>
    <w:basedOn w:val="DefaultParagraphFont"/>
    <w:link w:val="Heading2"/>
    <w:rsid w:val="00A95240"/>
    <w:rPr>
      <w:rFonts w:asciiTheme="majorHAnsi" w:cstheme="majorBidi" w:eastAsiaTheme="majorEastAsia" w:hAnsiTheme="majorHAnsi"/>
      <w:b/>
      <w:caps/>
      <w:color w:themeColor="accent1" w:val="00558C"/>
      <w:sz w:val="24"/>
      <w:szCs w:val="24"/>
      <w:lang w:val="en-GB"/>
    </w:rPr>
  </w:style>
  <w:style w:customStyle="1" w:styleId="Heading3Char" w:type="character">
    <w:name w:val="Heading 3 Char"/>
    <w:basedOn w:val="DefaultParagraphFont"/>
    <w:link w:val="Heading3"/>
    <w:rsid w:val="00937BF0"/>
    <w:rPr>
      <w:rFonts w:asciiTheme="majorHAnsi" w:cstheme="majorBidi" w:eastAsiaTheme="majorEastAsia" w:hAnsiTheme="majorHAnsi"/>
      <w:b/>
      <w:bCs/>
      <w:smallCaps/>
      <w:color w:themeColor="accent1" w:val="00558C"/>
      <w:sz w:val="24"/>
      <w:szCs w:val="24"/>
      <w:lang w:val="en-GB"/>
    </w:rPr>
  </w:style>
  <w:style w:styleId="List" w:type="paragraph">
    <w:name w:val="List"/>
    <w:basedOn w:val="Normal"/>
    <w:uiPriority w:val="99"/>
    <w:unhideWhenUsed/>
    <w:rsid w:val="00CC6246"/>
    <w:pPr>
      <w:ind w:hanging="360" w:left="360"/>
      <w:contextualSpacing/>
    </w:pPr>
  </w:style>
  <w:style w:customStyle="1" w:styleId="Heading4Char" w:type="character">
    <w:name w:val="Heading 4 Char"/>
    <w:basedOn w:val="DefaultParagraphFont"/>
    <w:link w:val="Heading4"/>
    <w:rsid w:val="000418CA"/>
    <w:rPr>
      <w:rFonts w:asciiTheme="majorHAnsi" w:cstheme="majorBidi" w:eastAsiaTheme="majorEastAsia" w:hAnsiTheme="majorHAnsi"/>
      <w:b/>
      <w:iCs/>
      <w:color w:val="00558C"/>
      <w:szCs w:val="24"/>
      <w:lang w:val="en-GB"/>
    </w:rPr>
  </w:style>
  <w:style w:customStyle="1" w:styleId="Heading5Char" w:type="character">
    <w:name w:val="Heading 5 Char"/>
    <w:basedOn w:val="DefaultParagraphFont"/>
    <w:link w:val="Heading5"/>
    <w:rsid w:val="000418CA"/>
    <w:rPr>
      <w:rFonts w:asciiTheme="majorHAnsi" w:cstheme="majorBidi" w:eastAsiaTheme="majorEastAsia" w:hAnsiTheme="majorHAnsi"/>
      <w:iCs/>
      <w:color w:val="00558C"/>
      <w:szCs w:val="24"/>
      <w:lang w:val="en-GB"/>
    </w:rPr>
  </w:style>
  <w:style w:customStyle="1" w:styleId="Heading6Char" w:type="character">
    <w:name w:val="Heading 6 Char"/>
    <w:basedOn w:val="DefaultParagraphFont"/>
    <w:link w:val="Heading6"/>
    <w:rsid w:val="00CF49CC"/>
    <w:rPr>
      <w:rFonts w:asciiTheme="majorHAnsi" w:cstheme="majorBidi" w:eastAsiaTheme="majorEastAsia" w:hAnsiTheme="majorHAnsi"/>
      <w:i/>
      <w:iCs/>
      <w:color w:themeColor="accent1" w:themeShade="7F" w:val="002A45"/>
      <w:sz w:val="18"/>
      <w:lang w:val="en-GB"/>
    </w:rPr>
  </w:style>
  <w:style w:customStyle="1" w:styleId="Heading7Char" w:type="character">
    <w:name w:val="Heading 7 Char"/>
    <w:basedOn w:val="DefaultParagraphFont"/>
    <w:link w:val="Heading7"/>
    <w:rsid w:val="00CF49CC"/>
    <w:rPr>
      <w:rFonts w:asciiTheme="majorHAnsi" w:cstheme="majorBidi" w:eastAsiaTheme="majorEastAsia" w:hAnsiTheme="majorHAnsi"/>
      <w:i/>
      <w:iCs/>
      <w:color w:themeColor="text1" w:themeTint="BF" w:val="404040"/>
      <w:sz w:val="18"/>
      <w:lang w:val="en-GB"/>
    </w:rPr>
  </w:style>
  <w:style w:customStyle="1" w:styleId="Heading8Char" w:type="character">
    <w:name w:val="Heading 8 Char"/>
    <w:basedOn w:val="DefaultParagraphFont"/>
    <w:link w:val="Heading8"/>
    <w:rsid w:val="00CF49CC"/>
    <w:rPr>
      <w:rFonts w:asciiTheme="majorHAnsi" w:cstheme="majorBidi" w:eastAsiaTheme="majorEastAsia" w:hAnsiTheme="majorHAnsi"/>
      <w:color w:themeColor="text1" w:themeTint="BF" w:val="404040"/>
      <w:sz w:val="20"/>
      <w:szCs w:val="20"/>
      <w:lang w:val="en-GB"/>
    </w:rPr>
  </w:style>
  <w:style w:customStyle="1" w:styleId="Heading9Char" w:type="character">
    <w:name w:val="Heading 9 Char"/>
    <w:basedOn w:val="DefaultParagraphFont"/>
    <w:link w:val="Heading9"/>
    <w:rsid w:val="00CF49CC"/>
    <w:rPr>
      <w:rFonts w:asciiTheme="majorHAnsi" w:cstheme="majorBidi" w:eastAsiaTheme="majorEastAsia" w:hAnsiTheme="majorHAnsi"/>
      <w:i/>
      <w:iCs/>
      <w:color w:themeColor="text1" w:themeTint="BF" w:val="404040"/>
      <w:sz w:val="20"/>
      <w:szCs w:val="20"/>
      <w:lang w:val="en-GB"/>
    </w:rPr>
  </w:style>
  <w:style w:customStyle="1" w:styleId="Bullet1" w:type="paragraph">
    <w:name w:val="Bullet 1"/>
    <w:basedOn w:val="Normal"/>
    <w:qFormat/>
    <w:rsid w:val="008310C9"/>
    <w:pPr>
      <w:numPr>
        <w:numId w:val="11"/>
      </w:numPr>
      <w:ind w:hanging="425" w:left="992"/>
    </w:pPr>
    <w:rPr>
      <w:color w:themeColor="text1" w:val="000000"/>
    </w:rPr>
  </w:style>
  <w:style w:customStyle="1" w:styleId="Bullet2" w:type="paragraph">
    <w:name w:val="Bullet 2"/>
    <w:basedOn w:val="Normal"/>
    <w:link w:val="Bullet2Char"/>
    <w:qFormat/>
    <w:rsid w:val="000B1A90"/>
    <w:pPr>
      <w:numPr>
        <w:numId w:val="12"/>
      </w:numPr>
      <w:ind w:hanging="425" w:left="1417"/>
    </w:pPr>
    <w:rPr>
      <w:color w:themeColor="text1" w:val="000000"/>
    </w:rPr>
  </w:style>
  <w:style w:customStyle="1" w:styleId="Heading1separationline" w:type="paragraph">
    <w:name w:val="Heading 1 separation line"/>
    <w:basedOn w:val="Normal"/>
    <w:next w:val="BodyText"/>
    <w:rsid w:val="00AB76B7"/>
    <w:pPr>
      <w:pBdr>
        <w:bottom w:color="00558C" w:space="1" w:sz="8" w:themeColor="accent1" w:val="single"/>
      </w:pBdr>
      <w:spacing w:line="90" w:lineRule="exact"/>
      <w:ind w:right="8789"/>
    </w:pPr>
    <w:rPr>
      <w:color w:themeColor="text1" w:val="000000"/>
    </w:rPr>
  </w:style>
  <w:style w:customStyle="1" w:styleId="Heading2separationline" w:type="paragraph">
    <w:name w:val="Heading 2 separation line"/>
    <w:basedOn w:val="Normal"/>
    <w:next w:val="BodyText"/>
    <w:rsid w:val="00B73463"/>
    <w:pPr>
      <w:pBdr>
        <w:bottom w:color="575756" w:space="1" w:sz="4" w:val="single"/>
      </w:pBdr>
      <w:spacing w:after="60" w:line="110" w:lineRule="exact"/>
      <w:ind w:right="8787"/>
    </w:pPr>
    <w:rPr>
      <w:color w:themeColor="text1" w:val="000000"/>
    </w:rPr>
  </w:style>
  <w:style w:customStyle="1" w:styleId="PageNumber1" w:type="paragraph">
    <w:name w:val="Page Number1"/>
    <w:basedOn w:val="Normal"/>
    <w:rsid w:val="00441393"/>
    <w:pPr>
      <w:spacing w:line="180" w:lineRule="exact"/>
      <w:jc w:val="right"/>
    </w:pPr>
    <w:rPr>
      <w:color w:themeColor="accent1" w:val="00558C"/>
    </w:rPr>
  </w:style>
  <w:style w:customStyle="1" w:styleId="Editionnumber" w:type="paragraph">
    <w:name w:val="Edition number"/>
    <w:basedOn w:val="Normal"/>
    <w:rsid w:val="004E0BBB"/>
    <w:rPr>
      <w:b/>
      <w:color w:themeColor="accent1" w:val="00558C"/>
      <w:sz w:val="50"/>
      <w:szCs w:val="50"/>
    </w:rPr>
  </w:style>
  <w:style w:customStyle="1" w:styleId="Editionnumber-footer" w:type="paragraph">
    <w:name w:val="Edition number - footer"/>
    <w:basedOn w:val="Footer"/>
    <w:next w:val="NoSpacing"/>
    <w:rsid w:val="00380350"/>
    <w:pPr>
      <w:framePr w:hAnchor="margin" w:hSpace="142" w:wrap="around" w:xAlign="center" w:yAlign="bottom"/>
      <w:spacing w:before="40" w:line="180" w:lineRule="exact"/>
      <w:suppressOverlap/>
    </w:pPr>
    <w:rPr>
      <w:b/>
      <w:color w:themeColor="accent1" w:val="00558C"/>
      <w:sz w:val="15"/>
      <w:szCs w:val="15"/>
    </w:rPr>
  </w:style>
  <w:style w:customStyle="1" w:styleId="Contents" w:type="paragraph">
    <w:name w:val="Contents"/>
    <w:basedOn w:val="Header"/>
    <w:rsid w:val="00441393"/>
    <w:pPr>
      <w:pBdr>
        <w:bottom w:color="00558C" w:space="12" w:sz="8" w:themeColor="accent1" w:val="single"/>
      </w:pBdr>
      <w:spacing w:before="100" w:line="560" w:lineRule="exact"/>
    </w:pPr>
    <w:rPr>
      <w:b/>
      <w:caps/>
      <w:color w:themeColor="accent2" w:val="009FE3"/>
      <w:sz w:val="56"/>
      <w:szCs w:val="56"/>
    </w:rPr>
  </w:style>
  <w:style w:styleId="TOC1" w:type="paragraph">
    <w:name w:val="toc 1"/>
    <w:basedOn w:val="Normal"/>
    <w:next w:val="Normal"/>
    <w:uiPriority w:val="39"/>
    <w:rsid w:val="000D76B7"/>
    <w:pPr>
      <w:tabs>
        <w:tab w:leader="dot" w:pos="9781" w:val="right"/>
      </w:tabs>
      <w:spacing w:after="40" w:line="300" w:lineRule="atLeast"/>
      <w:ind w:hanging="425" w:left="425" w:right="425"/>
    </w:pPr>
    <w:rPr>
      <w:b/>
      <w:caps/>
      <w:noProof/>
      <w:color w:themeColor="accent1" w:val="00558C"/>
    </w:rPr>
  </w:style>
  <w:style w:styleId="TOC2" w:type="paragraph">
    <w:name w:val="toc 2"/>
    <w:basedOn w:val="Normal"/>
    <w:next w:val="Normal"/>
    <w:autoRedefine/>
    <w:uiPriority w:val="39"/>
    <w:rsid w:val="00A72893"/>
    <w:pPr>
      <w:tabs>
        <w:tab w:leader="dot" w:pos="9781" w:val="right"/>
      </w:tabs>
      <w:spacing w:after="40" w:line="300" w:lineRule="atLeast"/>
      <w:ind w:hanging="709" w:left="709" w:right="425"/>
    </w:pPr>
    <w:rPr>
      <w:noProof/>
      <w:color w:themeColor="accent1" w:val="00558C"/>
    </w:rPr>
  </w:style>
  <w:style w:styleId="Hyperlink" w:type="character">
    <w:name w:val="Hyperlink"/>
    <w:basedOn w:val="DefaultParagraphFont"/>
    <w:uiPriority w:val="99"/>
    <w:unhideWhenUsed/>
    <w:qFormat/>
    <w:rsid w:val="001B2745"/>
    <w:rPr>
      <w:color w:themeColor="accent1" w:val="00558C"/>
      <w:u w:val="single"/>
    </w:rPr>
  </w:style>
  <w:style w:styleId="ListNumber3" w:type="paragraph">
    <w:name w:val="List Number 3"/>
    <w:basedOn w:val="Normal"/>
    <w:uiPriority w:val="99"/>
    <w:unhideWhenUsed/>
    <w:rsid w:val="00F90461"/>
    <w:pPr>
      <w:contextualSpacing/>
    </w:pPr>
  </w:style>
  <w:style w:styleId="TableofFigures" w:type="paragraph">
    <w:name w:val="table of figures"/>
    <w:basedOn w:val="Normal"/>
    <w:next w:val="Normal"/>
    <w:uiPriority w:val="99"/>
    <w:rsid w:val="0080602A"/>
    <w:pPr>
      <w:tabs>
        <w:tab w:leader="dot" w:pos="9781" w:val="right"/>
      </w:tabs>
      <w:spacing w:after="60"/>
      <w:ind w:hanging="1276" w:left="1276" w:right="425"/>
    </w:pPr>
    <w:rPr>
      <w:i/>
      <w:color w:val="00558C"/>
    </w:rPr>
  </w:style>
  <w:style w:customStyle="1" w:styleId="Tabletext" w:type="paragraph">
    <w:name w:val="Table text"/>
    <w:basedOn w:val="Normal"/>
    <w:qFormat/>
    <w:rsid w:val="00414698"/>
    <w:pPr>
      <w:spacing w:after="60" w:before="60"/>
      <w:ind w:left="113" w:right="113"/>
    </w:pPr>
    <w:rPr>
      <w:color w:themeColor="text1" w:val="000000"/>
      <w:sz w:val="20"/>
    </w:rPr>
  </w:style>
  <w:style w:customStyle="1" w:styleId="Doicumentrevisiontabletitle" w:type="paragraph">
    <w:name w:val="Doicument revision table title"/>
    <w:basedOn w:val="Tabletext"/>
    <w:rsid w:val="00051724"/>
    <w:rPr>
      <w:b/>
      <w:color w:val="00558C"/>
    </w:rPr>
  </w:style>
  <w:style w:styleId="MediumShading1" w:type="table">
    <w:name w:val="Medium Shading 1"/>
    <w:basedOn w:val="TableNormal"/>
    <w:uiPriority w:val="63"/>
    <w:rsid w:val="0052623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blStylePr w:type="firstRow">
      <w:pPr>
        <w:spacing w:after="0" w:before="0" w:line="240" w:lineRule="auto"/>
      </w:pPr>
      <w:rPr>
        <w:b/>
        <w:bCs/>
        <w:color w:themeColor="background1" w:val="FFFFFF"/>
      </w:rPr>
      <w:tblPr/>
      <w:tcPr>
        <w:tcBorders>
          <w:top w:color="575756" w:space="0" w:sz="8" w:val="single"/>
          <w:left w:color="575756" w:space="0" w:sz="8" w:val="single"/>
          <w:bottom w:color="575756" w:space="0" w:sz="8" w:val="single"/>
          <w:right w:color="575756" w:space="0" w:sz="8" w:val="single"/>
          <w:insideH w:val="nil"/>
          <w:insideV w:color="575756" w:space="0" w:sz="8" w:val="single"/>
        </w:tcBorders>
        <w:shd w:color="auto" w:fill="009FE3" w:themeFill="accent2"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top w:color="575756" w:space="0" w:sz="8" w:val="single"/>
          <w:left w:color="575756" w:space="0" w:sz="8" w:val="single"/>
          <w:bottom w:color="575756" w:space="0" w:sz="8" w:val="single"/>
          <w:right w:color="575756" w:space="0" w:sz="8" w:val="single"/>
          <w:insideH w:val="nil"/>
          <w:insideV w:color="575756" w:space="0" w:sz="8" w:val="single"/>
          <w:tl2br w:val="nil"/>
          <w:tr2bl w:val="nil"/>
        </w:tcBorders>
      </w:tcPr>
    </w:tblStylePr>
    <w:tblStylePr w:type="band2Horz">
      <w:tblPr/>
      <w:tcPr>
        <w:tcBorders>
          <w:top w:color="575756" w:space="0" w:sz="8" w:val="single"/>
          <w:left w:color="575756" w:space="0" w:sz="8" w:val="single"/>
          <w:bottom w:color="575756" w:space="0" w:sz="8" w:val="single"/>
          <w:right w:color="575756" w:space="0" w:sz="8" w:val="single"/>
          <w:insideH w:val="nil"/>
          <w:insideV w:color="575756" w:space="0" w:sz="8" w:val="single"/>
          <w:tl2br w:val="nil"/>
          <w:tr2bl w:val="nil"/>
        </w:tcBorders>
        <w:shd w:color="auto" w:fill="C6EDFF" w:themeFill="accent2" w:themeFillTint="33" w:val="clear"/>
      </w:tcPr>
    </w:tblStylePr>
  </w:style>
  <w:style w:styleId="Caption" w:type="paragraph">
    <w:name w:val="caption"/>
    <w:basedOn w:val="Normal"/>
    <w:next w:val="Normal"/>
    <w:uiPriority w:val="35"/>
    <w:rsid w:val="008C33B5"/>
    <w:rPr>
      <w:b/>
      <w:bCs/>
      <w:i/>
      <w:color w:val="575756"/>
      <w:u w:val="single"/>
    </w:rPr>
  </w:style>
  <w:style w:styleId="TOC3" w:type="paragraph">
    <w:name w:val="toc 3"/>
    <w:basedOn w:val="Normal"/>
    <w:next w:val="Normal"/>
    <w:uiPriority w:val="39"/>
    <w:unhideWhenUsed/>
    <w:rsid w:val="001E32E5"/>
    <w:pPr>
      <w:tabs>
        <w:tab w:leader="dot" w:pos="9781" w:val="right"/>
      </w:tabs>
      <w:spacing w:after="60"/>
      <w:ind w:hanging="709" w:left="1134"/>
    </w:pPr>
    <w:rPr>
      <w:color w:val="00558C"/>
    </w:rPr>
  </w:style>
  <w:style w:customStyle="1" w:styleId="Listatext" w:type="paragraph">
    <w:name w:val="List a text"/>
    <w:basedOn w:val="Normal"/>
    <w:qFormat/>
    <w:rsid w:val="008310C9"/>
    <w:pPr>
      <w:ind w:left="1134"/>
    </w:pPr>
  </w:style>
  <w:style w:customStyle="1" w:styleId="Bullet2Char" w:type="character">
    <w:name w:val="Bullet 2 Char"/>
    <w:basedOn w:val="DefaultParagraphFont"/>
    <w:link w:val="Bullet2"/>
    <w:rsid w:val="000B1A90"/>
    <w:rPr>
      <w:color w:themeColor="text1" w:val="000000"/>
      <w:lang w:val="en-GB"/>
    </w:rPr>
  </w:style>
  <w:style w:customStyle="1" w:styleId="AppendixHead2" w:type="paragraph">
    <w:name w:val="Appendix Head 2"/>
    <w:basedOn w:val="Appendix"/>
    <w:next w:val="Heading2separationline"/>
    <w:qFormat/>
    <w:rsid w:val="00586C66"/>
    <w:pPr>
      <w:numPr>
        <w:ilvl w:val="2"/>
      </w:numPr>
      <w:spacing w:after="120"/>
    </w:pPr>
    <w:rPr>
      <w:rFonts w:cs="Arial"/>
      <w:sz w:val="24"/>
      <w:lang w:eastAsia="en-GB"/>
    </w:rPr>
  </w:style>
  <w:style w:customStyle="1" w:styleId="AppendixHead3" w:type="paragraph">
    <w:name w:val="Appendix Head 3"/>
    <w:basedOn w:val="Normal"/>
    <w:next w:val="BodyText"/>
    <w:qFormat/>
    <w:rsid w:val="00E5035D"/>
    <w:pPr>
      <w:numPr>
        <w:ilvl w:val="3"/>
        <w:numId w:val="7"/>
      </w:numPr>
      <w:spacing w:before="120" w:line="240" w:lineRule="auto"/>
    </w:pPr>
    <w:rPr>
      <w:rFonts w:cs="Arial" w:eastAsia="Calibri"/>
      <w:b/>
      <w:smallCaps/>
      <w:color w:val="00558C"/>
      <w:sz w:val="24"/>
      <w:lang w:eastAsia="en-GB"/>
    </w:rPr>
  </w:style>
  <w:style w:customStyle="1" w:styleId="AppendixHead4" w:type="paragraph">
    <w:name w:val="Appendix Head 4"/>
    <w:basedOn w:val="AppendixHead3"/>
    <w:next w:val="BodyText"/>
    <w:qFormat/>
    <w:rsid w:val="00E5035D"/>
    <w:pPr>
      <w:numPr>
        <w:ilvl w:val="4"/>
      </w:numPr>
    </w:pPr>
    <w:rPr>
      <w:smallCaps w:val="0"/>
      <w:sz w:val="22"/>
    </w:rPr>
  </w:style>
  <w:style w:customStyle="1" w:styleId="AppendixHead5" w:type="paragraph">
    <w:name w:val="Appendix Head 5"/>
    <w:basedOn w:val="AppendixHead4"/>
    <w:next w:val="BodyText"/>
    <w:qFormat/>
    <w:rsid w:val="00A90AAC"/>
    <w:pPr>
      <w:ind w:hanging="1701" w:left="1701"/>
    </w:pPr>
    <w:rPr>
      <w:b w:val="0"/>
    </w:rPr>
  </w:style>
  <w:style w:customStyle="1" w:styleId="Annex" w:type="paragraph">
    <w:name w:val="Annex"/>
    <w:next w:val="BodyText"/>
    <w:link w:val="AnnexChar"/>
    <w:qFormat/>
    <w:rsid w:val="00E5035D"/>
    <w:pPr>
      <w:numPr>
        <w:numId w:val="1"/>
      </w:numPr>
      <w:spacing w:after="360"/>
    </w:pPr>
    <w:rPr>
      <w:b/>
      <w:caps/>
      <w:color w:val="00558C"/>
      <w:sz w:val="28"/>
      <w:lang w:val="en-GB"/>
    </w:rPr>
  </w:style>
  <w:style w:customStyle="1" w:styleId="AnnexChar" w:type="character">
    <w:name w:val="Annex Char"/>
    <w:basedOn w:val="DefaultParagraphFont"/>
    <w:link w:val="Annex"/>
    <w:rsid w:val="00E5035D"/>
    <w:rPr>
      <w:b/>
      <w:caps/>
      <w:color w:val="00558C"/>
      <w:sz w:val="28"/>
      <w:lang w:val="en-GB"/>
    </w:rPr>
  </w:style>
  <w:style w:customStyle="1" w:styleId="AnnexHead2" w:type="paragraph">
    <w:name w:val="Annex Head 2"/>
    <w:basedOn w:val="Annex"/>
    <w:next w:val="Heading1separationline"/>
    <w:qFormat/>
    <w:rsid w:val="00E5035D"/>
    <w:pPr>
      <w:numPr>
        <w:ilvl w:val="1"/>
      </w:numPr>
      <w:spacing w:after="120" w:before="120" w:line="240" w:lineRule="auto"/>
    </w:pPr>
    <w:rPr>
      <w:rFonts w:cs="Calibri" w:eastAsia="Calibri"/>
      <w:bCs/>
      <w:sz w:val="24"/>
      <w:lang w:eastAsia="en-GB"/>
    </w:rPr>
  </w:style>
  <w:style w:customStyle="1" w:styleId="AnnexHead3" w:type="paragraph">
    <w:name w:val="Annex Head 3"/>
    <w:basedOn w:val="AnnexHead2"/>
    <w:next w:val="Heading2separationline"/>
    <w:qFormat/>
    <w:rsid w:val="000418CA"/>
    <w:pPr>
      <w:numPr>
        <w:ilvl w:val="2"/>
      </w:numPr>
    </w:pPr>
    <w:rPr>
      <w:caps w:val="0"/>
      <w:smallCaps/>
    </w:rPr>
  </w:style>
  <w:style w:styleId="BodyText" w:type="paragraph">
    <w:name w:val="Body Text"/>
    <w:basedOn w:val="Normal"/>
    <w:link w:val="BodyTextChar"/>
    <w:unhideWhenUsed/>
    <w:qFormat/>
    <w:rsid w:val="00820C2C"/>
    <w:pPr>
      <w:jc w:val="both"/>
    </w:pPr>
  </w:style>
  <w:style w:customStyle="1" w:styleId="BodyTextChar" w:type="character">
    <w:name w:val="Body Text Char"/>
    <w:basedOn w:val="DefaultParagraphFont"/>
    <w:link w:val="BodyText"/>
    <w:rsid w:val="00820C2C"/>
    <w:rPr>
      <w:lang w:val="en-GB"/>
    </w:rPr>
  </w:style>
  <w:style w:customStyle="1" w:styleId="AnnexHead4" w:type="paragraph">
    <w:name w:val="Annex Head 4"/>
    <w:basedOn w:val="AnnexHead3"/>
    <w:next w:val="BodyText"/>
    <w:qFormat/>
    <w:rsid w:val="000418CA"/>
    <w:pPr>
      <w:numPr>
        <w:ilvl w:val="3"/>
      </w:numPr>
    </w:pPr>
    <w:rPr>
      <w:smallCaps w:val="0"/>
      <w:sz w:val="22"/>
    </w:rPr>
  </w:style>
  <w:style w:customStyle="1" w:styleId="AnnexHead5" w:type="paragraph">
    <w:name w:val="Annex Head 5"/>
    <w:basedOn w:val="Normal"/>
    <w:next w:val="BodyText"/>
    <w:qFormat/>
    <w:rsid w:val="000418CA"/>
    <w:pPr>
      <w:numPr>
        <w:ilvl w:val="4"/>
        <w:numId w:val="1"/>
      </w:numPr>
      <w:spacing w:before="120" w:line="240" w:lineRule="auto"/>
      <w:ind w:hanging="1701" w:left="1701"/>
    </w:pPr>
    <w:rPr>
      <w:rFonts w:cs="Calibri" w:eastAsia="Calibri"/>
      <w:color w:val="00558C"/>
      <w:lang w:eastAsia="en-GB"/>
    </w:rPr>
  </w:style>
  <w:style w:styleId="CommentReference" w:type="character">
    <w:name w:val="annotation reference"/>
    <w:basedOn w:val="DefaultParagraphFont"/>
    <w:unhideWhenUsed/>
    <w:rsid w:val="00380350"/>
    <w:rPr>
      <w:noProof w:val="0"/>
      <w:sz w:val="18"/>
      <w:szCs w:val="18"/>
      <w:lang w:val="en-GB"/>
    </w:rPr>
  </w:style>
  <w:style w:styleId="CommentText" w:type="paragraph">
    <w:name w:val="annotation text"/>
    <w:basedOn w:val="Normal"/>
    <w:link w:val="CommentTextChar"/>
    <w:unhideWhenUsed/>
    <w:rsid w:val="00380350"/>
    <w:pPr>
      <w:spacing w:line="240" w:lineRule="auto"/>
    </w:pPr>
    <w:rPr>
      <w:sz w:val="24"/>
      <w:szCs w:val="24"/>
    </w:rPr>
  </w:style>
  <w:style w:customStyle="1" w:styleId="CommentTextChar" w:type="character">
    <w:name w:val="Comment Text Char"/>
    <w:basedOn w:val="DefaultParagraphFont"/>
    <w:link w:val="CommentText"/>
    <w:rsid w:val="00380350"/>
    <w:rPr>
      <w:sz w:val="24"/>
      <w:szCs w:val="24"/>
      <w:lang w:val="en-GB"/>
    </w:rPr>
  </w:style>
  <w:style w:styleId="CommentSubject" w:type="paragraph">
    <w:name w:val="annotation subject"/>
    <w:basedOn w:val="CommentText"/>
    <w:next w:val="CommentText"/>
    <w:link w:val="CommentSubjectChar"/>
    <w:unhideWhenUsed/>
    <w:rsid w:val="00B70BD4"/>
    <w:rPr>
      <w:b/>
      <w:bCs/>
      <w:sz w:val="20"/>
      <w:szCs w:val="20"/>
    </w:rPr>
  </w:style>
  <w:style w:customStyle="1" w:styleId="CommentSubjectChar" w:type="character">
    <w:name w:val="Comment Subject Char"/>
    <w:basedOn w:val="CommentTextChar"/>
    <w:link w:val="CommentSubject"/>
    <w:rsid w:val="00B70BD4"/>
    <w:rPr>
      <w:b/>
      <w:bCs/>
      <w:sz w:val="20"/>
      <w:szCs w:val="20"/>
      <w:lang w:val="en-US"/>
    </w:rPr>
  </w:style>
  <w:style w:styleId="BodyTextIndent3" w:type="paragraph">
    <w:name w:val="Body Text Indent 3"/>
    <w:basedOn w:val="Normal"/>
    <w:link w:val="BodyTextIndent3Char"/>
    <w:semiHidden/>
    <w:unhideWhenUsed/>
    <w:rsid w:val="00CF49CC"/>
    <w:pPr>
      <w:ind w:left="360"/>
    </w:pPr>
    <w:rPr>
      <w:sz w:val="16"/>
      <w:szCs w:val="16"/>
    </w:rPr>
  </w:style>
  <w:style w:customStyle="1" w:styleId="BodyTextIndent3Char" w:type="character">
    <w:name w:val="Body Text Indent 3 Char"/>
    <w:basedOn w:val="DefaultParagraphFont"/>
    <w:link w:val="BodyTextIndent3"/>
    <w:semiHidden/>
    <w:rsid w:val="00CF49CC"/>
    <w:rPr>
      <w:sz w:val="16"/>
      <w:szCs w:val="16"/>
      <w:lang w:val="en-GB"/>
    </w:rPr>
  </w:style>
  <w:style w:customStyle="1" w:styleId="InsetList" w:type="paragraph">
    <w:name w:val="Inset List"/>
    <w:basedOn w:val="Normal"/>
    <w:qFormat/>
    <w:rsid w:val="006E10BF"/>
    <w:pPr>
      <w:numPr>
        <w:numId w:val="5"/>
      </w:numPr>
      <w:jc w:val="both"/>
    </w:pPr>
  </w:style>
  <w:style w:customStyle="1" w:styleId="ListofFigures" w:type="paragraph">
    <w:name w:val="List of Figures"/>
    <w:basedOn w:val="Normal"/>
    <w:next w:val="Normal"/>
    <w:rsid w:val="00CF49CC"/>
    <w:pPr>
      <w:spacing w:after="240" w:line="480" w:lineRule="atLeast"/>
    </w:pPr>
    <w:rPr>
      <w:b/>
      <w:color w:themeColor="accent2" w:val="009FE3"/>
      <w:sz w:val="40"/>
      <w:szCs w:val="40"/>
    </w:rPr>
  </w:style>
  <w:style w:customStyle="1" w:styleId="TableCaption" w:type="paragraph">
    <w:name w:val="Table Caption"/>
    <w:basedOn w:val="Caption"/>
    <w:next w:val="BodyText"/>
    <w:qFormat/>
    <w:rsid w:val="001105AF"/>
    <w:pPr>
      <w:keepNext/>
      <w:numPr>
        <w:numId w:val="3"/>
      </w:numPr>
      <w:tabs>
        <w:tab w:pos="851" w:val="left"/>
      </w:tabs>
      <w:spacing w:after="240" w:before="240"/>
      <w:jc w:val="center"/>
    </w:pPr>
    <w:rPr>
      <w:b w:val="0"/>
      <w:u w:val="none"/>
    </w:rPr>
  </w:style>
  <w:style w:styleId="ListNumber" w:type="paragraph">
    <w:name w:val="List Number"/>
    <w:basedOn w:val="Normal"/>
    <w:semiHidden/>
    <w:rsid w:val="006E10BF"/>
    <w:pPr>
      <w:numPr>
        <w:numId w:val="6"/>
      </w:numPr>
      <w:contextualSpacing/>
    </w:pPr>
  </w:style>
  <w:style w:styleId="TOC4" w:type="paragraph">
    <w:name w:val="toc 4"/>
    <w:basedOn w:val="Normal"/>
    <w:next w:val="Normal"/>
    <w:autoRedefine/>
    <w:uiPriority w:val="39"/>
    <w:unhideWhenUsed/>
    <w:rsid w:val="00CD0232"/>
    <w:pPr>
      <w:tabs>
        <w:tab w:leader="dot" w:pos="9781" w:val="right"/>
        <w:tab w:leader="dot" w:pos="10195" w:val="right"/>
      </w:tabs>
      <w:ind w:hanging="1418" w:left="1418" w:right="425"/>
    </w:pPr>
    <w:rPr>
      <w:b/>
      <w:caps/>
      <w:color w:val="00558C"/>
    </w:rPr>
  </w:style>
  <w:style w:styleId="FootnoteText" w:type="paragraph">
    <w:name w:val="footnote text"/>
    <w:basedOn w:val="Normal"/>
    <w:link w:val="FootnoteTextChar"/>
    <w:uiPriority w:val="9"/>
    <w:unhideWhenUsed/>
    <w:qFormat/>
    <w:rsid w:val="00332A7B"/>
    <w:pPr>
      <w:tabs>
        <w:tab w:pos="425" w:val="left"/>
      </w:tabs>
      <w:spacing w:line="240" w:lineRule="auto"/>
      <w:ind w:hanging="425" w:left="425"/>
    </w:pPr>
    <w:rPr>
      <w:szCs w:val="24"/>
      <w:vertAlign w:val="superscript"/>
    </w:rPr>
  </w:style>
  <w:style w:customStyle="1" w:styleId="FootnoteTextChar" w:type="character">
    <w:name w:val="Footnote Text Char"/>
    <w:basedOn w:val="DefaultParagraphFont"/>
    <w:link w:val="FootnoteText"/>
    <w:uiPriority w:val="9"/>
    <w:rsid w:val="00332A7B"/>
    <w:rPr>
      <w:sz w:val="18"/>
      <w:szCs w:val="24"/>
      <w:vertAlign w:val="superscript"/>
      <w:lang w:val="en-GB"/>
    </w:rPr>
  </w:style>
  <w:style w:styleId="FootnoteReference" w:type="character">
    <w:name w:val="footnote reference"/>
    <w:rsid w:val="00DD69FB"/>
    <w:rPr>
      <w:rFonts w:asciiTheme="minorHAnsi" w:hAnsiTheme="minorHAnsi"/>
      <w:sz w:val="20"/>
      <w:vertAlign w:val="superscript"/>
    </w:rPr>
  </w:style>
  <w:style w:styleId="PageNumber" w:type="character">
    <w:name w:val="page number"/>
    <w:rsid w:val="006C48F9"/>
    <w:rPr>
      <w:rFonts w:asciiTheme="minorHAnsi" w:hAnsiTheme="minorHAnsi"/>
      <w:sz w:val="15"/>
    </w:rPr>
  </w:style>
  <w:style w:customStyle="1" w:styleId="Footereditionno" w:type="paragraph">
    <w:name w:val="Footer edition no."/>
    <w:basedOn w:val="Normal"/>
    <w:rsid w:val="00F74309"/>
    <w:pPr>
      <w:tabs>
        <w:tab w:pos="10206" w:val="right"/>
      </w:tabs>
    </w:pPr>
    <w:rPr>
      <w:b/>
      <w:color w:val="00558C"/>
      <w:sz w:val="15"/>
    </w:rPr>
  </w:style>
  <w:style w:customStyle="1" w:styleId="Lista" w:type="paragraph">
    <w:name w:val="List a"/>
    <w:basedOn w:val="Normal"/>
    <w:qFormat/>
    <w:rsid w:val="008310C9"/>
    <w:pPr>
      <w:numPr>
        <w:ilvl w:val="1"/>
        <w:numId w:val="15"/>
      </w:numPr>
      <w:spacing w:line="240" w:lineRule="auto"/>
      <w:jc w:val="both"/>
    </w:pPr>
    <w:rPr>
      <w:rFonts w:cs="Times New Roman" w:eastAsia="Times New Roman"/>
      <w:szCs w:val="20"/>
      <w:lang w:eastAsia="en-GB"/>
    </w:rPr>
  </w:style>
  <w:style w:styleId="ArticleSection" w:type="numbering">
    <w:name w:val="Outline List 3"/>
    <w:basedOn w:val="NoList"/>
    <w:rsid w:val="006E10BF"/>
    <w:pPr>
      <w:numPr>
        <w:numId w:val="4"/>
      </w:numPr>
    </w:pPr>
  </w:style>
  <w:style w:styleId="TOC5" w:type="paragraph">
    <w:name w:val="toc 5"/>
    <w:basedOn w:val="Normal"/>
    <w:next w:val="Normal"/>
    <w:autoRedefine/>
    <w:uiPriority w:val="39"/>
    <w:rsid w:val="00CD0232"/>
    <w:pPr>
      <w:tabs>
        <w:tab w:leader="dot" w:pos="9781" w:val="right"/>
        <w:tab w:leader="dot" w:pos="10206" w:val="right"/>
      </w:tabs>
      <w:spacing w:after="60" w:before="60" w:line="240" w:lineRule="auto"/>
      <w:ind w:hanging="1418" w:left="1418" w:right="425"/>
    </w:pPr>
    <w:rPr>
      <w:rFonts w:cs="Times New Roman" w:eastAsia="Times New Roman"/>
      <w:b/>
      <w:caps/>
      <w:color w:val="00558C"/>
      <w:szCs w:val="20"/>
    </w:rPr>
  </w:style>
  <w:style w:styleId="TOC6" w:type="paragraph">
    <w:name w:val="toc 6"/>
    <w:basedOn w:val="Normal"/>
    <w:next w:val="Normal"/>
    <w:autoRedefine/>
    <w:rsid w:val="00CF49CC"/>
    <w:pPr>
      <w:spacing w:line="240" w:lineRule="auto"/>
      <w:ind w:left="960"/>
    </w:pPr>
    <w:rPr>
      <w:rFonts w:ascii="Arial" w:cs="Times New Roman" w:eastAsia="Times New Roman" w:hAnsi="Arial"/>
      <w:sz w:val="20"/>
      <w:szCs w:val="20"/>
    </w:rPr>
  </w:style>
  <w:style w:styleId="TOC7" w:type="paragraph">
    <w:name w:val="toc 7"/>
    <w:basedOn w:val="Normal"/>
    <w:next w:val="Normal"/>
    <w:autoRedefine/>
    <w:rsid w:val="00CF49CC"/>
    <w:pPr>
      <w:spacing w:line="240" w:lineRule="auto"/>
      <w:ind w:left="1200"/>
    </w:pPr>
    <w:rPr>
      <w:rFonts w:ascii="Arial" w:cs="Times New Roman" w:eastAsia="Times New Roman" w:hAnsi="Arial"/>
      <w:sz w:val="20"/>
      <w:szCs w:val="20"/>
    </w:rPr>
  </w:style>
  <w:style w:styleId="TOC8" w:type="paragraph">
    <w:name w:val="toc 8"/>
    <w:basedOn w:val="Normal"/>
    <w:next w:val="Normal"/>
    <w:autoRedefine/>
    <w:rsid w:val="00CF49CC"/>
    <w:pPr>
      <w:spacing w:line="240" w:lineRule="auto"/>
      <w:ind w:left="1440"/>
    </w:pPr>
    <w:rPr>
      <w:rFonts w:ascii="Arial" w:cs="Times New Roman" w:eastAsia="Times New Roman" w:hAnsi="Arial"/>
      <w:sz w:val="20"/>
      <w:szCs w:val="20"/>
    </w:rPr>
  </w:style>
  <w:style w:styleId="TOC9" w:type="paragraph">
    <w:name w:val="toc 9"/>
    <w:basedOn w:val="Normal"/>
    <w:next w:val="Normal"/>
    <w:autoRedefine/>
    <w:rsid w:val="00CF49CC"/>
    <w:pPr>
      <w:spacing w:line="240" w:lineRule="auto"/>
      <w:ind w:left="1680"/>
    </w:pPr>
    <w:rPr>
      <w:rFonts w:ascii="Arial" w:cs="Times New Roman" w:eastAsia="Times New Roman" w:hAnsi="Arial"/>
      <w:sz w:val="20"/>
      <w:szCs w:val="20"/>
    </w:rPr>
  </w:style>
  <w:style w:customStyle="1" w:styleId="Listi" w:type="paragraph">
    <w:name w:val="List i"/>
    <w:basedOn w:val="Listitext"/>
    <w:qFormat/>
    <w:rsid w:val="00FF418D"/>
    <w:pPr>
      <w:numPr>
        <w:ilvl w:val="2"/>
        <w:numId w:val="15"/>
      </w:numPr>
      <w:ind w:hanging="425" w:left="1701"/>
    </w:pPr>
  </w:style>
  <w:style w:customStyle="1" w:styleId="Listitext" w:type="paragraph">
    <w:name w:val="List i text"/>
    <w:basedOn w:val="Normal"/>
    <w:qFormat/>
    <w:rsid w:val="00FF418D"/>
    <w:pPr>
      <w:ind w:hanging="567" w:left="2268"/>
    </w:pPr>
    <w:rPr>
      <w:sz w:val="20"/>
    </w:rPr>
  </w:style>
  <w:style w:customStyle="1" w:styleId="Bullet1text" w:type="paragraph">
    <w:name w:val="Bullet 1 text"/>
    <w:basedOn w:val="Normal"/>
    <w:qFormat/>
    <w:rsid w:val="008310C9"/>
    <w:pPr>
      <w:suppressAutoHyphens/>
      <w:spacing w:line="240" w:lineRule="auto"/>
      <w:ind w:left="992"/>
      <w:jc w:val="both"/>
    </w:pPr>
    <w:rPr>
      <w:rFonts w:cs="Times New Roman" w:eastAsia="Times New Roman"/>
      <w:szCs w:val="20"/>
      <w:lang w:eastAsia="en-GB"/>
    </w:rPr>
  </w:style>
  <w:style w:customStyle="1" w:styleId="Bullet2text" w:type="paragraph">
    <w:name w:val="Bullet 2 text"/>
    <w:basedOn w:val="Normal"/>
    <w:qFormat/>
    <w:rsid w:val="008310C9"/>
    <w:pPr>
      <w:suppressAutoHyphens/>
      <w:spacing w:line="240" w:lineRule="auto"/>
      <w:ind w:hanging="425" w:left="1701"/>
      <w:jc w:val="both"/>
    </w:pPr>
    <w:rPr>
      <w:rFonts w:cs="Times New Roman" w:eastAsia="Times New Roman"/>
      <w:szCs w:val="20"/>
      <w:lang w:eastAsia="en-GB"/>
    </w:rPr>
  </w:style>
  <w:style w:customStyle="1" w:styleId="Bullet3" w:type="paragraph">
    <w:name w:val="Bullet 3"/>
    <w:basedOn w:val="Normal"/>
    <w:qFormat/>
    <w:rsid w:val="008310C9"/>
    <w:pPr>
      <w:numPr>
        <w:numId w:val="13"/>
      </w:numPr>
      <w:spacing w:line="240" w:lineRule="auto"/>
      <w:ind w:hanging="425" w:left="1701"/>
    </w:pPr>
    <w:rPr>
      <w:rFonts w:cs="Times New Roman" w:eastAsia="Times New Roman"/>
      <w:sz w:val="20"/>
      <w:szCs w:val="20"/>
      <w:lang w:eastAsia="en-GB"/>
    </w:rPr>
  </w:style>
  <w:style w:customStyle="1" w:styleId="Bullet3text" w:type="paragraph">
    <w:name w:val="Bullet 3 text"/>
    <w:basedOn w:val="Normal"/>
    <w:qFormat/>
    <w:rsid w:val="008310C9"/>
    <w:pPr>
      <w:suppressAutoHyphens/>
      <w:spacing w:line="240" w:lineRule="auto"/>
      <w:ind w:left="1701"/>
    </w:pPr>
    <w:rPr>
      <w:rFonts w:cs="Times New Roman" w:eastAsia="Times New Roman"/>
      <w:sz w:val="20"/>
      <w:szCs w:val="20"/>
      <w:lang w:eastAsia="en-GB"/>
    </w:rPr>
  </w:style>
  <w:style w:customStyle="1" w:styleId="List1" w:type="paragraph">
    <w:name w:val="List 1"/>
    <w:basedOn w:val="Normal"/>
    <w:qFormat/>
    <w:rsid w:val="008310C9"/>
    <w:pPr>
      <w:numPr>
        <w:numId w:val="14"/>
      </w:numPr>
      <w:spacing w:line="240" w:lineRule="auto"/>
      <w:jc w:val="both"/>
    </w:pPr>
    <w:rPr>
      <w:rFonts w:cs="Times New Roman" w:eastAsia="Times New Roman"/>
      <w:szCs w:val="20"/>
      <w:lang w:eastAsia="en-GB"/>
    </w:rPr>
  </w:style>
  <w:style w:customStyle="1" w:styleId="List1text" w:type="paragraph">
    <w:name w:val="List 1 text"/>
    <w:basedOn w:val="Normal"/>
    <w:qFormat/>
    <w:rsid w:val="008310C9"/>
    <w:pPr>
      <w:spacing w:line="240" w:lineRule="auto"/>
      <w:ind w:left="567"/>
      <w:jc w:val="both"/>
    </w:pPr>
    <w:rPr>
      <w:rFonts w:cs="Times New Roman" w:eastAsia="Times New Roman"/>
      <w:szCs w:val="20"/>
      <w:lang w:eastAsia="en-GB"/>
    </w:rPr>
  </w:style>
  <w:style w:styleId="DocumentMap" w:type="paragraph">
    <w:name w:val="Document Map"/>
    <w:basedOn w:val="Normal"/>
    <w:link w:val="DocumentMapChar"/>
    <w:rsid w:val="008972C3"/>
    <w:pPr>
      <w:shd w:color="auto" w:fill="000080" w:val="clear"/>
      <w:spacing w:line="240" w:lineRule="auto"/>
    </w:pPr>
    <w:rPr>
      <w:rFonts w:ascii="Tahoma" w:cs="Times New Roman" w:eastAsia="Times New Roman" w:hAnsi="Tahoma"/>
      <w:sz w:val="20"/>
      <w:szCs w:val="24"/>
      <w:lang w:eastAsia="de-DE" w:val="de-DE"/>
    </w:rPr>
  </w:style>
  <w:style w:customStyle="1" w:styleId="DocumentMapChar" w:type="character">
    <w:name w:val="Document Map Char"/>
    <w:basedOn w:val="DefaultParagraphFont"/>
    <w:link w:val="DocumentMap"/>
    <w:rsid w:val="008972C3"/>
    <w:rPr>
      <w:rFonts w:ascii="Tahoma" w:cs="Times New Roman" w:eastAsia="Times New Roman" w:hAnsi="Tahoma"/>
      <w:sz w:val="20"/>
      <w:szCs w:val="24"/>
      <w:shd w:color="auto" w:fill="000080" w:val="clear"/>
      <w:lang w:eastAsia="de-DE" w:val="de-DE"/>
    </w:rPr>
  </w:style>
  <w:style w:styleId="FollowedHyperlink" w:type="character">
    <w:name w:val="FollowedHyperlink"/>
    <w:rsid w:val="008972C3"/>
    <w:rPr>
      <w:color w:val="800080"/>
      <w:u w:val="single"/>
    </w:rPr>
  </w:style>
  <w:style w:styleId="NormalWeb" w:type="paragraph">
    <w:name w:val="Normal (Web)"/>
    <w:basedOn w:val="Normal"/>
    <w:uiPriority w:val="99"/>
    <w:rsid w:val="00CF49CC"/>
    <w:pPr>
      <w:spacing w:line="240" w:lineRule="auto"/>
    </w:pPr>
    <w:rPr>
      <w:rFonts w:ascii="Arial" w:cs="Times New Roman" w:eastAsia="Times New Roman" w:hAnsi="Arial"/>
      <w:szCs w:val="24"/>
    </w:rPr>
  </w:style>
  <w:style w:customStyle="1" w:styleId="TableofTables" w:type="paragraph">
    <w:name w:val="Table of Tables"/>
    <w:basedOn w:val="TableofFigures"/>
    <w:rsid w:val="00257E4A"/>
    <w:pPr>
      <w:tabs>
        <w:tab w:pos="1134" w:val="left"/>
        <w:tab w:pos="9781" w:val="right"/>
      </w:tabs>
    </w:pPr>
  </w:style>
  <w:style w:styleId="Emphasis" w:type="character">
    <w:name w:val="Emphasis"/>
    <w:rsid w:val="008972C3"/>
    <w:rPr>
      <w:i/>
      <w:iCs/>
    </w:rPr>
  </w:style>
  <w:style w:styleId="HTMLCite" w:type="character">
    <w:name w:val="HTML Cite"/>
    <w:rsid w:val="008972C3"/>
    <w:rPr>
      <w:i/>
      <w:iCs/>
    </w:rPr>
  </w:style>
  <w:style w:customStyle="1" w:styleId="Default" w:type="paragraph">
    <w:name w:val="Default"/>
    <w:rsid w:val="00380350"/>
    <w:pPr>
      <w:autoSpaceDE w:val="0"/>
      <w:autoSpaceDN w:val="0"/>
      <w:adjustRightInd w:val="0"/>
      <w:spacing w:after="0" w:line="240" w:lineRule="auto"/>
    </w:pPr>
    <w:rPr>
      <w:rFonts w:ascii="Arial" w:cs="Arial" w:eastAsia="Times New Roman" w:hAnsi="Arial"/>
      <w:color w:val="000000"/>
      <w:sz w:val="24"/>
      <w:szCs w:val="24"/>
      <w:lang w:eastAsia="en-GB" w:val="en-GB"/>
    </w:rPr>
  </w:style>
  <w:style w:customStyle="1" w:styleId="TableGrid1" w:type="table">
    <w:name w:val="Table Grid1"/>
    <w:basedOn w:val="TableNormal"/>
    <w:next w:val="TableGrid"/>
    <w:uiPriority w:val="59"/>
    <w:rsid w:val="008972C3"/>
    <w:pPr>
      <w:spacing w:after="0" w:line="240" w:lineRule="auto"/>
    </w:pPr>
    <w:rPr>
      <w:lang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Heading" w:type="paragraph">
    <w:name w:val="TOC Heading"/>
    <w:basedOn w:val="Heading1"/>
    <w:next w:val="Normal"/>
    <w:uiPriority w:val="39"/>
    <w:unhideWhenUsed/>
    <w:rsid w:val="008972C3"/>
    <w:pPr>
      <w:numPr>
        <w:numId w:val="0"/>
      </w:numPr>
      <w:spacing w:before="480" w:line="276" w:lineRule="auto"/>
      <w:outlineLvl w:val="9"/>
    </w:pPr>
    <w:rPr>
      <w:caps w:val="0"/>
      <w:color w:themeColor="accent1" w:themeShade="BF" w:val="003F68"/>
      <w:szCs w:val="28"/>
      <w:lang w:val="sv-SE"/>
    </w:rPr>
  </w:style>
  <w:style w:customStyle="1" w:styleId="Tableinsetlist" w:type="paragraph">
    <w:name w:val="Table inset list"/>
    <w:basedOn w:val="InsetList"/>
    <w:rsid w:val="004D6C87"/>
    <w:pPr>
      <w:numPr>
        <w:numId w:val="2"/>
      </w:numPr>
      <w:spacing w:before="120"/>
      <w:contextualSpacing/>
    </w:pPr>
    <w:rPr>
      <w:sz w:val="20"/>
    </w:rPr>
  </w:style>
  <w:style w:customStyle="1" w:styleId="Textedesaisie" w:type="paragraph">
    <w:name w:val="Texte de saisie"/>
    <w:basedOn w:val="Normal"/>
    <w:link w:val="TextedesaisieCar"/>
    <w:rsid w:val="00EA4F29"/>
    <w:rPr>
      <w:color w:themeColor="text1" w:val="000000"/>
    </w:rPr>
  </w:style>
  <w:style w:customStyle="1" w:styleId="TextedesaisieCar" w:type="character">
    <w:name w:val="Texte de saisie Car"/>
    <w:basedOn w:val="DefaultParagraphFont"/>
    <w:link w:val="Textedesaisie"/>
    <w:rsid w:val="00EA4F29"/>
    <w:rPr>
      <w:color w:themeColor="text1" w:val="000000"/>
      <w:lang w:val="en-GB"/>
    </w:rPr>
  </w:style>
  <w:style w:customStyle="1" w:styleId="AnnexTablecaption" w:type="paragraph">
    <w:name w:val="Annex Table caption"/>
    <w:basedOn w:val="BodyText"/>
    <w:qFormat/>
    <w:rsid w:val="002176C4"/>
    <w:pPr>
      <w:numPr>
        <w:numId w:val="18"/>
      </w:numPr>
      <w:jc w:val="center"/>
    </w:pPr>
    <w:rPr>
      <w:i/>
      <w:color w:val="00558C"/>
      <w:lang w:eastAsia="en-GB"/>
    </w:rPr>
  </w:style>
  <w:style w:customStyle="1" w:styleId="ImageCaption" w:type="paragraph">
    <w:name w:val="Image Caption"/>
    <w:basedOn w:val="Caption"/>
    <w:next w:val="BodyText"/>
    <w:qFormat/>
    <w:rsid w:val="00833936"/>
    <w:pPr>
      <w:numPr>
        <w:numId w:val="19"/>
      </w:numPr>
      <w:spacing w:after="240" w:before="240"/>
      <w:jc w:val="center"/>
    </w:pPr>
    <w:rPr>
      <w:b w:val="0"/>
      <w:u w:val="none"/>
    </w:rPr>
  </w:style>
  <w:style w:styleId="NoSpacing" w:type="paragraph">
    <w:name w:val="No Spacing"/>
    <w:uiPriority w:val="1"/>
    <w:rsid w:val="00C55EFB"/>
    <w:pPr>
      <w:spacing w:after="0" w:line="240" w:lineRule="auto"/>
    </w:pPr>
    <w:rPr>
      <w:sz w:val="18"/>
      <w:lang w:val="en-GB"/>
    </w:rPr>
  </w:style>
  <w:style w:customStyle="1" w:styleId="Abbreviations" w:type="paragraph">
    <w:name w:val="Abbreviations"/>
    <w:basedOn w:val="Normal"/>
    <w:qFormat/>
    <w:rsid w:val="000B577B"/>
    <w:pPr>
      <w:spacing w:after="60"/>
      <w:ind w:hanging="1418" w:left="1418"/>
    </w:pPr>
  </w:style>
  <w:style w:customStyle="1" w:styleId="Tableheading" w:type="paragraph">
    <w:name w:val="Table heading"/>
    <w:basedOn w:val="Normal"/>
    <w:qFormat/>
    <w:rsid w:val="00983287"/>
    <w:pPr>
      <w:spacing w:after="60" w:before="60"/>
      <w:ind w:left="113" w:right="113"/>
      <w:jc w:val="center"/>
    </w:pPr>
    <w:rPr>
      <w:b/>
      <w:color w:val="00558C"/>
      <w:sz w:val="20"/>
      <w:lang w:val="en-US"/>
    </w:rPr>
  </w:style>
  <w:style w:customStyle="1" w:styleId="Appendix" w:type="paragraph">
    <w:name w:val="Appendix"/>
    <w:next w:val="BodyText"/>
    <w:qFormat/>
    <w:rsid w:val="00E5035D"/>
    <w:pPr>
      <w:numPr>
        <w:numId w:val="7"/>
      </w:numPr>
      <w:spacing w:after="240" w:before="120" w:line="240" w:lineRule="auto"/>
    </w:pPr>
    <w:rPr>
      <w:rFonts w:asciiTheme="majorHAnsi" w:cs="Calibri" w:eastAsia="Calibri" w:hAnsiTheme="majorHAnsi"/>
      <w:b/>
      <w:bCs/>
      <w:caps/>
      <w:color w:val="00558C"/>
      <w:sz w:val="28"/>
      <w:szCs w:val="28"/>
      <w:lang w:val="en-GB"/>
    </w:rPr>
  </w:style>
  <w:style w:customStyle="1" w:styleId="Footerlandscape" w:type="paragraph">
    <w:name w:val="Footer landscape"/>
    <w:basedOn w:val="Normal"/>
    <w:rsid w:val="00C716E5"/>
    <w:pPr>
      <w:pBdr>
        <w:top w:color="auto" w:space="1" w:sz="4" w:val="single"/>
      </w:pBdr>
      <w:tabs>
        <w:tab w:pos="15309" w:val="right"/>
      </w:tabs>
      <w:adjustRightInd w:val="0"/>
    </w:pPr>
    <w:rPr>
      <w:b/>
      <w:color w:val="00558C"/>
      <w:sz w:val="15"/>
    </w:rPr>
  </w:style>
  <w:style w:customStyle="1" w:styleId="Documentnumber" w:type="paragraph">
    <w:name w:val="Document number"/>
    <w:basedOn w:val="Normal"/>
    <w:next w:val="Normal"/>
    <w:rsid w:val="0026038D"/>
    <w:rPr>
      <w:caps/>
      <w:color w:val="00558C"/>
      <w:sz w:val="50"/>
    </w:rPr>
  </w:style>
  <w:style w:customStyle="1" w:styleId="Documentdate" w:type="paragraph">
    <w:name w:val="Document date"/>
    <w:basedOn w:val="Normal"/>
    <w:rsid w:val="004E0BBB"/>
    <w:rPr>
      <w:b/>
      <w:color w:val="00558C"/>
      <w:sz w:val="28"/>
    </w:rPr>
  </w:style>
  <w:style w:customStyle="1" w:styleId="Footerportrait" w:type="paragraph">
    <w:name w:val="Footer portrait"/>
    <w:basedOn w:val="Normal"/>
    <w:rsid w:val="00C716E5"/>
    <w:pPr>
      <w:pBdr>
        <w:top w:color="auto" w:space="1" w:sz="4" w:val="single"/>
      </w:pBdr>
      <w:tabs>
        <w:tab w:pos="10206" w:val="right"/>
      </w:tabs>
    </w:pPr>
    <w:rPr>
      <w:b/>
      <w:noProof/>
      <w:color w:val="00558C"/>
      <w:sz w:val="15"/>
      <w:lang w:val="en-US"/>
    </w:rPr>
  </w:style>
  <w:style w:customStyle="1" w:styleId="Documentname" w:type="paragraph">
    <w:name w:val="Document name"/>
    <w:basedOn w:val="Documenttype"/>
    <w:rsid w:val="00E21A27"/>
    <w:pPr>
      <w:ind w:left="0" w:right="0"/>
    </w:pPr>
    <w:rPr>
      <w:b w:val="0"/>
      <w:color w:val="00558C"/>
    </w:rPr>
  </w:style>
  <w:style w:styleId="PlaceholderText" w:type="character">
    <w:name w:val="Placeholder Text"/>
    <w:basedOn w:val="DefaultParagraphFont"/>
    <w:uiPriority w:val="99"/>
    <w:semiHidden/>
    <w:rsid w:val="00B643DF"/>
    <w:rPr>
      <w:color w:val="808080"/>
    </w:rPr>
  </w:style>
  <w:style w:customStyle="1" w:styleId="Style1" w:type="paragraph">
    <w:name w:val="Style1"/>
    <w:basedOn w:val="Tableheading"/>
    <w:rsid w:val="00982A22"/>
  </w:style>
  <w:style w:customStyle="1" w:styleId="Style2" w:type="paragraph">
    <w:name w:val="Style2"/>
    <w:basedOn w:val="TOC3"/>
    <w:autoRedefine/>
    <w:rsid w:val="009E433C"/>
    <w:pPr>
      <w:tabs>
        <w:tab w:pos="1985" w:val="left"/>
        <w:tab w:pos="10195" w:val="right"/>
      </w:tabs>
    </w:pPr>
    <w:rPr>
      <w:rFonts w:eastAsiaTheme="minorEastAsia"/>
      <w:noProof/>
      <w:sz w:val="24"/>
      <w:szCs w:val="24"/>
      <w:lang w:val="en-US"/>
    </w:rPr>
  </w:style>
  <w:style w:customStyle="1" w:styleId="Headingseparationline-landscape" w:type="paragraph">
    <w:name w:val="Heading separation line - landscape"/>
    <w:basedOn w:val="Heading1separationline"/>
    <w:rsid w:val="00AB76B7"/>
    <w:pPr>
      <w:ind w:right="14317"/>
    </w:pPr>
  </w:style>
  <w:style w:styleId="Title" w:type="paragraph">
    <w:name w:val="Title"/>
    <w:basedOn w:val="Normal"/>
    <w:link w:val="TitleChar"/>
    <w:qFormat/>
    <w:rsid w:val="00FD20C1"/>
    <w:pPr>
      <w:spacing w:after="60" w:before="180" w:line="240" w:lineRule="auto"/>
      <w:jc w:val="center"/>
      <w:outlineLvl w:val="0"/>
    </w:pPr>
    <w:rPr>
      <w:rFonts w:asciiTheme="majorHAnsi" w:cstheme="majorBidi" w:eastAsiaTheme="majorEastAsia" w:hAnsiTheme="majorHAnsi"/>
      <w:b/>
      <w:bCs/>
      <w:caps/>
      <w:color w:val="00558C"/>
      <w:sz w:val="32"/>
      <w:szCs w:val="24"/>
    </w:rPr>
  </w:style>
  <w:style w:customStyle="1" w:styleId="TitleChar" w:type="character">
    <w:name w:val="Title Char"/>
    <w:basedOn w:val="DefaultParagraphFont"/>
    <w:link w:val="Title"/>
    <w:rsid w:val="00FD20C1"/>
    <w:rPr>
      <w:rFonts w:asciiTheme="majorHAnsi" w:cstheme="majorBidi" w:eastAsiaTheme="majorEastAsia" w:hAnsiTheme="majorHAnsi"/>
      <w:b/>
      <w:bCs/>
      <w:caps/>
      <w:color w:val="00558C"/>
      <w:sz w:val="32"/>
      <w:szCs w:val="24"/>
      <w:lang w:val="en-GB"/>
    </w:rPr>
  </w:style>
  <w:style w:styleId="Revision" w:type="paragraph">
    <w:name w:val="Revision"/>
    <w:hidden/>
    <w:uiPriority w:val="99"/>
    <w:semiHidden/>
    <w:rsid w:val="00B250D6"/>
    <w:pPr>
      <w:spacing w:after="0" w:line="240" w:lineRule="auto"/>
    </w:pPr>
    <w:rPr>
      <w:sz w:val="18"/>
      <w:lang w:val="en-GB"/>
    </w:rPr>
  </w:style>
  <w:style w:customStyle="1" w:styleId="Referencetext" w:type="paragraph">
    <w:name w:val="Reference text"/>
    <w:basedOn w:val="Normal"/>
    <w:autoRedefine/>
    <w:rsid w:val="00CB7D0F"/>
    <w:pPr>
      <w:tabs>
        <w:tab w:pos="567" w:val="left"/>
      </w:tabs>
      <w:spacing w:line="240" w:lineRule="auto"/>
      <w:ind w:hanging="567" w:left="1134"/>
    </w:pPr>
    <w:rPr>
      <w:rFonts w:ascii="Calibri" w:cs="Arial" w:eastAsia="Times New Roman" w:hAnsi="Calibri"/>
      <w:szCs w:val="20"/>
      <w:lang w:eastAsia="en-GB"/>
    </w:rPr>
  </w:style>
  <w:style w:customStyle="1" w:styleId="preface6" w:type="paragraph">
    <w:name w:val="preface 6"/>
    <w:basedOn w:val="Heading6"/>
    <w:rsid w:val="00062874"/>
    <w:pPr>
      <w:keepNext w:val="0"/>
      <w:suppressLineNumbers/>
      <w:tabs>
        <w:tab w:pos="1151" w:val="num"/>
      </w:tabs>
      <w:spacing w:before="120" w:line="240" w:lineRule="auto"/>
      <w:ind w:hanging="431" w:left="1151"/>
      <w:jc w:val="both"/>
    </w:pPr>
    <w:rPr>
      <w:rFonts w:ascii="Times New Roman" w:cs="Times New Roman" w:eastAsia="Times New Roman" w:hAnsi="Times New Roman"/>
      <w:iCs w:val="0"/>
      <w:color w:val="auto"/>
      <w:sz w:val="24"/>
      <w:szCs w:val="20"/>
      <w:lang w:eastAsia="en-AU"/>
    </w:rPr>
  </w:style>
  <w:style w:customStyle="1" w:styleId="MRN" w:type="paragraph">
    <w:name w:val="MRN"/>
    <w:basedOn w:val="Normal"/>
    <w:link w:val="MRNChar"/>
    <w:rsid w:val="00E86147"/>
    <w:rPr>
      <w:b/>
      <w:color w:val="00558C"/>
      <w:sz w:val="28"/>
    </w:rPr>
  </w:style>
  <w:style w:customStyle="1" w:styleId="MRNChar" w:type="character">
    <w:name w:val="MRN Char"/>
    <w:basedOn w:val="DefaultParagraphFont"/>
    <w:link w:val="MRN"/>
    <w:rsid w:val="00E86147"/>
    <w:rPr>
      <w:b/>
      <w:color w:val="00558C"/>
      <w:sz w:val="28"/>
      <w:lang w:val="en-GB"/>
    </w:rPr>
  </w:style>
  <w:style w:customStyle="1" w:styleId="Revokes" w:type="paragraph">
    <w:name w:val="Revokes"/>
    <w:basedOn w:val="Documentdate"/>
    <w:link w:val="RevokesChar"/>
    <w:rsid w:val="003F70D2"/>
    <w:rPr>
      <w:i/>
    </w:rPr>
  </w:style>
  <w:style w:customStyle="1" w:styleId="RevokesChar" w:type="character">
    <w:name w:val="Revokes Char"/>
    <w:basedOn w:val="DefaultParagraphFont"/>
    <w:link w:val="Revokes"/>
    <w:rsid w:val="003F70D2"/>
    <w:rPr>
      <w:b/>
      <w:i/>
      <w:color w:val="00558C"/>
      <w:sz w:val="28"/>
      <w:lang w:val="en-GB"/>
    </w:rPr>
  </w:style>
  <w:style w:customStyle="1" w:styleId="Reference" w:type="paragraph">
    <w:name w:val="Reference"/>
    <w:basedOn w:val="Normal"/>
    <w:qFormat/>
    <w:rsid w:val="00CF10E3"/>
    <w:pPr>
      <w:numPr>
        <w:numId w:val="8"/>
      </w:numPr>
      <w:spacing w:after="60" w:before="120" w:line="240" w:lineRule="auto"/>
      <w:jc w:val="both"/>
    </w:pPr>
    <w:rPr>
      <w:rFonts w:cs="Times New Roman" w:eastAsia="Times New Roman"/>
      <w:szCs w:val="20"/>
    </w:rPr>
  </w:style>
  <w:style w:customStyle="1" w:styleId="Equation" w:type="paragraph">
    <w:name w:val="Equation"/>
    <w:basedOn w:val="BodyText"/>
    <w:next w:val="BodyText"/>
    <w:link w:val="EquationChar"/>
    <w:qFormat/>
    <w:rsid w:val="00835EA0"/>
    <w:pPr>
      <w:numPr>
        <w:numId w:val="9"/>
      </w:numPr>
      <w:spacing w:before="60"/>
      <w:jc w:val="right"/>
    </w:pPr>
  </w:style>
  <w:style w:customStyle="1" w:styleId="EquationChar" w:type="character">
    <w:name w:val="Equation Char"/>
    <w:basedOn w:val="BodyTextChar"/>
    <w:link w:val="Equation"/>
    <w:rsid w:val="00835EA0"/>
    <w:rPr>
      <w:lang w:val="en-GB"/>
    </w:rPr>
  </w:style>
  <w:style w:customStyle="1" w:styleId="Furtherreading" w:type="paragraph">
    <w:name w:val="Further reading"/>
    <w:basedOn w:val="BodyText"/>
    <w:link w:val="FurtherreadingChar"/>
    <w:qFormat/>
    <w:rsid w:val="0022582A"/>
    <w:pPr>
      <w:numPr>
        <w:numId w:val="10"/>
      </w:numPr>
      <w:spacing w:before="60"/>
    </w:pPr>
  </w:style>
  <w:style w:customStyle="1" w:styleId="FurtherreadingChar" w:type="character">
    <w:name w:val="Further reading Char"/>
    <w:basedOn w:val="BodyTextChar"/>
    <w:link w:val="Furtherreading"/>
    <w:rsid w:val="0022582A"/>
    <w:rPr>
      <w:lang w:val="en-GB"/>
    </w:rPr>
  </w:style>
  <w:style w:customStyle="1" w:styleId="Documentrevisiontabletitle" w:type="paragraph">
    <w:name w:val="Document revision table title"/>
    <w:basedOn w:val="Normal"/>
    <w:rsid w:val="005D3920"/>
    <w:pPr>
      <w:spacing w:after="60" w:before="60"/>
      <w:ind w:left="113" w:right="113"/>
    </w:pPr>
    <w:rPr>
      <w:b/>
      <w:color w:val="00558C"/>
      <w:sz w:val="20"/>
    </w:rPr>
  </w:style>
  <w:style w:customStyle="1" w:styleId="AnnexFigureCaption" w:type="paragraph">
    <w:name w:val="Annex Figure Caption"/>
    <w:basedOn w:val="BodyText"/>
    <w:link w:val="AnnexFigureCaptionChar"/>
    <w:qFormat/>
    <w:rsid w:val="002176C4"/>
    <w:pPr>
      <w:numPr>
        <w:numId w:val="17"/>
      </w:numPr>
      <w:jc w:val="center"/>
    </w:pPr>
    <w:rPr>
      <w:i/>
      <w:color w:val="00558C"/>
      <w:lang w:eastAsia="en-GB"/>
    </w:rPr>
  </w:style>
  <w:style w:customStyle="1" w:styleId="AnnexFigureCaptionChar" w:type="character">
    <w:name w:val="Annex Figure Caption Char"/>
    <w:basedOn w:val="BodyTextChar"/>
    <w:link w:val="AnnexFigureCaption"/>
    <w:rsid w:val="002176C4"/>
    <w:rPr>
      <w:i/>
      <w:color w:val="00558C"/>
      <w:lang w:eastAsia="en-GB" w:val="en-GB"/>
    </w:rPr>
  </w:style>
  <w:style w:styleId="Index1" w:type="paragraph">
    <w:name w:val="index 1"/>
    <w:basedOn w:val="Normal"/>
    <w:next w:val="Normal"/>
    <w:autoRedefine/>
    <w:semiHidden/>
    <w:unhideWhenUsed/>
    <w:rsid w:val="00326BB4"/>
    <w:pPr>
      <w:spacing w:line="240" w:lineRule="auto"/>
      <w:ind w:hanging="180" w:left="180"/>
    </w:pPr>
  </w:style>
  <w:style w:customStyle="1" w:styleId="AppendixHead1" w:type="paragraph">
    <w:name w:val="Appendix Head 1"/>
    <w:basedOn w:val="Normal"/>
    <w:next w:val="Heading1separationline"/>
    <w:qFormat/>
    <w:rsid w:val="008603E0"/>
    <w:pPr>
      <w:numPr>
        <w:ilvl w:val="1"/>
        <w:numId w:val="7"/>
      </w:numPr>
      <w:spacing w:before="120" w:line="240" w:lineRule="auto"/>
    </w:pPr>
    <w:rPr>
      <w:rFonts w:cs="Arial" w:eastAsia="Calibri"/>
      <w:b/>
      <w:caps/>
      <w:color w:val="00558C"/>
      <w:sz w:val="28"/>
      <w:lang w:eastAsia="en-GB"/>
    </w:rPr>
  </w:style>
  <w:style w:customStyle="1" w:styleId="EmphasisParagraph" w:type="paragraph">
    <w:name w:val="Emphasis Paragraph"/>
    <w:basedOn w:val="BodyText"/>
    <w:next w:val="BodyText"/>
    <w:link w:val="EmphasisParagraphChar"/>
    <w:rsid w:val="00202CB2"/>
    <w:pPr>
      <w:ind w:left="425" w:right="709"/>
    </w:pPr>
    <w:rPr>
      <w:i/>
    </w:rPr>
  </w:style>
  <w:style w:customStyle="1" w:styleId="EmphasisParagraphChar" w:type="character">
    <w:name w:val="Emphasis Paragraph Char"/>
    <w:basedOn w:val="BodyTextChar"/>
    <w:link w:val="EmphasisParagraph"/>
    <w:rsid w:val="00202CB2"/>
    <w:rPr>
      <w:i/>
      <w:lang w:val="en-GB"/>
    </w:rPr>
  </w:style>
  <w:style w:customStyle="1" w:styleId="Quotationparagraph" w:type="paragraph">
    <w:name w:val="Quotation paragraph"/>
    <w:basedOn w:val="BodyText"/>
    <w:link w:val="QuotationparagraphChar"/>
    <w:qFormat/>
    <w:rsid w:val="00A800A9"/>
    <w:pPr>
      <w:suppressAutoHyphens/>
      <w:ind w:left="567" w:right="707"/>
    </w:pPr>
  </w:style>
  <w:style w:customStyle="1" w:styleId="QuotationparagraphChar" w:type="character">
    <w:name w:val="Quotation paragraph Char"/>
    <w:basedOn w:val="BodyTextChar"/>
    <w:link w:val="Quotationparagraph"/>
    <w:rsid w:val="00A800A9"/>
    <w:rPr>
      <w:lang w:val="en-GB"/>
    </w:rPr>
  </w:style>
  <w:style w:customStyle="1" w:styleId="SourceCode" w:type="paragraph">
    <w:name w:val="Source Code"/>
    <w:basedOn w:val="Normal"/>
    <w:rsid w:val="00F219A9"/>
    <w:pPr>
      <w:wordWrap w:val="0"/>
    </w:pPr>
    <w:rPr>
      <w:rFonts w:ascii="Consolas" w:hAnsi="Consolas"/>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FirstParagraph" w:type="paragraph">
    <w:name w:val="First Paragraph"/>
    <w:basedOn w:val="BodyText"/>
    <w:next w:val="BodyText"/>
    <w:link w:val="FirstParagraphChar"/>
    <w:qFormat/>
    <w:rsid w:val="00E45876"/>
  </w:style>
  <w:style w:customStyle="1" w:styleId="FirstParagraphChar" w:type="character">
    <w:name w:val="First Paragraph Char"/>
    <w:basedOn w:val="BodyTextChar"/>
    <w:link w:val="FirstParagraph"/>
    <w:rsid w:val="00E45876"/>
    <w:rPr>
      <w:lang w:val="en-GB"/>
    </w:rPr>
  </w:style>
  <w:style w:customStyle="1" w:styleId="Compact" w:type="paragraph">
    <w:name w:val="Compact"/>
    <w:basedOn w:val="BodyText"/>
    <w:link w:val="CompactChar"/>
    <w:qFormat/>
    <w:rsid w:val="006D1175"/>
    <w:pPr>
      <w:spacing w:after="36" w:before="36" w:line="240" w:lineRule="auto"/>
      <w:jc w:val="left"/>
    </w:pPr>
    <w:rPr>
      <w:sz w:val="20"/>
      <w:szCs w:val="24"/>
      <w:lang w:val="en-US"/>
    </w:rPr>
  </w:style>
  <w:style w:styleId="Subtitle" w:type="paragraph">
    <w:name w:val="Subtitle"/>
    <w:basedOn w:val="Title"/>
    <w:next w:val="BodyText"/>
    <w:link w:val="SubtitleChar"/>
    <w:qFormat/>
    <w:rsid w:val="001B2745"/>
    <w:pPr>
      <w:keepNext/>
      <w:keepLines/>
      <w:spacing w:after="240" w:before="240"/>
      <w:outlineLvl w:val="9"/>
    </w:pPr>
    <w:rPr>
      <w:caps w:val="0"/>
      <w:color w:themeColor="accent1" w:themeShade="B5" w:val="003B63"/>
      <w:sz w:val="30"/>
      <w:szCs w:val="30"/>
      <w:lang w:val="en-US"/>
    </w:rPr>
  </w:style>
  <w:style w:customStyle="1" w:styleId="SubtitleChar" w:type="character">
    <w:name w:val="Subtitle Char"/>
    <w:basedOn w:val="DefaultParagraphFont"/>
    <w:link w:val="Subtitle"/>
    <w:rsid w:val="001B2745"/>
    <w:rPr>
      <w:rFonts w:asciiTheme="majorHAnsi" w:cstheme="majorBidi" w:eastAsiaTheme="majorEastAsia" w:hAnsiTheme="majorHAnsi"/>
      <w:b/>
      <w:bCs/>
      <w:color w:themeColor="accent1" w:themeShade="B5" w:val="003B63"/>
      <w:sz w:val="30"/>
      <w:szCs w:val="30"/>
      <w:lang w:val="en-US"/>
    </w:rPr>
  </w:style>
  <w:style w:customStyle="1" w:styleId="Author" w:type="paragraph">
    <w:name w:val="Author"/>
    <w:next w:val="BodyText"/>
    <w:qFormat/>
    <w:rsid w:val="001B2745"/>
    <w:pPr>
      <w:keepNext/>
      <w:keepLines/>
      <w:spacing w:line="240" w:lineRule="auto"/>
      <w:jc w:val="center"/>
    </w:pPr>
    <w:rPr>
      <w:sz w:val="24"/>
      <w:szCs w:val="24"/>
      <w:lang w:val="en-US"/>
    </w:rPr>
  </w:style>
  <w:style w:styleId="Date" w:type="paragraph">
    <w:name w:val="Date"/>
    <w:next w:val="BodyText"/>
    <w:link w:val="DateChar"/>
    <w:qFormat/>
    <w:rsid w:val="001B2745"/>
    <w:pPr>
      <w:keepNext/>
      <w:keepLines/>
      <w:spacing w:line="240" w:lineRule="auto"/>
      <w:jc w:val="center"/>
    </w:pPr>
    <w:rPr>
      <w:sz w:val="24"/>
      <w:szCs w:val="24"/>
      <w:lang w:val="en-US"/>
    </w:rPr>
  </w:style>
  <w:style w:customStyle="1" w:styleId="DateChar" w:type="character">
    <w:name w:val="Date Char"/>
    <w:basedOn w:val="DefaultParagraphFont"/>
    <w:link w:val="Date"/>
    <w:rsid w:val="001B2745"/>
    <w:rPr>
      <w:sz w:val="24"/>
      <w:szCs w:val="24"/>
      <w:lang w:val="en-US"/>
    </w:rPr>
  </w:style>
  <w:style w:customStyle="1" w:styleId="Abstract" w:type="paragraph">
    <w:name w:val="Abstract"/>
    <w:basedOn w:val="Normal"/>
    <w:next w:val="BodyText"/>
    <w:qFormat/>
    <w:rsid w:val="001B2745"/>
    <w:pPr>
      <w:keepNext/>
      <w:keepLines/>
      <w:spacing w:after="300" w:before="100" w:line="240" w:lineRule="auto"/>
    </w:pPr>
    <w:rPr>
      <w:sz w:val="20"/>
      <w:szCs w:val="20"/>
      <w:lang w:val="en-US"/>
    </w:rPr>
  </w:style>
  <w:style w:styleId="BlockText" w:type="paragraph">
    <w:name w:val="Block Text"/>
    <w:basedOn w:val="BodyText"/>
    <w:next w:val="BodyText"/>
    <w:uiPriority w:val="9"/>
    <w:unhideWhenUsed/>
    <w:qFormat/>
    <w:rsid w:val="00897C4A"/>
    <w:pPr>
      <w:spacing w:after="100" w:before="100" w:line="240" w:lineRule="auto"/>
      <w:ind w:left="482" w:right="482"/>
      <w:jc w:val="left"/>
    </w:pPr>
    <w:rPr>
      <w:szCs w:val="24"/>
      <w:lang w:val="en-US"/>
    </w:rPr>
  </w:style>
  <w:style w:customStyle="1" w:styleId="Table" w:type="table">
    <w:name w:val="Table"/>
    <w:unhideWhenUsed/>
    <w:qFormat/>
    <w:rsid w:val="00F830EC"/>
    <w:pPr>
      <w:spacing w:after="120" w:line="240" w:lineRule="auto"/>
    </w:pPr>
    <w:rPr>
      <w:sz w:val="24"/>
      <w:szCs w:val="24"/>
      <w:lang w:eastAsia="en-GB" w:val="en-US"/>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blStylePr w:type="firstRow">
      <w:rPr>
        <w:b/>
        <w:color w:themeColor="accent1" w:val="00558C"/>
      </w:rPr>
    </w:tblStylePr>
    <w:tblStylePr w:type="lastRow">
      <w:pPr>
        <w:wordWrap/>
        <w:spacing w:afterLines="0"/>
      </w:pPr>
    </w:tblStylePr>
  </w:style>
  <w:style w:customStyle="1" w:styleId="DefinitionTerm" w:type="paragraph">
    <w:name w:val="Definition Term"/>
    <w:basedOn w:val="Normal"/>
    <w:next w:val="Definition"/>
    <w:rsid w:val="005E55DC"/>
    <w:pPr>
      <w:keepNext/>
      <w:keepLines/>
      <w:spacing w:after="0" w:line="240" w:lineRule="auto"/>
    </w:pPr>
    <w:rPr>
      <w:b/>
      <w:szCs w:val="24"/>
      <w:lang w:val="en-US"/>
    </w:rPr>
  </w:style>
  <w:style w:customStyle="1" w:styleId="Definition" w:type="paragraph">
    <w:name w:val="Definition"/>
    <w:basedOn w:val="Normal"/>
    <w:rsid w:val="005E55DC"/>
    <w:pPr>
      <w:spacing w:after="200" w:line="240" w:lineRule="auto"/>
    </w:pPr>
    <w:rPr>
      <w:szCs w:val="24"/>
      <w:lang w:val="en-US"/>
    </w:rPr>
  </w:style>
  <w:style w:customStyle="1" w:styleId="VerbatimChar" w:type="character">
    <w:name w:val="Verbatim Char"/>
    <w:basedOn w:val="DefaultParagraphFont"/>
    <w:qFormat/>
    <w:rsid w:val="00562B0A"/>
    <w:rPr>
      <w:rFonts w:ascii="Consolas" w:hAnsi="Consolas"/>
      <w:sz w:val="20"/>
    </w:rPr>
  </w:style>
  <w:style w:customStyle="1" w:styleId="Figurecaption" w:type="paragraph">
    <w:name w:val="Figure caption"/>
    <w:basedOn w:val="Caption"/>
    <w:next w:val="BodyText"/>
    <w:qFormat/>
    <w:rsid w:val="00833936"/>
    <w:pPr>
      <w:spacing w:after="240" w:before="240"/>
      <w:ind w:hanging="992" w:left="992"/>
      <w:jc w:val="center"/>
    </w:pPr>
    <w:rPr>
      <w:b w:val="0"/>
      <w:u w:val="none"/>
    </w:rPr>
  </w:style>
  <w:style w:customStyle="1" w:styleId="CaptionedFigure" w:type="paragraph">
    <w:name w:val="Captioned Figure"/>
    <w:basedOn w:val="Normal"/>
    <w:next w:val="Figurecaption"/>
    <w:qFormat/>
    <w:rsid w:val="005D2839"/>
    <w:pPr>
      <w:keepNext/>
      <w:jc w:val="center"/>
    </w:pPr>
  </w:style>
  <w:style w:customStyle="1" w:styleId="IALABulletList" w:type="numbering">
    <w:name w:val="IALA_Bullet_List"/>
    <w:uiPriority w:val="99"/>
    <w:rsid w:val="00661BCD"/>
    <w:pPr>
      <w:numPr>
        <w:numId w:val="20"/>
      </w:numPr>
    </w:pPr>
  </w:style>
  <w:style w:customStyle="1" w:styleId="IALANumberedList" w:type="numbering">
    <w:name w:val="IALA_Numbered_List"/>
    <w:uiPriority w:val="99"/>
    <w:rsid w:val="007A559B"/>
    <w:pPr>
      <w:numPr>
        <w:numId w:val="21"/>
      </w:numPr>
    </w:pPr>
  </w:style>
  <w:style w:customStyle="1" w:styleId="CompactStrong" w:type="paragraph">
    <w:name w:val="Compact Strong"/>
    <w:basedOn w:val="Compact"/>
    <w:next w:val="Compact"/>
    <w:link w:val="CompactStrongChar"/>
    <w:qFormat/>
    <w:rsid w:val="008C478E"/>
    <w:rPr>
      <w:b/>
    </w:rPr>
  </w:style>
  <w:style w:customStyle="1" w:styleId="CompactChar" w:type="character">
    <w:name w:val="Compact Char"/>
    <w:basedOn w:val="BodyTextChar"/>
    <w:link w:val="Compact"/>
    <w:rsid w:val="008C478E"/>
    <w:rPr>
      <w:sz w:val="20"/>
      <w:szCs w:val="24"/>
      <w:lang w:val="en-US"/>
    </w:rPr>
  </w:style>
  <w:style w:customStyle="1" w:styleId="CompactStrongChar" w:type="character">
    <w:name w:val="Compact Strong Char"/>
    <w:basedOn w:val="CompactChar"/>
    <w:link w:val="CompactStrong"/>
    <w:rsid w:val="008C478E"/>
    <w:rPr>
      <w:b/>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66" Target="numbering.xml" /><Relationship Type="http://schemas.openxmlformats.org/officeDocument/2006/relationships/styles" Id="rId65" Target="styles.xml" /><Relationship Type="http://schemas.openxmlformats.org/officeDocument/2006/relationships/settings" Id="rId64" Target="settings.xml" /><Relationship Type="http://schemas.openxmlformats.org/officeDocument/2006/relationships/webSettings" Id="rId63" Target="webSettings.xml" /><Relationship Type="http://schemas.openxmlformats.org/officeDocument/2006/relationships/fontTable" Id="rId62" Target="fontTable.xml" /><Relationship Type="http://schemas.openxmlformats.org/officeDocument/2006/relationships/theme" Id="rId61" Target="theme/theme1.xml" /><Relationship Type="http://schemas.openxmlformats.org/officeDocument/2006/relationships/footnotes" Id="rId60" Target="footnotes.xml" /><Relationship Type="http://schemas.openxmlformats.org/officeDocument/2006/relationships/comments" Id="rId59" Target="comments.xml" /><Relationship Id="rId34" Target="media/image1.png" Type="http://schemas.openxmlformats.org/officeDocument/2006/relationships/image" /><Relationship Id="rId55" Target="header2.xml" Type="http://schemas.openxmlformats.org/officeDocument/2006/relationships/header" /><Relationship Id="rId58" Target="footer2.xml" Type="http://schemas.openxmlformats.org/officeDocument/2006/relationships/footer" /><Relationship Id="rId56" Target="footer1.xml" Type="http://schemas.openxmlformats.org/officeDocument/2006/relationships/footer" /><Relationship Id="rId54" Target="header1.xml" Type="http://schemas.openxmlformats.org/officeDocument/2006/relationships/header" /><Relationship Id="rId57" Target="header3.xml" Type="http://schemas.openxmlformats.org/officeDocument/2006/relationships/header" /><Relationship Type="http://schemas.openxmlformats.org/officeDocument/2006/relationships/image" Id="rId85" Target="media/rId85.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hyperlink" Id="rId167" Target="https://iho.int/uploads/user/pubs/standards/s-100/S-100_5.2.0_Final_Clean.pdf" TargetMode="External" /><Relationship Type="http://schemas.openxmlformats.org/officeDocument/2006/relationships/hyperlink" Id="rId160" Target="https://webstore.iec.ch/en/publication/64543" TargetMode="External" /></Relationships>
</file>

<file path=word/_rels/footnotes.xml.rels><?xml version="1.0" encoding="UTF-8"?><Relationships xmlns="http://schemas.openxmlformats.org/package/2006/relationships"><Relationship Type="http://schemas.openxmlformats.org/officeDocument/2006/relationships/hyperlink" Id="rId167" Target="https://iho.int/uploads/user/pubs/standards/s-100/S-100_5.2.0_Final_Clean.pdf" TargetMode="External" /><Relationship Type="http://schemas.openxmlformats.org/officeDocument/2006/relationships/hyperlink" Id="rId160" Target="https://webstore.iec.ch/en/publication/64543"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_Documents\Download\Gxxxx%20Template%20for%20IALA%20Guidelines%20Ed%202.1%20August%202021.dotm" TargetMode="External"/></Relationships>
</file>

<file path=word/theme/theme1.xml><?xml version="1.0" encoding="utf-8"?>
<a:theme xmlns:a="http://schemas.openxmlformats.org/drawingml/2006/main" name="Thème Office">
  <a:themeElements>
    <a:clrScheme name="IALA PPT">
      <a:dk1>
        <a:sysClr val="windowText" lastClr="000000"/>
      </a:dk1>
      <a:lt1>
        <a:sysClr val="window" lastClr="FFFFFF"/>
      </a:lt1>
      <a:dk2>
        <a:srgbClr val="3AAA35"/>
      </a:dk2>
      <a:lt2>
        <a:srgbClr val="E94E1B"/>
      </a:lt2>
      <a:accent1>
        <a:srgbClr val="00558C"/>
      </a:accent1>
      <a:accent2>
        <a:srgbClr val="009FE3"/>
      </a:accent2>
      <a:accent3>
        <a:srgbClr val="00B0A9"/>
      </a:accent3>
      <a:accent4>
        <a:srgbClr val="00BCD0"/>
      </a:accent4>
      <a:accent5>
        <a:srgbClr val="6787C4"/>
      </a:accent5>
      <a:accent6>
        <a:srgbClr val="99509A"/>
      </a:accent6>
      <a:hlink>
        <a:srgbClr val="000000"/>
      </a:hlink>
      <a:folHlink>
        <a:srgbClr val="9D9D9C"/>
      </a:folHlink>
    </a:clrScheme>
    <a:fontScheme name="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Gxxxx Template for IALA Guidelines Ed 2.1 August 2021</Template>
  <TotalTime>3</TotalTime>
  <Pages>10</Pages>
  <Words>2636</Words>
  <Characters>13994</Characters>
  <Application>Microsoft Office Word</Application>
  <DocSecurity>0</DocSecurity>
  <Lines>397</Lines>
  <Paragraphs>253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IALA Guideline on VDES Authentication Techniques</vt:lpstr>
      <vt:lpstr>IALA Guideline 1115</vt:lpstr>
    </vt:vector>
  </TitlesOfParts>
  <Manager>IALA</Manager>
  <Company>IALA</Company>
  <LinksUpToDate>false</LinksUpToDate>
  <CharactersWithSpaces>16575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IALA Marine Aids to Navigation (AtoN) Service Design</dc:title>
  <dc:creator/>
  <cp:keywords/>
  <dcterms:created xsi:type="dcterms:W3CDTF">2026-01-23T14:16:52Z</dcterms:created>
  <dcterms:modified xsi:type="dcterms:W3CDTF">2026-01-23T14:16:52Z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source/bibliography/bibliography.bib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resources/ieee-with-url.csl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subtitle">
    <vt:lpwstr>Provision of AtoN information to End-Users using IEC 63173-2 (SECOM)</vt:lpwstr>
  </property>
  <property fmtid="{D5CDD505-2E9C-101B-9397-08002B2CF9AE}" pid="67" name="tableEqns">
    <vt:lpwstr>False</vt:lpwstr>
  </property>
  <property fmtid="{D5CDD505-2E9C-101B-9397-08002B2CF9AE}" pid="68" name="tableTemplate">
    <vt:lpwstr>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