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rId99.png" ContentType="image/png"/>
  <Override PartName="/word/media/rId107.png" ContentType="image/png"/>
  <Override PartName="/word/media/rId125.png" ContentType="image/png"/>
  <Override PartName="/word/media/rId154.png" ContentType="image/png"/>
  <Override PartName="/word/media/rId94.png" ContentType="image/png"/>
  <Override PartName="/word/media/rId116.png" ContentType="image/png"/>
  <Override PartName="/word/media/rId143.png" ContentType="image/png"/>
  <Override PartName="/word/media/rId134.png" ContentType="image/png"/>
  <Override PartName="/word/media/rId160.png" ContentType="image/png"/>
  <Override PartName="/word/media/rId164.png" ContentType="image/png"/>
  <Override PartName="/word/media/rId169.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Aids to Navigation (AtoN) Service Specification</w:t>
      </w:r>
    </w:p>
    <w:p>
      <w:pPr>
        <w:pStyle w:val="Subtitle"/>
      </w:pPr>
      <w:r>
        <w:t xml:space="preserve">Service Specification for the Enhanced AtoN Information for AtoN Authorities</w:t>
      </w:r>
    </w:p>
    <w:bookmarkStart w:id="70" w:name="_cebaa1f6ada0c89507e61caf930b3b1c7b5b035"/>
    <w:p>
      <w:pPr>
        <w:pStyle w:val="Heading1"/>
      </w:pPr>
      <w:r>
        <w:t xml:space="preserve">Introduction</w:t>
      </w:r>
    </w:p>
    <w:p>
      <w:pPr>
        <w:pStyle w:val="FirstParagraph"/>
      </w:pPr>
      <w:r>
        <w:t xml:space="preserve">This document describes the technical service for the exchange of Enhanced Aids to Navigation (AtoN) Information for AtoN Authorities, following the IALA guideline G1128</w:t>
      </w:r>
      <w:r>
        <w:t xml:space="preserve"> </w:t>
      </w:r>
      <w:r>
        <w:t xml:space="preserve">[1]</w:t>
      </w:r>
      <w:r>
        <w:t xml:space="preserve">. In the context of e-Navigation, there is a number of maritime services, each referencing a number of associated technical services. The technical services themselves are described in three levels:</w:t>
      </w:r>
    </w:p>
    <w:p>
      <w:pPr>
        <w:pStyle w:val="FirstParagraph"/>
        <w:numPr>
          <w:ilvl w:val="0"/>
          <w:numId w:val="1001"/>
        </w:numPr>
      </w:pPr>
      <w:r>
        <w:t xml:space="preserve">Service specification (this document)</w:t>
      </w:r>
    </w:p>
    <w:p>
      <w:pPr>
        <w:pStyle w:val="FirstParagraph"/>
        <w:numPr>
          <w:ilvl w:val="0"/>
          <w:numId w:val="1001"/>
        </w:numPr>
      </w:pPr>
      <w:r>
        <w:t xml:space="preserve">Service design (one or more)</w:t>
      </w:r>
    </w:p>
    <w:p>
      <w:pPr>
        <w:pStyle w:val="FirstParagraph"/>
        <w:numPr>
          <w:ilvl w:val="0"/>
          <w:numId w:val="1001"/>
        </w:numPr>
      </w:pPr>
      <w:r>
        <w:t xml:space="preserve">Service instance (one or more)</w:t>
      </w:r>
    </w:p>
    <w:p>
      <w:pPr>
        <w:pStyle w:val="FirstParagraph"/>
      </w:pPr>
      <w:r>
        <w:t xml:space="preserve">All the above documents are part of G1128 and are explained in that guideline.</w:t>
      </w:r>
    </w:p>
    <w:p>
      <w:pPr>
        <w:pStyle w:val="BodyText"/>
      </w:pPr>
      <w:r>
        <w:t xml:space="preserve">The exchange of Enhanced AtoN Information for AtoN Authorities makes use of the IALA S-201 data model, which is outlined in the S-201 data product specification. According to IALA, the S-201 - Aids to Navigation (AtoN) Information</w:t>
      </w:r>
      <w:r>
        <w:t xml:space="preserve"> </w:t>
      </w:r>
      <w:r>
        <w:t xml:space="preserve">[2]</w:t>
      </w:r>
      <w:r>
        <w:t xml:space="preserve"> </w:t>
      </w:r>
      <w:r>
        <w:t xml:space="preserve">data product provides a common structure for the exchange of information about AtoNs including metadata like maintenance schedules, equipment type such as battery and bulb types. This includes buoys, beacons, racons, lights, sound signals and AIS. The product specification can be used to exchange AtoN information in a consistent form between Lighthouse Authorities, Hydrographic Offices and other organisations to include commercial and professional agencies.</w:t>
      </w:r>
    </w:p>
    <w:p>
      <w:pPr>
        <w:pStyle w:val="BodyText"/>
      </w:pPr>
      <w:r>
        <w:rPr>
          <w:strike/>
        </w:rPr>
        <w:t xml:space="preserve">This service specification may be used with the Maritime Connectivity Platform (MCP), where the MCP would provide means of authentication of service providers and service consumers as well as means of service discoverability-</w:t>
      </w:r>
      <w:r>
        <w:t xml:space="preserve">.</w:t>
      </w:r>
    </w:p>
    <w:bookmarkStart w:id="67" w:name="_8a70ae600c2f2575d602f31c2dd0fb160e903ee"/>
    <w:p>
      <w:pPr>
        <w:pStyle w:val="Heading2"/>
      </w:pPr>
      <w:r>
        <w:t xml:space="preserve">Purpose of the Document</w:t>
      </w:r>
    </w:p>
    <w:p>
      <w:pPr>
        <w:pStyle w:val="FirstParagraph"/>
      </w:pPr>
      <w:r>
        <w:t xml:space="preserve">The purpose of this service specification document is to provide a holistic overview of the service and its building blocks in a technology-independent way, according to the G1128 guideline. It describes a well-defined baseline of the service by clearly identifying the service version.</w:t>
      </w:r>
    </w:p>
    <w:p>
      <w:pPr>
        <w:pStyle w:val="BodyText"/>
      </w:pPr>
      <w:r>
        <w:t xml:space="preserve">The aim is to document the key aspects of the service at the logical level:</w:t>
      </w:r>
    </w:p>
    <w:p>
      <w:pPr>
        <w:pStyle w:val="FirstParagraph"/>
        <w:numPr>
          <w:ilvl w:val="0"/>
          <w:numId w:val="1002"/>
        </w:numPr>
      </w:pPr>
      <w:r>
        <w:t xml:space="preserve">the operational and business context of the service</w:t>
      </w:r>
    </w:p>
    <w:p>
      <w:pPr>
        <w:pStyle w:val="FirstParagraph"/>
        <w:numPr>
          <w:ilvl w:val="1"/>
          <w:numId w:val="1003"/>
        </w:numPr>
      </w:pPr>
      <w:r>
        <w:t xml:space="preserve">requirements for the service (e.g., information exchange requirements)</w:t>
      </w:r>
    </w:p>
    <w:p>
      <w:pPr>
        <w:pStyle w:val="FirstParagraph"/>
        <w:numPr>
          <w:ilvl w:val="1"/>
          <w:numId w:val="1003"/>
        </w:numPr>
      </w:pPr>
      <w:r>
        <w:t xml:space="preserve">involved nodes: which operational components provide/consume the service</w:t>
      </w:r>
    </w:p>
    <w:p>
      <w:pPr>
        <w:pStyle w:val="FirstParagraph"/>
        <w:numPr>
          <w:ilvl w:val="1"/>
          <w:numId w:val="1003"/>
        </w:numPr>
      </w:pPr>
      <w:r>
        <w:t xml:space="preserve">operational activities supported by the service</w:t>
      </w:r>
    </w:p>
    <w:p>
      <w:pPr>
        <w:pStyle w:val="FirstParagraph"/>
        <w:numPr>
          <w:ilvl w:val="1"/>
          <w:numId w:val="1003"/>
        </w:numPr>
      </w:pPr>
      <w:r>
        <w:t xml:space="preserve">relation of the service to other services</w:t>
      </w:r>
    </w:p>
    <w:p>
      <w:pPr>
        <w:pStyle w:val="FirstParagraph"/>
        <w:numPr>
          <w:ilvl w:val="0"/>
          <w:numId w:val="1002"/>
        </w:numPr>
      </w:pPr>
      <w:r>
        <w:t xml:space="preserve">the service description</w:t>
      </w:r>
    </w:p>
    <w:p>
      <w:pPr>
        <w:pStyle w:val="FirstParagraph"/>
        <w:numPr>
          <w:ilvl w:val="1"/>
          <w:numId w:val="1004"/>
        </w:numPr>
      </w:pPr>
      <w:r>
        <w:t xml:space="preserve">service operations</w:t>
      </w:r>
    </w:p>
    <w:p>
      <w:pPr>
        <w:pStyle w:val="FirstParagraph"/>
        <w:numPr>
          <w:ilvl w:val="1"/>
          <w:numId w:val="1004"/>
        </w:numPr>
      </w:pPr>
      <w:r>
        <w:t xml:space="preserve">service operation parameters</w:t>
      </w:r>
    </w:p>
    <w:p>
      <w:pPr>
        <w:pStyle w:val="FirstParagraph"/>
        <w:numPr>
          <w:ilvl w:val="1"/>
          <w:numId w:val="1004"/>
        </w:numPr>
      </w:pPr>
      <w:r>
        <w:t xml:space="preserve">service payload definition</w:t>
      </w:r>
    </w:p>
    <w:p>
      <w:pPr>
        <w:pStyle w:val="FirstParagraph"/>
        <w:numPr>
          <w:ilvl w:val="1"/>
          <w:numId w:val="1004"/>
        </w:numPr>
      </w:pPr>
      <w:r>
        <w:t xml:space="preserve">service dynamic behaviour description</w:t>
      </w:r>
    </w:p>
    <w:p>
      <w:pPr>
        <w:pStyle w:val="FirstParagraph"/>
        <w:numPr>
          <w:ilvl w:val="0"/>
          <w:numId w:val="1002"/>
        </w:numPr>
      </w:pPr>
      <w:r>
        <w:t xml:space="preserve">service provision and validation aspects</w:t>
      </w:r>
    </w:p>
    <w:bookmarkEnd w:id="67"/>
    <w:bookmarkStart w:id="68" w:name="_75cdb2cf35dc3f49ea107c4f9696c61762a912b"/>
    <w:p>
      <w:pPr>
        <w:pStyle w:val="Heading2"/>
      </w:pPr>
      <w:r>
        <w:t xml:space="preserve">Intended Readership</w:t>
      </w:r>
    </w:p>
    <w:p>
      <w:pPr>
        <w:pStyle w:val="FirstParagraph"/>
      </w:pPr>
      <w:r>
        <w:t xml:space="preserve">This service specification is intended to be read by service architects, system engineers and developers in charge of designing and developing an instance of the service.</w:t>
      </w:r>
    </w:p>
    <w:p>
      <w:pPr>
        <w:pStyle w:val="BodyText"/>
      </w:pPr>
      <w:r>
        <w:t xml:space="preserve">Furthermore, this service specification is intended to be read by enterprise architects, service architects, information architects, system engineers and developers in pursuing architecting, design and development activities of other related services.</w:t>
      </w:r>
    </w:p>
    <w:bookmarkEnd w:id="68"/>
    <w:bookmarkStart w:id="69" w:name="_0e2e336535fb4ee815a78b63291ec94c78a11a5"/>
    <w:p>
      <w:pPr>
        <w:pStyle w:val="Heading2"/>
      </w:pPr>
      <w:r>
        <w:t xml:space="preserve">Definitions</w:t>
      </w:r>
    </w:p>
    <w:p>
      <w:pPr>
        <w:pStyle w:val="FirstParagraph"/>
      </w:pPr>
      <w:r>
        <w:t xml:space="preserve">The following definitions describe terms used in this specification:</w:t>
      </w:r>
    </w:p>
    <w:p>
      <w:pPr>
        <w:pStyle w:val="FirstParagraph"/>
        <w:numPr>
          <w:ilvl w:val="0"/>
          <w:numId w:val="1005"/>
        </w:numPr>
      </w:pPr>
      <w:r>
        <w:rPr>
          <w:b/>
          <w:bCs/>
        </w:rPr>
        <w:t xml:space="preserve">Aid to Navigation (AtoN)</w:t>
      </w:r>
      <w:r>
        <w:t xml:space="preserve"> </w:t>
      </w:r>
      <w:r>
        <w:t xml:space="preserve">- A device, system or service, external to vessels, designed and operated to enhance safe and efficient navigation.</w:t>
      </w:r>
    </w:p>
    <w:p>
      <w:pPr>
        <w:pStyle w:val="FirstParagraph"/>
        <w:numPr>
          <w:ilvl w:val="0"/>
          <w:numId w:val="1005"/>
        </w:numPr>
      </w:pPr>
      <w:r>
        <w:rPr>
          <w:b/>
          <w:bCs/>
        </w:rPr>
        <w:t xml:space="preserve">Navigational Warning (NW)</w:t>
      </w:r>
      <w:r>
        <w:t xml:space="preserve"> </w:t>
      </w:r>
      <w:r>
        <w:t xml:space="preserve">- A broadcast message containing urgent information relevant to safe navigation.</w:t>
      </w:r>
    </w:p>
    <w:p>
      <w:pPr>
        <w:pStyle w:val="FirstParagraph"/>
        <w:numPr>
          <w:ilvl w:val="0"/>
          <w:numId w:val="1005"/>
        </w:numPr>
      </w:pPr>
      <w:r>
        <w:rPr>
          <w:b/>
          <w:bCs/>
        </w:rPr>
        <w:t xml:space="preserve">Maritime Safety Information (MSI)</w:t>
      </w:r>
      <w:r>
        <w:t xml:space="preserve"> </w:t>
      </w:r>
      <w:r>
        <w:t xml:space="preserve">- Navigational and meteorological warnings, meteorological forecasts and other urgent safety-related messages.</w:t>
      </w:r>
    </w:p>
    <w:p>
      <w:pPr>
        <w:pStyle w:val="FirstParagraph"/>
        <w:numPr>
          <w:ilvl w:val="0"/>
          <w:numId w:val="1005"/>
        </w:numPr>
      </w:pPr>
      <w:r>
        <w:rPr>
          <w:b/>
          <w:bCs/>
        </w:rPr>
        <w:t xml:space="preserve">Navaid</w:t>
      </w:r>
      <w:r>
        <w:t xml:space="preserve"> </w:t>
      </w:r>
      <w:r>
        <w:t xml:space="preserve">- An instrument, device or nautical publication carried on board a vessel for the purpose of assisting navigation.</w:t>
      </w:r>
    </w:p>
    <w:p>
      <w:pPr>
        <w:pStyle w:val="FirstParagraph"/>
        <w:numPr>
          <w:ilvl w:val="0"/>
          <w:numId w:val="1005"/>
        </w:numPr>
      </w:pPr>
      <w:r>
        <w:rPr>
          <w:b/>
          <w:bCs/>
        </w:rPr>
        <w:t xml:space="preserve">NAVAREA</w:t>
      </w:r>
      <w:r>
        <w:t xml:space="preserve"> </w:t>
      </w:r>
      <w:r>
        <w:t xml:space="preserve">- A geographical sea area, as shown in the appendix IMO A.706(17) established for the purpose of co-ordinating the transmission of radio navigational warnings. Where appropriate, the term NAVAREA followed by an identifying roman numeral may be used as a short title. The delimitation of such areas is not related to and shall not prejudice the delimitation of any boundaries between States.</w:t>
      </w:r>
    </w:p>
    <w:p>
      <w:pPr>
        <w:pStyle w:val="FirstParagraph"/>
        <w:numPr>
          <w:ilvl w:val="0"/>
          <w:numId w:val="1005"/>
        </w:numPr>
      </w:pPr>
      <w:r>
        <w:rPr>
          <w:b/>
          <w:bCs/>
        </w:rPr>
        <w:t xml:space="preserve">NAVAREA</w:t>
      </w:r>
      <w:r>
        <w:t xml:space="preserve"> </w:t>
      </w:r>
      <w:r>
        <w:t xml:space="preserve">Co-ordinator - The authority charged with co-ordinating, collating and issuing long-range navigational warnings and NAVAREA warnings bulletins to cover the whole of the NAVAREA.</w:t>
      </w:r>
    </w:p>
    <w:p>
      <w:pPr>
        <w:pStyle w:val="FirstParagraph"/>
        <w:numPr>
          <w:ilvl w:val="0"/>
          <w:numId w:val="1005"/>
        </w:numPr>
      </w:pPr>
      <w:r>
        <w:rPr>
          <w:b/>
          <w:bCs/>
        </w:rPr>
        <w:t xml:space="preserve">NAVTEX</w:t>
      </w:r>
      <w:r>
        <w:t xml:space="preserve"> </w:t>
      </w:r>
      <w:r>
        <w:t xml:space="preserve">- Single frequency time-shared broadcast system with automated reception and message rejection/selection facilities. Use of NAVTEX is regulated by the IMO NAVTEX Manual (IMO publication 951).</w:t>
      </w:r>
    </w:p>
    <w:p>
      <w:pPr>
        <w:pStyle w:val="FirstParagraph"/>
        <w:numPr>
          <w:ilvl w:val="0"/>
          <w:numId w:val="1005"/>
        </w:numPr>
      </w:pPr>
      <w:r>
        <w:rPr>
          <w:b/>
          <w:bCs/>
        </w:rPr>
        <w:t xml:space="preserve">SafetyNET Service</w:t>
      </w:r>
      <w:r>
        <w:t xml:space="preserve"> </w:t>
      </w:r>
      <w:r>
        <w:t xml:space="preserve">– Dedicated international satellite broadcast system with automated reception and message rejection/selection facilities.</w:t>
      </w:r>
    </w:p>
    <w:p>
      <w:pPr>
        <w:pStyle w:val="FirstParagraph"/>
        <w:numPr>
          <w:ilvl w:val="0"/>
          <w:numId w:val="1005"/>
        </w:numPr>
      </w:pPr>
      <w:r>
        <w:rPr>
          <w:b/>
          <w:bCs/>
        </w:rPr>
        <w:t xml:space="preserve">SafetyCast Service</w:t>
      </w:r>
      <w:r>
        <w:t xml:space="preserve"> </w:t>
      </w:r>
      <w:r>
        <w:t xml:space="preserve">– Dedicated international mobile satellite service in the Global Maritime Distress and Safety System (GMDSS) for broadcasting navigational warnings, meteorological warnings and forecasts, and Search and Rescue (SAR) related information.</w:t>
      </w:r>
    </w:p>
    <w:p>
      <w:r>
        <w:br w:type="page"/>
      </w:r>
    </w:p>
    <w:bookmarkEnd w:id="69"/>
    <w:bookmarkEnd w:id="70"/>
    <w:bookmarkStart w:id="72" w:name="_e710851414c003d59c3ee083ed484fd2b8ae855"/>
    <w:p>
      <w:pPr>
        <w:pStyle w:val="Heading1"/>
      </w:pPr>
      <w:r>
        <w:t xml:space="preserve">Service Identification</w:t>
      </w:r>
    </w:p>
    <w:p>
      <w:pPr>
        <w:pStyle w:val="FirstParagraph"/>
      </w:pPr>
      <w:r>
        <w:t xml:space="preserve">The purpose of this chapter is to provide a unique identification of the service and describe where the service is in terms of the engineering lifecycle.</w:t>
      </w:r>
    </w:p>
    <w:bookmarkStart w:id="71" w:name="_e81f6cc3951465dd1d3b5108fd94cdf22f3b8b6"/>
    <w:p>
      <w:pPr>
        <w:pStyle w:val="TableCaption"/>
      </w:pPr>
      <w:r>
        <w:t xml:space="preserve">Service Identification Information.</w:t>
      </w:r>
    </w:p>
    <w:tbl>
      <w:tblPr>
        <w:tblStyle w:val="Table"/>
        <w:tblW w:type="pct" w:w="5000"/>
        <w:tblLayout w:type="fixed"/>
        <w:tblLook w:firstRow="1" w:lastRow="0" w:firstColumn="0" w:lastColumn="0" w:noHBand="0" w:noVBand="0" w:val="0020"/>
        <w:tblCaption w:val="Service Identification Information."/>
      </w:tblPr>
      <w:tblGrid>
        <w:gridCol w:w="1408"/>
        <w:gridCol w:w="6512"/>
      </w:tblGrid>
      <w:tr>
        <w:trPr>
          <w:tblHeader w:val="on"/>
        </w:trPr>
        <w:tc>
          <w:tcPr/>
          <w:p>
            <w:pPr>
              <w:pStyle w:val="Compact"/>
            </w:pPr>
            <w:r>
              <w:t xml:space="preserve">Information Field</w:t>
            </w:r>
          </w:p>
        </w:tc>
        <w:tc>
          <w:tcPr/>
          <w:p>
            <w:pPr>
              <w:pStyle w:val="Compact"/>
            </w:pPr>
            <w:r>
              <w:t xml:space="preserve">Information Value</w:t>
            </w:r>
          </w:p>
        </w:tc>
      </w:tr>
      <w:tr>
        <w:tc>
          <w:tcPr/>
          <w:p>
            <w:pPr>
              <w:pStyle w:val="Compact"/>
            </w:pPr>
            <w:r>
              <w:t xml:space="preserve">Name</w:t>
            </w:r>
          </w:p>
        </w:tc>
        <w:tc>
          <w:tcPr/>
          <w:p>
            <w:pPr>
              <w:pStyle w:val="Compact"/>
            </w:pPr>
            <w:r>
              <w:t xml:space="preserve">Service for Enhanced AtoN Information for AtoN Authorities</w:t>
            </w:r>
          </w:p>
        </w:tc>
      </w:tr>
      <w:tr>
        <w:tc>
          <w:tcPr/>
          <w:p>
            <w:pPr>
              <w:pStyle w:val="Compact"/>
            </w:pPr>
            <w:r>
              <w:t xml:space="preserve">ID</w:t>
            </w:r>
          </w:p>
        </w:tc>
        <w:tc>
          <w:tcPr/>
          <w:p>
            <w:pPr>
              <w:pStyle w:val="Compact"/>
            </w:pPr>
            <w:r>
              <w:t xml:space="preserve">urn:mrn:iala:techsvc:ss:enhancedatoninfo:0.1</w:t>
            </w:r>
          </w:p>
        </w:tc>
      </w:tr>
      <w:tr>
        <w:tc>
          <w:tcPr/>
          <w:p>
            <w:pPr>
              <w:pStyle w:val="Compact"/>
            </w:pPr>
            <w:r>
              <w:t xml:space="preserve">Version</w:t>
            </w:r>
          </w:p>
        </w:tc>
        <w:tc>
          <w:tcPr/>
          <w:p>
            <w:pPr>
              <w:pStyle w:val="Compact"/>
            </w:pPr>
            <w:r>
              <w:t xml:space="preserve">0.1</w:t>
            </w:r>
          </w:p>
        </w:tc>
      </w:tr>
      <w:tr>
        <w:tc>
          <w:tcPr/>
          <w:p>
            <w:pPr>
              <w:pStyle w:val="Compact"/>
            </w:pPr>
            <w:r>
              <w:t xml:space="preserve">Description</w:t>
            </w:r>
          </w:p>
        </w:tc>
        <w:tc>
          <w:tcPr/>
          <w:p>
            <w:pPr>
              <w:pStyle w:val="Compact"/>
            </w:pPr>
            <w:r>
              <w:t xml:space="preserve">This is a standardized service for the exchange of Enhanced Aids to Navigation (AtoN) information for AtoN Authorities. The provided AtoN information follows IALA S-201 data model and is intended to provide a common structure for the exchange of information about AtoNs including metadata.</w:t>
            </w:r>
          </w:p>
        </w:tc>
      </w:tr>
      <w:tr>
        <w:tc>
          <w:tcPr/>
          <w:p>
            <w:pPr>
              <w:pStyle w:val="Compact"/>
            </w:pPr>
            <w:r>
              <w:t xml:space="preserve">Keywords</w:t>
            </w:r>
          </w:p>
        </w:tc>
        <w:tc>
          <w:tcPr/>
          <w:p>
            <w:pPr>
              <w:pStyle w:val="Compact"/>
            </w:pPr>
            <w:r>
              <w:t xml:space="preserve">S-201, Marine Aids-to-Navigation, MS-2</w:t>
            </w:r>
          </w:p>
        </w:tc>
      </w:tr>
      <w:tr>
        <w:tc>
          <w:tcPr/>
          <w:p>
            <w:pPr>
              <w:pStyle w:val="Compact"/>
            </w:pPr>
            <w:r>
              <w:t xml:space="preserve">Architect(s)</w:t>
            </w:r>
          </w:p>
        </w:tc>
        <w:tc>
          <w:tcPr/>
          <w:p>
            <w:pPr>
              <w:pStyle w:val="Compact"/>
            </w:pPr>
            <w:r>
              <w:t xml:space="preserve">IALA ARM WG2</w:t>
            </w:r>
          </w:p>
        </w:tc>
      </w:tr>
      <w:tr>
        <w:tc>
          <w:tcPr/>
          <w:p>
            <w:pPr>
              <w:pStyle w:val="Compact"/>
            </w:pPr>
            <w:r>
              <w:t xml:space="preserve">Status</w:t>
            </w:r>
          </w:p>
        </w:tc>
        <w:tc>
          <w:tcPr/>
          <w:p>
            <w:pPr>
              <w:pStyle w:val="Compact"/>
            </w:pPr>
            <w:r>
              <w:t xml:space="preserve">Provisional</w:t>
            </w:r>
          </w:p>
        </w:tc>
      </w:tr>
    </w:tbl>
    <w:bookmarkEnd w:id="71"/>
    <w:p>
      <w:r>
        <w:br w:type="page"/>
      </w:r>
    </w:p>
    <w:bookmarkEnd w:id="72"/>
    <w:bookmarkStart w:id="93" w:name="_a93e95d5348ae049a30c5bbf20a8724a0d721d3"/>
    <w:p>
      <w:pPr>
        <w:pStyle w:val="Heading1"/>
      </w:pPr>
      <w:r>
        <w:t xml:space="preserve">Operational Context</w:t>
      </w:r>
    </w:p>
    <w:p>
      <w:pPr>
        <w:pStyle w:val="FirstParagraph"/>
      </w:pPr>
      <w:r>
        <w:t xml:space="preserve">This section describes the context of the service from an operational perspective.</w:t>
      </w:r>
    </w:p>
    <w:bookmarkStart w:id="73" w:name="_0c7b3b2791408a493b3bd1470e414ae33563719"/>
    <w:p>
      <w:pPr>
        <w:pStyle w:val="Heading2"/>
      </w:pPr>
      <w:r>
        <w:t xml:space="preserve">Pre S-201 Operational Context</w:t>
      </w:r>
    </w:p>
    <w:p>
      <w:pPr>
        <w:pStyle w:val="FirstParagraph"/>
      </w:pPr>
      <w:r>
        <w:t xml:space="preserve">The current situation of sharing AtoN information is quite fragmented, with multiple point-to-point non-interoperable systems, manual steps and long production periods.</w:t>
      </w:r>
    </w:p>
    <w:p>
      <w:pPr>
        <w:pStyle w:val="BodyText"/>
      </w:pPr>
      <w:r>
        <w:t xml:space="preserve">In many cases AtoN changes are shared via Notices-to-Mariners (NtM), which get published and appended onto the List-of-Lights (LoL) nautical publications. LoL updates can then be synchronised with chat corrections, which get more widely distributed. However, this process could take months to be completed.</w:t>
      </w:r>
    </w:p>
    <w:p>
      <w:pPr>
        <w:pStyle w:val="BodyText"/>
      </w:pPr>
      <w:r>
        <w:t xml:space="preserve">Even in the cases where certain administrations have progressed with their digitalisation efforts, introducing data sharing automation mechanisms, the system are primarily based on non-standardised data data structures. In addition, multiple levels of data access are employed to control the dissemination of information.</w:t>
      </w:r>
    </w:p>
    <w:p>
      <w:pPr>
        <w:pStyle w:val="BodyText"/>
      </w:pPr>
      <w:r>
        <w:t xml:space="preserve">End-Users include:</w:t>
      </w:r>
    </w:p>
    <w:p>
      <w:pPr>
        <w:pStyle w:val="Compact"/>
        <w:numPr>
          <w:ilvl w:val="0"/>
          <w:numId w:val="1006"/>
        </w:numPr>
      </w:pPr>
      <w:r>
        <w:t xml:space="preserve">HOs</w:t>
      </w:r>
    </w:p>
    <w:p>
      <w:pPr>
        <w:pStyle w:val="Compact"/>
        <w:numPr>
          <w:ilvl w:val="0"/>
          <w:numId w:val="1006"/>
        </w:numPr>
      </w:pPr>
      <w:r>
        <w:t xml:space="preserve">Maintenance Companies/Contractors</w:t>
      </w:r>
    </w:p>
    <w:p>
      <w:pPr>
        <w:pStyle w:val="Compact"/>
        <w:numPr>
          <w:ilvl w:val="0"/>
          <w:numId w:val="1006"/>
        </w:numPr>
      </w:pPr>
      <w:r>
        <w:t xml:space="preserve">VTS (AtoN &amp; Bathymetry)</w:t>
      </w:r>
    </w:p>
    <w:p>
      <w:pPr>
        <w:pStyle w:val="Compact"/>
        <w:numPr>
          <w:ilvl w:val="0"/>
          <w:numId w:val="1006"/>
        </w:numPr>
      </w:pPr>
      <w:r>
        <w:t xml:space="preserve">Requests for LoL information (including unlighted AtoN – mostly software charts/ECS) - Current electronic publications not in useful formats</w:t>
      </w:r>
    </w:p>
    <w:p>
      <w:pPr>
        <w:pStyle w:val="Compact"/>
        <w:numPr>
          <w:ilvl w:val="0"/>
          <w:numId w:val="1006"/>
        </w:numPr>
      </w:pPr>
      <w:r>
        <w:t xml:space="preserve">Port Authorities managing areas</w:t>
      </w:r>
    </w:p>
    <w:p>
      <w:pPr>
        <w:pStyle w:val="Compact"/>
        <w:numPr>
          <w:ilvl w:val="0"/>
          <w:numId w:val="1006"/>
        </w:numPr>
      </w:pPr>
      <w:r>
        <w:t xml:space="preserve">MRCC</w:t>
      </w:r>
    </w:p>
    <w:bookmarkEnd w:id="73"/>
    <w:bookmarkStart w:id="80" w:name="_12ed7c7549750c8681e4d41f08c526123b2c030"/>
    <w:p>
      <w:pPr>
        <w:pStyle w:val="Heading2"/>
      </w:pPr>
      <w:r>
        <w:t xml:space="preserve">Envisioned Operational Context</w:t>
      </w:r>
    </w:p>
    <w:p>
      <w:pPr>
        <w:pStyle w:val="FirstParagraph"/>
      </w:pPr>
      <w:r>
        <w:t xml:space="preserve">A standardized structured AtoN information format would enable compatible systems to exchange AtoN information seamlessly. Each AtoN Administration may have a unique AtoN Information Management System. This system however, should be able to automatically promulgate AtoN data from the authoritative source, for use by national and local authorities (e.g. Coastal State Authorities, Harbor and Port Authorities), public, as well as being available for use by maintenance providers and commercial contractors.</w:t>
      </w:r>
    </w:p>
    <w:p>
      <w:pPr>
        <w:pStyle w:val="BodyText"/>
      </w:pPr>
      <w:r>
        <w:t xml:space="preserve">AtoN Administrations will administer and publish local AtoN data, for their area of responsibility. Typically this includes areas within that state’s exclusive economic zone. Where appropriate they should coordinate with adjacent or overlapping AtoN Administrations who share responsibility within the same waterway. (e.g. Both the U.S. Coast Guard and Canadian Coast Guard maintain aids to navigation within the waterways comprising the Great Lakes.) The service instance descriptions will provide detailed information of coverage area available to users.</w:t>
      </w:r>
    </w:p>
    <w:bookmarkStart w:id="77" w:name="_35a3b4033c094762f3e62f8ac88cbcf23c6afc9"/>
    <w:p>
      <w:pPr>
        <w:pStyle w:val="CaptionedFigure"/>
      </w:pPr>
      <w:r>
        <w:drawing>
          <wp:inline>
            <wp:extent cx="6477000" cy="3209165"/>
            <wp:effectExtent b="0" l="0" r="0" t="0"/>
            <wp:docPr descr="Example of the AtoN information flow, as per [3]." title="" id="75" name="Picture"/>
            <a:graphic>
              <a:graphicData uri="http://schemas.openxmlformats.org/drawingml/2006/picture">
                <pic:pic>
                  <pic:nvPicPr>
                    <pic:cNvPr descr="source/guideline/../../resources/AtoNInfoDistribution.png" id="76" name="Picture"/>
                    <pic:cNvPicPr>
                      <a:picLocks noChangeArrowheads="1" noChangeAspect="1"/>
                    </pic:cNvPicPr>
                  </pic:nvPicPr>
                  <pic:blipFill>
                    <a:blip r:embed="rId74"/>
                    <a:stretch>
                      <a:fillRect/>
                    </a:stretch>
                  </pic:blipFill>
                  <pic:spPr bwMode="auto">
                    <a:xfrm>
                      <a:off x="0" y="0"/>
                      <a:ext cx="6477000" cy="3209165"/>
                    </a:xfrm>
                    <a:prstGeom prst="rect">
                      <a:avLst/>
                    </a:prstGeom>
                    <a:noFill/>
                    <a:ln w="9525">
                      <a:noFill/>
                      <a:headEnd/>
                      <a:tailEnd/>
                    </a:ln>
                  </pic:spPr>
                </pic:pic>
              </a:graphicData>
            </a:graphic>
          </wp:inline>
        </w:drawing>
      </w:r>
    </w:p>
    <w:p>
      <w:pPr>
        <w:pStyle w:val="ImageCaption"/>
      </w:pPr>
      <w:r>
        <w:t xml:space="preserve">Example of the AtoN information flow, as per</w:t>
      </w:r>
      <w:r>
        <w:t xml:space="preserve"> </w:t>
      </w:r>
      <w:r>
        <w:t xml:space="preserve">[3]</w:t>
      </w:r>
      <w:r>
        <w:t xml:space="preserve">.</w:t>
      </w:r>
    </w:p>
    <w:bookmarkEnd w:id="77"/>
    <w:p>
      <w:pPr>
        <w:pStyle w:val="FirstParagraph"/>
      </w:pPr>
      <w:r>
        <w:t xml:space="preserve">The service described in this specification defines the exchange of enhanced AtoN information using S-201 between a service provider and the end-user of such a service. In the most common case, according to the IALA interpretation of the IMO</w:t>
      </w:r>
      <w:r>
        <w:t xml:space="preserve"> </w:t>
      </w:r>
      <w:r>
        <w:rPr>
          <w:i/>
          <w:iCs/>
        </w:rPr>
        <w:t xml:space="preserve">MS-2 Aids to Navigation</w:t>
      </w:r>
      <w:r>
        <w:t xml:space="preserve"> </w:t>
      </w:r>
      <w:r>
        <w:t xml:space="preserve">maritime service</w:t>
      </w:r>
      <w:r>
        <w:t xml:space="preserve"> </w:t>
      </w:r>
      <w:r>
        <w:t xml:space="preserve">[3]</w:t>
      </w:r>
      <w:r>
        <w:t xml:space="preserve">, as illustrated in Figure 1, the end user will be a member of staff of another Lighthouse Authority or a Hydrographic Office. It may also be used to harmonise the exchange of AtoN information between the various stakeholders in the data distribution chain before it is propagated towards the mariners.</w:t>
      </w:r>
    </w:p>
    <w:p>
      <w:pPr>
        <w:pStyle w:val="BodyText"/>
      </w:pPr>
      <w:r>
        <w:t xml:space="preserve">Depending on the specific requirements, the service usage patterns may differ. For example, a Hydrographic Office could pull all available data and subscribe to updates from a data producer (e.g. national AtoN authority) and redistribute the data to the RENCs via S-101 and S-125 (after applying validation checks or optimising the data for a specific group of end-users). The orchestration of multiple AtoN information services in the distribution chain, however, is not in the scope of this document and lies within the responsibility of the service provider(s).</w:t>
      </w:r>
    </w:p>
    <w:bookmarkStart w:id="78" w:name="_8e8b22d3dd073b4a06e9e9b5fd749d3bf0aea06"/>
    <w:p>
      <w:pPr>
        <w:pStyle w:val="Heading3"/>
      </w:pPr>
      <w:r>
        <w:t xml:space="preserve">Relationships between S-S201 and S-101, S-124, S-125</w:t>
      </w:r>
    </w:p>
    <w:p>
      <w:pPr>
        <w:pStyle w:val="FirstParagraph"/>
      </w:pPr>
      <w:r>
        <w:t xml:space="preserve">IHO has produced guidance on the interoperability between S-201 and the S-101, S-124, S-125 data product specifications</w:t>
      </w:r>
      <w:r>
        <w:t xml:space="preserve"> </w:t>
      </w:r>
      <w:r>
        <w:t xml:space="preserve">[4]</w:t>
      </w:r>
      <w:r>
        <w:t xml:space="preserve">. This document provides guidance on how S-125 will work on ECDIS devices and mentions the change of scope for editions 1.0.0 and 2.0.0 of the data product. This change limits the scope of S-125 to an overlay displaying only information on any AtoN status changes, which differ from the design state that appears in S-101. For more information please refer the IHO document.</w:t>
      </w:r>
    </w:p>
    <w:bookmarkEnd w:id="78"/>
    <w:bookmarkStart w:id="79" w:name="_431b4c7c0bec48953198f4e093b06a6850ebef0"/>
    <w:p>
      <w:pPr>
        <w:pStyle w:val="Heading3"/>
      </w:pPr>
      <w:r>
        <w:t xml:space="preserve">Discoverability and Dissemination</w:t>
      </w:r>
    </w:p>
    <w:p>
      <w:pPr>
        <w:pStyle w:val="FirstParagraph"/>
      </w:pPr>
      <w:r>
        <w:t xml:space="preserve">The S-201 data should be discoverable only by Hydrographic Offices, Coastal State Authorities and other relevant authorised organisations. S-201 data should enhance S-101 ENC, S-124 NW and S-125 AtoN digital services, especially by reducing the effort in the transformation of data, with the harmonization of data models. This could be accomplished by introducing efficient data exchange mechanism between authorities.</w:t>
      </w:r>
    </w:p>
    <w:bookmarkEnd w:id="79"/>
    <w:bookmarkEnd w:id="80"/>
    <w:bookmarkStart w:id="83" w:name="_1d50306b0c6da372e31ff71aaefc5a40aa3c744"/>
    <w:p>
      <w:pPr>
        <w:pStyle w:val="Heading2"/>
      </w:pPr>
      <w:r>
        <w:t xml:space="preserve">Functional and Non-functional Requirements</w:t>
      </w:r>
    </w:p>
    <w:p>
      <w:pPr>
        <w:pStyle w:val="FirstParagraph"/>
      </w:pPr>
      <w:r>
        <w:t xml:space="preserve">The table below defines the functional requirements, as there are defined in the IALA documentation for the IMO MS-2 Aids to Navigation Maritime Service</w:t>
      </w:r>
      <w:r>
        <w:t xml:space="preserve"> </w:t>
      </w:r>
      <w:r>
        <w:t xml:space="preserve">[3]</w:t>
      </w:r>
      <w:r>
        <w:t xml:space="preserve">. Please note that the feature identifiers referenced in Table 2, are also referring to service features identified in the IALA MS-2 specification document.</w:t>
      </w:r>
    </w:p>
    <w:bookmarkStart w:id="81" w:name="_02b0e388442401573b3ba21c8ac6e31c1b27dfa"/>
    <w:p>
      <w:pPr>
        <w:pStyle w:val="TableCaption"/>
      </w:pPr>
      <w:r>
        <w:t xml:space="preserve">Functional Requirements for the MS-2 – Aids to Navigation Service.</w:t>
      </w:r>
    </w:p>
    <w:tbl>
      <w:tblPr>
        <w:tblStyle w:val="Table"/>
        <w:tblW w:type="pct" w:w="5000"/>
        <w:tblLayout w:type="fixed"/>
        <w:tblLook w:firstRow="1" w:lastRow="0" w:firstColumn="0" w:lastColumn="0" w:noHBand="0" w:noVBand="0" w:val="0020"/>
        <w:tblCaption w:val="Functional Requirements for the MS-2 – Aids to Navigation Service."/>
      </w:tblPr>
      <w:tblGrid>
        <w:gridCol w:w="1584"/>
        <w:gridCol w:w="1584"/>
        <w:gridCol w:w="1584"/>
        <w:gridCol w:w="1584"/>
        <w:gridCol w:w="1584"/>
      </w:tblGrid>
      <w:tr>
        <w:trPr>
          <w:tblHeader w:val="on"/>
        </w:trPr>
        <w:tc>
          <w:tcPr/>
          <w:p>
            <w:pPr>
              <w:pStyle w:val="Compact"/>
            </w:pPr>
            <w:r>
              <w:t xml:space="preserve">Requirement Type</w:t>
            </w:r>
          </w:p>
        </w:tc>
        <w:tc>
          <w:tcPr/>
          <w:p>
            <w:pPr>
              <w:pStyle w:val="Compact"/>
            </w:pPr>
            <w:r>
              <w:t xml:space="preserve">Requirement ID</w:t>
            </w:r>
          </w:p>
        </w:tc>
        <w:tc>
          <w:tcPr/>
          <w:p>
            <w:pPr>
              <w:pStyle w:val="Compact"/>
            </w:pPr>
            <w:r>
              <w:t xml:space="preserve">Requirement Name</w:t>
            </w:r>
          </w:p>
        </w:tc>
        <w:tc>
          <w:tcPr/>
          <w:p>
            <w:pPr>
              <w:pStyle w:val="Compact"/>
            </w:pPr>
            <w:r>
              <w:t xml:space="preserve">Requirement Text</w:t>
            </w:r>
          </w:p>
        </w:tc>
        <w:tc>
          <w:tcPr/>
          <w:p>
            <w:pPr>
              <w:pStyle w:val="Compact"/>
            </w:pPr>
            <w:r>
              <w:t xml:space="preserve">Feature Identifier</w:t>
            </w:r>
          </w:p>
        </w:tc>
      </w:tr>
      <w:tr>
        <w:tc>
          <w:tcPr/>
          <w:p>
            <w:pPr>
              <w:pStyle w:val="Compact"/>
            </w:pPr>
            <w:r>
              <w:rPr>
                <w:b/>
                <w:bCs/>
              </w:rPr>
              <w:t xml:space="preserve">Functional</w:t>
            </w:r>
          </w:p>
        </w:tc>
        <w:tc>
          <w:tcPr/>
          <w:p>
            <w:pPr>
              <w:pStyle w:val="Compact"/>
            </w:pPr>
            <w:r>
              <w:t xml:space="preserve">MS2-FR001</w:t>
            </w:r>
          </w:p>
        </w:tc>
        <w:tc>
          <w:tcPr/>
          <w:p>
            <w:pPr>
              <w:pStyle w:val="Compact"/>
            </w:pPr>
            <w:r>
              <w:t xml:space="preserve">Provision of dataset(s)</w:t>
            </w:r>
          </w:p>
        </w:tc>
        <w:tc>
          <w:tcPr/>
          <w:p>
            <w:pPr>
              <w:pStyle w:val="Compact"/>
            </w:pPr>
            <w:r>
              <w:t xml:space="preserve">The service provides S-100 compliant dataset(s) with all current and valid AtoN Information assigned to that dataset(s).</w:t>
            </w:r>
          </w:p>
        </w:tc>
        <w:tc>
          <w:tcPr/>
          <w:p>
            <w:pPr>
              <w:pStyle w:val="Compact"/>
            </w:pPr>
            <w:r>
              <w:t xml:space="preserve">F001, F005</w:t>
            </w:r>
          </w:p>
        </w:tc>
      </w:tr>
      <w:tr>
        <w:tc>
          <w:tcPr/>
          <w:p>
            <w:pPr>
              <w:pStyle w:val="Compact"/>
            </w:pPr>
            <w:r>
              <w:rPr>
                <w:b/>
                <w:bCs/>
              </w:rPr>
              <w:t xml:space="preserve">Functional</w:t>
            </w:r>
          </w:p>
        </w:tc>
        <w:tc>
          <w:tcPr/>
          <w:p>
            <w:pPr>
              <w:pStyle w:val="Compact"/>
            </w:pPr>
            <w:r>
              <w:t xml:space="preserve">MS2-FR002</w:t>
            </w:r>
          </w:p>
        </w:tc>
        <w:tc>
          <w:tcPr/>
          <w:p>
            <w:pPr>
              <w:pStyle w:val="Compact"/>
            </w:pPr>
            <w:r>
              <w:t xml:space="preserve">On-demand request for dataset(s)</w:t>
            </w:r>
          </w:p>
        </w:tc>
        <w:tc>
          <w:tcPr/>
          <w:p>
            <w:pPr>
              <w:pStyle w:val="Compact"/>
            </w:pPr>
            <w:r>
              <w:t xml:space="preserve">The end users can receive on demand S-100 compliant dataset(s). Service providers will respond with current data relevant to the request but will not subdivide datasets to less than that defined by the authoritative source of the data.</w:t>
            </w:r>
          </w:p>
        </w:tc>
        <w:tc>
          <w:tcPr/>
          <w:p>
            <w:pPr>
              <w:pStyle w:val="Compact"/>
            </w:pPr>
            <w:r>
              <w:t xml:space="preserve">F001, F005</w:t>
            </w:r>
          </w:p>
        </w:tc>
      </w:tr>
      <w:tr>
        <w:tc>
          <w:tcPr/>
          <w:p>
            <w:pPr>
              <w:pStyle w:val="Compact"/>
            </w:pPr>
            <w:r>
              <w:rPr>
                <w:b/>
                <w:bCs/>
              </w:rPr>
              <w:t xml:space="preserve">Functional</w:t>
            </w:r>
          </w:p>
        </w:tc>
        <w:tc>
          <w:tcPr/>
          <w:p>
            <w:pPr>
              <w:pStyle w:val="Compact"/>
            </w:pPr>
            <w:r>
              <w:t xml:space="preserve">MS2-FR003</w:t>
            </w:r>
          </w:p>
        </w:tc>
        <w:tc>
          <w:tcPr/>
          <w:p>
            <w:pPr>
              <w:pStyle w:val="Compact"/>
            </w:pPr>
            <w:r>
              <w:t xml:space="preserve">Filter AtoN Information</w:t>
            </w:r>
          </w:p>
        </w:tc>
        <w:tc>
          <w:tcPr/>
          <w:p>
            <w:pPr>
              <w:pStyle w:val="Compact"/>
            </w:pPr>
            <w:r>
              <w:t xml:space="preserve">The end-users can filter the AtoN information based on a point, line, polygon geometry, AtoN type, AtoN status etc.</w:t>
            </w:r>
          </w:p>
        </w:tc>
        <w:tc>
          <w:tcPr/>
          <w:p>
            <w:pPr>
              <w:pStyle w:val="Compact"/>
            </w:pPr>
            <w:r>
              <w:t xml:space="preserve">F001, F008</w:t>
            </w:r>
          </w:p>
        </w:tc>
      </w:tr>
      <w:tr>
        <w:tc>
          <w:tcPr/>
          <w:p>
            <w:pPr>
              <w:pStyle w:val="Compact"/>
            </w:pPr>
            <w:r>
              <w:rPr>
                <w:b/>
                <w:bCs/>
              </w:rPr>
              <w:t xml:space="preserve">Functional</w:t>
            </w:r>
          </w:p>
        </w:tc>
        <w:tc>
          <w:tcPr/>
          <w:p>
            <w:pPr>
              <w:pStyle w:val="Compact"/>
            </w:pPr>
            <w:r>
              <w:t xml:space="preserve">MS2-FR004</w:t>
            </w:r>
          </w:p>
        </w:tc>
        <w:tc>
          <w:tcPr/>
          <w:p>
            <w:pPr>
              <w:pStyle w:val="Compact"/>
            </w:pPr>
            <w:r>
              <w:t xml:space="preserve">Retrieve AtoN Status Updates</w:t>
            </w:r>
          </w:p>
        </w:tc>
        <w:tc>
          <w:tcPr/>
          <w:p>
            <w:pPr>
              <w:pStyle w:val="Compact"/>
            </w:pPr>
            <w:r>
              <w:t xml:space="preserve">The end-users are able to request and filter out only the AtoN which have associated status changes.</w:t>
            </w:r>
          </w:p>
        </w:tc>
        <w:tc>
          <w:tcPr/>
          <w:p>
            <w:pPr>
              <w:pStyle w:val="Compact"/>
            </w:pPr>
            <w:r>
              <w:t xml:space="preserve">F001, F008</w:t>
            </w:r>
          </w:p>
        </w:tc>
      </w:tr>
      <w:tr>
        <w:tc>
          <w:tcPr/>
          <w:p>
            <w:pPr>
              <w:pStyle w:val="Compact"/>
            </w:pPr>
            <w:r>
              <w:rPr>
                <w:b/>
                <w:bCs/>
              </w:rPr>
              <w:t xml:space="preserve">Functional</w:t>
            </w:r>
          </w:p>
        </w:tc>
        <w:tc>
          <w:tcPr/>
          <w:p>
            <w:pPr>
              <w:pStyle w:val="Compact"/>
            </w:pPr>
            <w:r>
              <w:t xml:space="preserve">MS2-FR005</w:t>
            </w:r>
          </w:p>
        </w:tc>
        <w:tc>
          <w:tcPr/>
          <w:p>
            <w:pPr>
              <w:pStyle w:val="Compact"/>
            </w:pPr>
            <w:r>
              <w:t xml:space="preserve">Subscribe to dataset(s)</w:t>
            </w:r>
          </w:p>
        </w:tc>
        <w:tc>
          <w:tcPr/>
          <w:p>
            <w:pPr>
              <w:pStyle w:val="Compact"/>
            </w:pPr>
            <w:r>
              <w:t xml:space="preserve">The end users can subscribe to receive S-100 compliant dataset(s) and their respective updates. Subscription requests should be able to include the start and stop time of the subscription.</w:t>
            </w:r>
          </w:p>
        </w:tc>
        <w:tc>
          <w:tcPr/>
          <w:p>
            <w:pPr>
              <w:pStyle w:val="Compact"/>
            </w:pPr>
            <w:r>
              <w:t xml:space="preserve">F002, F004, F005</w:t>
            </w:r>
          </w:p>
        </w:tc>
      </w:tr>
      <w:tr>
        <w:tc>
          <w:tcPr/>
          <w:p>
            <w:pPr>
              <w:pStyle w:val="Compact"/>
            </w:pPr>
            <w:r>
              <w:rPr>
                <w:b/>
                <w:bCs/>
              </w:rPr>
              <w:t xml:space="preserve">Functional</w:t>
            </w:r>
          </w:p>
        </w:tc>
        <w:tc>
          <w:tcPr/>
          <w:p>
            <w:pPr>
              <w:pStyle w:val="Compact"/>
            </w:pPr>
            <w:r>
              <w:t xml:space="preserve">MS2-FR006</w:t>
            </w:r>
          </w:p>
        </w:tc>
        <w:tc>
          <w:tcPr/>
          <w:p>
            <w:pPr>
              <w:pStyle w:val="Compact"/>
            </w:pPr>
            <w:r>
              <w:t xml:space="preserve">Status of Subscription</w:t>
            </w:r>
          </w:p>
        </w:tc>
        <w:tc>
          <w:tcPr/>
          <w:p>
            <w:pPr>
              <w:pStyle w:val="Compact"/>
            </w:pPr>
            <w:r>
              <w:t xml:space="preserve">The service provides a subscription status notification. This could indicate termination of subscription from the service provider side.</w:t>
            </w:r>
          </w:p>
        </w:tc>
        <w:tc>
          <w:tcPr/>
          <w:p>
            <w:pPr>
              <w:pStyle w:val="Compact"/>
            </w:pPr>
            <w:r>
              <w:t xml:space="preserve">F002, F003</w:t>
            </w:r>
          </w:p>
        </w:tc>
      </w:tr>
      <w:tr>
        <w:tc>
          <w:tcPr/>
          <w:p>
            <w:pPr>
              <w:pStyle w:val="Compact"/>
            </w:pPr>
            <w:r>
              <w:rPr>
                <w:b/>
                <w:bCs/>
              </w:rPr>
              <w:t xml:space="preserve">Functional</w:t>
            </w:r>
          </w:p>
        </w:tc>
        <w:tc>
          <w:tcPr/>
          <w:p>
            <w:pPr>
              <w:pStyle w:val="Compact"/>
            </w:pPr>
            <w:r>
              <w:t xml:space="preserve">MS2-FR007</w:t>
            </w:r>
          </w:p>
        </w:tc>
        <w:tc>
          <w:tcPr/>
          <w:p>
            <w:pPr>
              <w:pStyle w:val="Compact"/>
            </w:pPr>
            <w:r>
              <w:t xml:space="preserve">Data Update Status</w:t>
            </w:r>
          </w:p>
        </w:tc>
        <w:tc>
          <w:tcPr/>
          <w:p>
            <w:pPr>
              <w:pStyle w:val="Compact"/>
            </w:pPr>
            <w:r>
              <w:t xml:space="preserve">The service must be able to provide the users with the status of their respective subscriptions and whether the current dataset is the latest one, along with other relevant information.</w:t>
            </w:r>
          </w:p>
        </w:tc>
        <w:tc>
          <w:tcPr/>
          <w:p>
            <w:pPr>
              <w:pStyle w:val="Compact"/>
            </w:pPr>
            <w:r>
              <w:t xml:space="preserve">F002, F006</w:t>
            </w:r>
          </w:p>
        </w:tc>
      </w:tr>
      <w:tr>
        <w:tc>
          <w:tcPr/>
          <w:p>
            <w:pPr>
              <w:pStyle w:val="Compact"/>
            </w:pPr>
            <w:r>
              <w:rPr>
                <w:b/>
                <w:bCs/>
              </w:rPr>
              <w:t xml:space="preserve">Functional</w:t>
            </w:r>
          </w:p>
        </w:tc>
        <w:tc>
          <w:tcPr/>
          <w:p>
            <w:pPr>
              <w:pStyle w:val="Compact"/>
            </w:pPr>
            <w:r>
              <w:t xml:space="preserve">MS2-FR008</w:t>
            </w:r>
          </w:p>
        </w:tc>
        <w:tc>
          <w:tcPr/>
          <w:p>
            <w:pPr>
              <w:pStyle w:val="Compact"/>
            </w:pPr>
            <w:r>
              <w:t xml:space="preserve">Cancellation of Subscription</w:t>
            </w:r>
          </w:p>
        </w:tc>
        <w:tc>
          <w:tcPr/>
          <w:p>
            <w:pPr>
              <w:pStyle w:val="Compact"/>
            </w:pPr>
            <w:r>
              <w:t xml:space="preserve">The service provides a facility to cancel the subscription.</w:t>
            </w:r>
          </w:p>
        </w:tc>
        <w:tc>
          <w:tcPr/>
          <w:p>
            <w:pPr>
              <w:pStyle w:val="Compact"/>
            </w:pPr>
            <w:r>
              <w:t xml:space="preserve">F004</w:t>
            </w:r>
          </w:p>
        </w:tc>
      </w:tr>
      <w:tr>
        <w:tc>
          <w:tcPr/>
          <w:p>
            <w:pPr>
              <w:pStyle w:val="Compact"/>
            </w:pPr>
            <w:r>
              <w:rPr>
                <w:b/>
                <w:bCs/>
              </w:rPr>
              <w:t xml:space="preserve">Functional</w:t>
            </w:r>
          </w:p>
        </w:tc>
        <w:tc>
          <w:tcPr/>
          <w:p>
            <w:pPr>
              <w:pStyle w:val="Compact"/>
            </w:pPr>
            <w:r>
              <w:t xml:space="preserve">MS2-FR009</w:t>
            </w:r>
          </w:p>
        </w:tc>
        <w:tc>
          <w:tcPr/>
          <w:p>
            <w:pPr>
              <w:pStyle w:val="Compact"/>
            </w:pPr>
            <w:r>
              <w:t xml:space="preserve">Data Authenticity Certificate</w:t>
            </w:r>
          </w:p>
        </w:tc>
        <w:tc>
          <w:tcPr/>
          <w:p>
            <w:pPr>
              <w:pStyle w:val="Compact"/>
            </w:pPr>
            <w:r>
              <w:t xml:space="preserve">The service can provide on demand the security certificate that was used to secure the data transmission.</w:t>
            </w:r>
          </w:p>
        </w:tc>
        <w:tc>
          <w:tcPr/>
          <w:p>
            <w:pPr>
              <w:pStyle w:val="Compact"/>
            </w:pPr>
            <w:r>
              <w:t xml:space="preserve">F006, F009</w:t>
            </w:r>
          </w:p>
        </w:tc>
      </w:tr>
      <w:tr>
        <w:tc>
          <w:tcPr/>
          <w:p>
            <w:pPr>
              <w:pStyle w:val="Compact"/>
            </w:pPr>
            <w:r>
              <w:rPr>
                <w:b/>
                <w:bCs/>
              </w:rPr>
              <w:t xml:space="preserve">Functional</w:t>
            </w:r>
          </w:p>
        </w:tc>
        <w:tc>
          <w:tcPr/>
          <w:p>
            <w:pPr>
              <w:pStyle w:val="Compact"/>
            </w:pPr>
            <w:r>
              <w:t xml:space="preserve">MS2-FR012</w:t>
            </w:r>
          </w:p>
        </w:tc>
        <w:tc>
          <w:tcPr/>
          <w:p>
            <w:pPr>
              <w:pStyle w:val="Compact"/>
            </w:pPr>
            <w:r>
              <w:t xml:space="preserve">Information Filtering</w:t>
            </w:r>
          </w:p>
        </w:tc>
        <w:tc>
          <w:tcPr/>
          <w:p>
            <w:pPr>
              <w:pStyle w:val="Compact"/>
            </w:pPr>
            <w:r>
              <w:t xml:space="preserve">The end users can filter the relevant AtoN information by name or based on a point, line, polygon geometry, or receive the complete service content.</w:t>
            </w:r>
          </w:p>
        </w:tc>
        <w:tc>
          <w:tcPr/>
          <w:p>
            <w:pPr>
              <w:pStyle w:val="Compact"/>
            </w:pPr>
            <w:r>
              <w:t xml:space="preserve">F008</w:t>
            </w:r>
          </w:p>
        </w:tc>
      </w:tr>
      <w:tr>
        <w:tc>
          <w:tcPr/>
          <w:p>
            <w:pPr>
              <w:pStyle w:val="Compact"/>
            </w:pPr>
            <w:r>
              <w:rPr>
                <w:b/>
                <w:bCs/>
              </w:rPr>
              <w:t xml:space="preserve">Functional</w:t>
            </w:r>
          </w:p>
        </w:tc>
        <w:tc>
          <w:tcPr/>
          <w:p>
            <w:pPr>
              <w:pStyle w:val="Compact"/>
            </w:pPr>
            <w:r>
              <w:t xml:space="preserve">MS2-FR013</w:t>
            </w:r>
          </w:p>
        </w:tc>
        <w:tc>
          <w:tcPr/>
          <w:p>
            <w:pPr>
              <w:pStyle w:val="Compact"/>
            </w:pPr>
            <w:r>
              <w:t xml:space="preserve">Delivery Acknowledgement Request</w:t>
            </w:r>
          </w:p>
        </w:tc>
        <w:tc>
          <w:tcPr/>
          <w:p>
            <w:pPr>
              <w:pStyle w:val="Compact"/>
            </w:pPr>
            <w:r>
              <w:t xml:space="preserve">The service is able to request a data delivery acknowledgement for any end-user. The requested acknowledgement should support multiple levels (receiving, reading etc.)</w:t>
            </w:r>
          </w:p>
        </w:tc>
        <w:tc>
          <w:tcPr/>
          <w:p>
            <w:pPr>
              <w:pStyle w:val="Compact"/>
            </w:pPr>
            <w:r>
              <w:t xml:space="preserve">F011</w:t>
            </w:r>
          </w:p>
        </w:tc>
      </w:tr>
      <w:tr>
        <w:tc>
          <w:tcPr/>
          <w:p>
            <w:pPr>
              <w:pStyle w:val="Compact"/>
            </w:pPr>
            <w:r>
              <w:rPr>
                <w:b/>
                <w:bCs/>
              </w:rPr>
              <w:t xml:space="preserve">Functional</w:t>
            </w:r>
          </w:p>
        </w:tc>
        <w:tc>
          <w:tcPr/>
          <w:p>
            <w:pPr>
              <w:pStyle w:val="Compact"/>
            </w:pPr>
            <w:r>
              <w:t xml:space="preserve">MS2-FR014</w:t>
            </w:r>
          </w:p>
        </w:tc>
        <w:tc>
          <w:tcPr/>
          <w:p>
            <w:pPr>
              <w:pStyle w:val="Compact"/>
            </w:pPr>
            <w:r>
              <w:t xml:space="preserve">Delivery Acknowledgement Confirmation</w:t>
            </w:r>
          </w:p>
        </w:tc>
        <w:tc>
          <w:tcPr/>
          <w:p>
            <w:pPr>
              <w:pStyle w:val="Compact"/>
            </w:pPr>
            <w:r>
              <w:t xml:space="preserve">The service provides a common but secure facility for all end-users to acknowledge the successful updates of AtoN information if requested.</w:t>
            </w:r>
          </w:p>
        </w:tc>
        <w:tc>
          <w:tcPr/>
          <w:p>
            <w:pPr>
              <w:pStyle w:val="Compact"/>
            </w:pPr>
            <w:r>
              <w:t xml:space="preserve">F011</w:t>
            </w:r>
          </w:p>
        </w:tc>
      </w:tr>
      <w:tr>
        <w:tc>
          <w:tcPr/>
          <w:p>
            <w:pPr>
              <w:pStyle w:val="Compact"/>
            </w:pPr>
            <w:r>
              <w:rPr>
                <w:b/>
                <w:bCs/>
              </w:rPr>
              <w:t xml:space="preserve">Functional</w:t>
            </w:r>
          </w:p>
        </w:tc>
        <w:tc>
          <w:tcPr/>
          <w:p>
            <w:pPr>
              <w:pStyle w:val="Compact"/>
            </w:pPr>
            <w:r>
              <w:t xml:space="preserve">MS2-FR015</w:t>
            </w:r>
          </w:p>
        </w:tc>
        <w:tc>
          <w:tcPr/>
          <w:p>
            <w:pPr>
              <w:pStyle w:val="Compact"/>
            </w:pPr>
            <w:r>
              <w:t xml:space="preserve">Subscription Updates</w:t>
            </w:r>
          </w:p>
        </w:tc>
        <w:tc>
          <w:tcPr/>
          <w:p>
            <w:pPr>
              <w:pStyle w:val="Compact"/>
            </w:pPr>
            <w:r>
              <w:t xml:space="preserve">The service is able to identify and contact the subscribed end-users to push updates on the requested dataset(s).</w:t>
            </w:r>
          </w:p>
        </w:tc>
        <w:tc>
          <w:tcPr/>
          <w:p>
            <w:pPr>
              <w:pStyle w:val="Compact"/>
            </w:pPr>
            <w:r>
              <w:t xml:space="preserve">F012</w:t>
            </w:r>
          </w:p>
        </w:tc>
      </w:tr>
      <w:tr>
        <w:tc>
          <w:tcPr/>
          <w:p>
            <w:pPr>
              <w:pStyle w:val="Compact"/>
            </w:pPr>
            <w:r>
              <w:rPr>
                <w:b/>
                <w:bCs/>
              </w:rPr>
              <w:t xml:space="preserve">Functional</w:t>
            </w:r>
          </w:p>
        </w:tc>
        <w:tc>
          <w:tcPr/>
          <w:p>
            <w:pPr>
              <w:pStyle w:val="Compact"/>
            </w:pPr>
            <w:r>
              <w:t xml:space="preserve">MS2-FR016</w:t>
            </w:r>
          </w:p>
        </w:tc>
        <w:tc>
          <w:tcPr/>
          <w:p>
            <w:pPr>
              <w:pStyle w:val="Compact"/>
            </w:pPr>
            <w:r>
              <w:t xml:space="preserve">Input Automation</w:t>
            </w:r>
          </w:p>
        </w:tc>
        <w:tc>
          <w:tcPr/>
          <w:p>
            <w:pPr>
              <w:pStyle w:val="Compact"/>
            </w:pPr>
            <w:r>
              <w:t xml:space="preserve">The service updates the advertised datasets, based on the AtoN status updates received.</w:t>
            </w:r>
          </w:p>
        </w:tc>
        <w:tc>
          <w:tcPr/>
          <w:p>
            <w:pPr>
              <w:pStyle w:val="Compact"/>
            </w:pPr>
            <w:r>
              <w:t xml:space="preserve">F013</w:t>
            </w:r>
          </w:p>
        </w:tc>
      </w:tr>
      <w:tr>
        <w:tc>
          <w:tcPr/>
          <w:p>
            <w:pPr>
              <w:pStyle w:val="Compact"/>
            </w:pPr>
            <w:r>
              <w:rPr>
                <w:b/>
                <w:bCs/>
              </w:rPr>
              <w:t xml:space="preserve">Functional</w:t>
            </w:r>
          </w:p>
        </w:tc>
        <w:tc>
          <w:tcPr/>
          <w:p>
            <w:pPr>
              <w:pStyle w:val="Compact"/>
            </w:pPr>
            <w:r>
              <w:t xml:space="preserve">MS2-FR017</w:t>
            </w:r>
          </w:p>
        </w:tc>
        <w:tc>
          <w:tcPr/>
          <w:p>
            <w:pPr>
              <w:pStyle w:val="Compact"/>
            </w:pPr>
            <w:r>
              <w:t xml:space="preserve">Change Log</w:t>
            </w:r>
          </w:p>
        </w:tc>
        <w:tc>
          <w:tcPr/>
          <w:p>
            <w:pPr>
              <w:pStyle w:val="Compact"/>
            </w:pPr>
            <w:r>
              <w:t xml:space="preserve">The service allows data producers to track the record of changes to the advertised dataset(s) for any time interval required.</w:t>
            </w:r>
          </w:p>
        </w:tc>
        <w:tc>
          <w:tcPr/>
          <w:p>
            <w:pPr>
              <w:pStyle w:val="Compact"/>
            </w:pPr>
            <w:r>
              <w:t xml:space="preserve">F015</w:t>
            </w:r>
          </w:p>
        </w:tc>
      </w:tr>
      <w:tr>
        <w:tc>
          <w:tcPr/>
          <w:p>
            <w:pPr>
              <w:pStyle w:val="Compact"/>
            </w:pPr>
            <w:r>
              <w:rPr>
                <w:b/>
                <w:bCs/>
              </w:rPr>
              <w:t xml:space="preserve">Functional</w:t>
            </w:r>
          </w:p>
        </w:tc>
        <w:tc>
          <w:tcPr/>
          <w:p>
            <w:pPr>
              <w:pStyle w:val="Compact"/>
            </w:pPr>
            <w:r>
              <w:t xml:space="preserve">MS2-FR018</w:t>
            </w:r>
          </w:p>
        </w:tc>
        <w:tc>
          <w:tcPr/>
          <w:p>
            <w:pPr>
              <w:pStyle w:val="Compact"/>
            </w:pPr>
            <w:r>
              <w:t xml:space="preserve">Change Log State</w:t>
            </w:r>
          </w:p>
        </w:tc>
        <w:tc>
          <w:tcPr/>
          <w:p>
            <w:pPr>
              <w:pStyle w:val="Compact"/>
            </w:pPr>
            <w:r>
              <w:t xml:space="preserve">The service allows data producers to view the full state of the AtoN Information as provided to consumers at any past point in time.</w:t>
            </w:r>
          </w:p>
        </w:tc>
        <w:tc>
          <w:tcPr/>
          <w:p>
            <w:pPr>
              <w:pStyle w:val="Compact"/>
            </w:pPr>
            <w:r>
              <w:t xml:space="preserve">F015</w:t>
            </w:r>
          </w:p>
        </w:tc>
      </w:tr>
    </w:tbl>
    <w:bookmarkEnd w:id="81"/>
    <w:p>
      <w:pPr>
        <w:pStyle w:val="FirstParagraph"/>
      </w:pPr>
      <w:r>
        <w:t xml:space="preserve">The table below defines non-functional requirements for the S-201 service, as these are defined in the IALA documentation for the IMO MS-2 Aids to Navigation Maritime Service</w:t>
      </w:r>
      <w:r>
        <w:t xml:space="preserve"> </w:t>
      </w:r>
      <w:r>
        <w:t xml:space="preserve">[3]</w:t>
      </w:r>
      <w:r>
        <w:t xml:space="preserve">. Please note that the feature identifiers referenced in Table 3, are also referring to service features identified in the IALA MS-2 specification document.</w:t>
      </w:r>
    </w:p>
    <w:bookmarkStart w:id="82" w:name="_d1aee2a6c49f33016a7b77ce87e9db6ade29b8e"/>
    <w:p>
      <w:pPr>
        <w:pStyle w:val="TableCaption"/>
      </w:pPr>
      <w:r>
        <w:t xml:space="preserve">Non-Functional Requirements for the MS-2 – Aids to Navigation Service.</w:t>
      </w:r>
    </w:p>
    <w:tbl>
      <w:tblPr>
        <w:tblStyle w:val="Table"/>
        <w:tblW w:type="pct" w:w="5000"/>
        <w:tblLayout w:type="fixed"/>
        <w:tblLook w:firstRow="1" w:lastRow="0" w:firstColumn="0" w:lastColumn="0" w:noHBand="0" w:noVBand="0" w:val="0020"/>
        <w:tblCaption w:val="Non-Functional Requirements for the MS-2 – Aids to Navigation Service."/>
      </w:tblPr>
      <w:tblGrid>
        <w:gridCol w:w="1584"/>
        <w:gridCol w:w="1584"/>
        <w:gridCol w:w="1584"/>
        <w:gridCol w:w="1584"/>
        <w:gridCol w:w="1584"/>
      </w:tblGrid>
      <w:tr>
        <w:trPr>
          <w:tblHeader w:val="on"/>
        </w:trPr>
        <w:tc>
          <w:tcPr/>
          <w:p>
            <w:pPr>
              <w:pStyle w:val="Compact"/>
            </w:pPr>
            <w:r>
              <w:t xml:space="preserve">Requirement Type</w:t>
            </w:r>
          </w:p>
        </w:tc>
        <w:tc>
          <w:tcPr/>
          <w:p>
            <w:pPr>
              <w:pStyle w:val="Compact"/>
            </w:pPr>
            <w:r>
              <w:t xml:space="preserve">Requirement ID</w:t>
            </w:r>
          </w:p>
        </w:tc>
        <w:tc>
          <w:tcPr/>
          <w:p>
            <w:pPr>
              <w:pStyle w:val="Compact"/>
            </w:pPr>
            <w:r>
              <w:t xml:space="preserve">Requirement Name</w:t>
            </w:r>
          </w:p>
        </w:tc>
        <w:tc>
          <w:tcPr/>
          <w:p>
            <w:pPr>
              <w:pStyle w:val="Compact"/>
            </w:pPr>
            <w:r>
              <w:t xml:space="preserve">Requirement Text</w:t>
            </w:r>
          </w:p>
        </w:tc>
        <w:tc>
          <w:tcPr/>
          <w:p>
            <w:pPr>
              <w:pStyle w:val="Compact"/>
            </w:pPr>
            <w:r>
              <w:t xml:space="preserve">Feature Identifier</w:t>
            </w:r>
          </w:p>
        </w:tc>
      </w:tr>
      <w:tr>
        <w:tc>
          <w:tcPr/>
          <w:p>
            <w:pPr>
              <w:pStyle w:val="Compact"/>
            </w:pPr>
            <w:r>
              <w:rPr>
                <w:b/>
                <w:bCs/>
              </w:rPr>
              <w:t xml:space="preserve">Non-functional</w:t>
            </w:r>
          </w:p>
        </w:tc>
        <w:tc>
          <w:tcPr/>
          <w:p>
            <w:pPr>
              <w:pStyle w:val="Compact"/>
            </w:pPr>
            <w:r>
              <w:t xml:space="preserve">MS2-NFR001</w:t>
            </w:r>
          </w:p>
        </w:tc>
        <w:tc>
          <w:tcPr/>
          <w:p>
            <w:pPr>
              <w:pStyle w:val="Compact"/>
            </w:pPr>
            <w:r>
              <w:t xml:space="preserve">Authorization</w:t>
            </w:r>
          </w:p>
        </w:tc>
        <w:tc>
          <w:tcPr/>
          <w:p>
            <w:pPr>
              <w:pStyle w:val="Compact"/>
            </w:pPr>
            <w:r>
              <w:t xml:space="preserve">Service consumers are authorized by the provider for reception of data by the service. This may be public authorization (everyone has access), or limited authorization associated with a transactional service</w:t>
            </w:r>
          </w:p>
        </w:tc>
        <w:tc>
          <w:tcPr/>
          <w:p>
            <w:pPr>
              <w:pStyle w:val="Compact"/>
            </w:pPr>
            <w:r>
              <w:t xml:space="preserve">F010, F016, F017</w:t>
            </w:r>
          </w:p>
        </w:tc>
      </w:tr>
      <w:tr>
        <w:tc>
          <w:tcPr/>
          <w:p>
            <w:pPr>
              <w:pStyle w:val="Compact"/>
            </w:pPr>
            <w:r>
              <w:rPr>
                <w:b/>
                <w:bCs/>
              </w:rPr>
              <w:t xml:space="preserve">Non-functional</w:t>
            </w:r>
          </w:p>
        </w:tc>
        <w:tc>
          <w:tcPr/>
          <w:p>
            <w:pPr>
              <w:pStyle w:val="Compact"/>
            </w:pPr>
            <w:r>
              <w:t xml:space="preserve">MS2-NFR002</w:t>
            </w:r>
          </w:p>
        </w:tc>
        <w:tc>
          <w:tcPr/>
          <w:p>
            <w:pPr>
              <w:pStyle w:val="Compact"/>
            </w:pPr>
            <w:r>
              <w:t xml:space="preserve">Authenticity</w:t>
            </w:r>
          </w:p>
        </w:tc>
        <w:tc>
          <w:tcPr/>
          <w:p>
            <w:pPr>
              <w:pStyle w:val="Compact"/>
            </w:pPr>
            <w:r>
              <w:t xml:space="preserve">Service consumers can verify independently the authenticity of the AtoN information transmitted to them.</w:t>
            </w:r>
          </w:p>
        </w:tc>
        <w:tc>
          <w:tcPr/>
          <w:p>
            <w:pPr>
              <w:pStyle w:val="Compact"/>
            </w:pPr>
            <w:r>
              <w:t xml:space="preserve">F006, F009</w:t>
            </w:r>
          </w:p>
        </w:tc>
      </w:tr>
      <w:tr>
        <w:tc>
          <w:tcPr/>
          <w:p>
            <w:pPr>
              <w:pStyle w:val="Compact"/>
            </w:pPr>
            <w:r>
              <w:rPr>
                <w:b/>
                <w:bCs/>
              </w:rPr>
              <w:t xml:space="preserve">Non-functional</w:t>
            </w:r>
          </w:p>
        </w:tc>
        <w:tc>
          <w:tcPr/>
          <w:p>
            <w:pPr>
              <w:pStyle w:val="Compact"/>
            </w:pPr>
            <w:r>
              <w:t xml:space="preserve">MS2-NFR003</w:t>
            </w:r>
          </w:p>
        </w:tc>
        <w:tc>
          <w:tcPr/>
          <w:p>
            <w:pPr>
              <w:pStyle w:val="Compact"/>
            </w:pPr>
            <w:r>
              <w:t xml:space="preserve">Integrity</w:t>
            </w:r>
          </w:p>
        </w:tc>
        <w:tc>
          <w:tcPr/>
          <w:p>
            <w:pPr>
              <w:pStyle w:val="Compact"/>
            </w:pPr>
            <w:r>
              <w:t xml:space="preserve">It is clear to both service provider and consumer whether changes have been made to the AtoN information after this was created.</w:t>
            </w:r>
          </w:p>
        </w:tc>
        <w:tc>
          <w:tcPr/>
          <w:p>
            <w:pPr>
              <w:pStyle w:val="Compact"/>
            </w:pPr>
            <w:r>
              <w:t xml:space="preserve">F006, F009</w:t>
            </w:r>
          </w:p>
        </w:tc>
      </w:tr>
      <w:tr>
        <w:tc>
          <w:tcPr/>
          <w:p>
            <w:pPr>
              <w:pStyle w:val="Compact"/>
            </w:pPr>
            <w:r>
              <w:rPr>
                <w:b/>
                <w:bCs/>
              </w:rPr>
              <w:t xml:space="preserve">Non-functional</w:t>
            </w:r>
          </w:p>
        </w:tc>
        <w:tc>
          <w:tcPr/>
          <w:p>
            <w:pPr>
              <w:pStyle w:val="Compact"/>
            </w:pPr>
            <w:r>
              <w:t xml:space="preserve">MS2-NFR004</w:t>
            </w:r>
          </w:p>
        </w:tc>
        <w:tc>
          <w:tcPr/>
          <w:p>
            <w:pPr>
              <w:pStyle w:val="Compact"/>
            </w:pPr>
            <w:r>
              <w:t xml:space="preserve">Availability</w:t>
            </w:r>
          </w:p>
        </w:tc>
        <w:tc>
          <w:tcPr/>
          <w:p>
            <w:pPr>
              <w:pStyle w:val="Compact"/>
            </w:pPr>
            <w:r>
              <w:t xml:space="preserve">The service is consistently available in its ability to deliver AtoN Information to its consumers. (i.e. Service should have a high availability)</w:t>
            </w:r>
          </w:p>
        </w:tc>
        <w:tc>
          <w:tcPr/>
          <w:p>
            <w:pPr>
              <w:pStyle w:val="Compact"/>
            </w:pPr>
            <w:r>
              <w:t xml:space="preserve">F001, F002, F004, F005, F011, F013</w:t>
            </w:r>
          </w:p>
        </w:tc>
      </w:tr>
      <w:tr>
        <w:tc>
          <w:tcPr/>
          <w:p>
            <w:pPr>
              <w:pStyle w:val="Compact"/>
            </w:pPr>
            <w:r>
              <w:rPr>
                <w:b/>
                <w:bCs/>
              </w:rPr>
              <w:t xml:space="preserve">Non-functional</w:t>
            </w:r>
          </w:p>
        </w:tc>
        <w:tc>
          <w:tcPr/>
          <w:p>
            <w:pPr>
              <w:pStyle w:val="Compact"/>
            </w:pPr>
            <w:r>
              <w:t xml:space="preserve">MS2-NFR005</w:t>
            </w:r>
          </w:p>
        </w:tc>
        <w:tc>
          <w:tcPr/>
          <w:p>
            <w:pPr>
              <w:pStyle w:val="Compact"/>
            </w:pPr>
            <w:r>
              <w:t xml:space="preserve">Responsiveness</w:t>
            </w:r>
          </w:p>
        </w:tc>
        <w:tc>
          <w:tcPr/>
          <w:p>
            <w:pPr>
              <w:pStyle w:val="Compact"/>
            </w:pPr>
            <w:r>
              <w:t xml:space="preserve">The service provides a response to a service consumer’s request without delay, and the data provided should be (near) real time.</w:t>
            </w:r>
          </w:p>
        </w:tc>
        <w:tc>
          <w:tcPr/>
          <w:p>
            <w:pPr>
              <w:pStyle w:val="Compact"/>
            </w:pPr>
            <w:r>
              <w:t xml:space="preserve">F001, F002, F011, F016</w:t>
            </w:r>
          </w:p>
        </w:tc>
      </w:tr>
      <w:tr>
        <w:tc>
          <w:tcPr/>
          <w:p>
            <w:pPr>
              <w:pStyle w:val="Compact"/>
            </w:pPr>
            <w:r>
              <w:rPr>
                <w:b/>
                <w:bCs/>
              </w:rPr>
              <w:t xml:space="preserve">Non-functional</w:t>
            </w:r>
          </w:p>
        </w:tc>
        <w:tc>
          <w:tcPr/>
          <w:p>
            <w:pPr>
              <w:pStyle w:val="Compact"/>
            </w:pPr>
            <w:r>
              <w:t xml:space="preserve">MS2-NFR006</w:t>
            </w:r>
          </w:p>
        </w:tc>
        <w:tc>
          <w:tcPr/>
          <w:p>
            <w:pPr>
              <w:pStyle w:val="Compact"/>
            </w:pPr>
            <w:r>
              <w:t xml:space="preserve">Performance</w:t>
            </w:r>
          </w:p>
        </w:tc>
        <w:tc>
          <w:tcPr/>
          <w:p>
            <w:pPr>
              <w:pStyle w:val="Compact"/>
            </w:pPr>
            <w:r>
              <w:t xml:space="preserve">The service can handle multiple requests simultaneously (e.g. 1000/sec).</w:t>
            </w:r>
          </w:p>
        </w:tc>
        <w:tc>
          <w:tcPr/>
          <w:p>
            <w:pPr>
              <w:pStyle w:val="Compact"/>
            </w:pPr>
            <w:r>
              <w:t xml:space="preserve">F001, F010, F012</w:t>
            </w:r>
          </w:p>
        </w:tc>
      </w:tr>
      <w:tr>
        <w:tc>
          <w:tcPr/>
          <w:p>
            <w:pPr>
              <w:pStyle w:val="Compact"/>
            </w:pPr>
            <w:r>
              <w:rPr>
                <w:b/>
                <w:bCs/>
              </w:rPr>
              <w:t xml:space="preserve">Non-functional</w:t>
            </w:r>
          </w:p>
        </w:tc>
        <w:tc>
          <w:tcPr/>
          <w:p>
            <w:pPr>
              <w:pStyle w:val="Compact"/>
            </w:pPr>
            <w:r>
              <w:t xml:space="preserve">MS2-NFR007</w:t>
            </w:r>
          </w:p>
        </w:tc>
        <w:tc>
          <w:tcPr/>
          <w:p>
            <w:pPr>
              <w:pStyle w:val="Compact"/>
            </w:pPr>
            <w:r>
              <w:t xml:space="preserve">Portability</w:t>
            </w:r>
          </w:p>
        </w:tc>
        <w:tc>
          <w:tcPr/>
          <w:p>
            <w:pPr>
              <w:pStyle w:val="Compact"/>
            </w:pPr>
            <w:r>
              <w:t xml:space="preserve">The service makes the data available in portable machine-readable formats (e.g. XML/JSON)</w:t>
            </w:r>
          </w:p>
        </w:tc>
        <w:tc>
          <w:tcPr/>
          <w:p>
            <w:pPr>
              <w:pStyle w:val="Compact"/>
            </w:pPr>
            <w:r>
              <w:t xml:space="preserve">F014</w:t>
            </w:r>
          </w:p>
        </w:tc>
      </w:tr>
      <w:tr>
        <w:tc>
          <w:tcPr/>
          <w:p>
            <w:pPr>
              <w:pStyle w:val="Compact"/>
            </w:pPr>
            <w:r>
              <w:rPr>
                <w:b/>
                <w:bCs/>
              </w:rPr>
              <w:t xml:space="preserve">Non-functional</w:t>
            </w:r>
          </w:p>
        </w:tc>
        <w:tc>
          <w:tcPr/>
          <w:p>
            <w:pPr>
              <w:pStyle w:val="Compact"/>
            </w:pPr>
            <w:r>
              <w:t xml:space="preserve">MS2-NFR008</w:t>
            </w:r>
          </w:p>
        </w:tc>
        <w:tc>
          <w:tcPr/>
          <w:p>
            <w:pPr>
              <w:pStyle w:val="Compact"/>
            </w:pPr>
            <w:r>
              <w:t xml:space="preserve">Compression</w:t>
            </w:r>
          </w:p>
        </w:tc>
        <w:tc>
          <w:tcPr/>
          <w:p>
            <w:pPr>
              <w:pStyle w:val="Compact"/>
            </w:pPr>
            <w:r>
              <w:t xml:space="preserve">The service is able transmit the data in compressed format, with the compression method (e.g., gzip) clearly indicated.</w:t>
            </w:r>
          </w:p>
        </w:tc>
        <w:tc>
          <w:tcPr/>
          <w:p>
            <w:pPr>
              <w:pStyle w:val="Compact"/>
            </w:pPr>
            <w:r>
              <w:t xml:space="preserve">F001, F005, F008</w:t>
            </w:r>
          </w:p>
        </w:tc>
      </w:tr>
      <w:tr>
        <w:tc>
          <w:tcPr/>
          <w:p>
            <w:pPr>
              <w:pStyle w:val="Compact"/>
            </w:pPr>
            <w:r>
              <w:rPr>
                <w:b/>
                <w:bCs/>
              </w:rPr>
              <w:t xml:space="preserve">Non-functional</w:t>
            </w:r>
          </w:p>
        </w:tc>
        <w:tc>
          <w:tcPr/>
          <w:p>
            <w:pPr>
              <w:pStyle w:val="Compact"/>
            </w:pPr>
            <w:r>
              <w:t xml:space="preserve">MS2-NFR009</w:t>
            </w:r>
          </w:p>
        </w:tc>
        <w:tc>
          <w:tcPr/>
          <w:p>
            <w:pPr>
              <w:pStyle w:val="Compact"/>
            </w:pPr>
            <w:r>
              <w:t xml:space="preserve">Accessibility</w:t>
            </w:r>
          </w:p>
        </w:tc>
        <w:tc>
          <w:tcPr/>
          <w:p>
            <w:pPr>
              <w:pStyle w:val="Compact"/>
            </w:pPr>
            <w:r>
              <w:t xml:space="preserve">The AtoN information is accessible as much as possible and modern APIs should be supported for machine-to-machine communication.</w:t>
            </w:r>
          </w:p>
        </w:tc>
        <w:tc>
          <w:tcPr/>
          <w:p>
            <w:pPr>
              <w:pStyle w:val="Compact"/>
            </w:pPr>
            <w:r>
              <w:t xml:space="preserve">F005, F010, F013, F014</w:t>
            </w:r>
          </w:p>
        </w:tc>
      </w:tr>
      <w:tr>
        <w:tc>
          <w:tcPr/>
          <w:p>
            <w:pPr>
              <w:pStyle w:val="Compact"/>
            </w:pPr>
            <w:r>
              <w:rPr>
                <w:b/>
                <w:bCs/>
              </w:rPr>
              <w:t xml:space="preserve">Non-functional</w:t>
            </w:r>
          </w:p>
        </w:tc>
        <w:tc>
          <w:tcPr/>
          <w:p>
            <w:pPr>
              <w:pStyle w:val="Compact"/>
            </w:pPr>
            <w:r>
              <w:t xml:space="preserve">MS2-NFR010</w:t>
            </w:r>
          </w:p>
        </w:tc>
        <w:tc>
          <w:tcPr/>
          <w:p>
            <w:pPr>
              <w:pStyle w:val="Compact"/>
            </w:pPr>
            <w:r>
              <w:t xml:space="preserve">Compatibility</w:t>
            </w:r>
          </w:p>
        </w:tc>
        <w:tc>
          <w:tcPr/>
          <w:p>
            <w:pPr>
              <w:pStyle w:val="Compact"/>
            </w:pPr>
            <w:r>
              <w:t xml:space="preserve">The service is compatible with as many end-user devices as possible and conforms to the latest relevant maritime standards (e.g. IEC 63173-2 (SECOM), S-100 (S-124, S-125, S-201, S-240))</w:t>
            </w:r>
          </w:p>
        </w:tc>
        <w:tc>
          <w:tcPr/>
          <w:p>
            <w:pPr>
              <w:pStyle w:val="Compact"/>
            </w:pPr>
            <w:r>
              <w:t xml:space="preserve">F005, F010, F013, F014</w:t>
            </w:r>
          </w:p>
        </w:tc>
      </w:tr>
    </w:tbl>
    <w:bookmarkEnd w:id="82"/>
    <w:bookmarkEnd w:id="83"/>
    <w:bookmarkStart w:id="92" w:name="_14fc30dcd5e77c13bc3f9060fde862015a07e69"/>
    <w:p>
      <w:pPr>
        <w:pStyle w:val="Heading2"/>
      </w:pPr>
      <w:r>
        <w:t xml:space="preserve">Other Constraints</w:t>
      </w:r>
    </w:p>
    <w:bookmarkStart w:id="84" w:name="_873269c4c3f8f12521a617d611b8a6008b85e31"/>
    <w:p>
      <w:pPr>
        <w:pStyle w:val="Heading3"/>
      </w:pPr>
      <w:r>
        <w:t xml:space="preserve">Relevant Industrial Standards</w:t>
      </w:r>
    </w:p>
    <w:p>
      <w:pPr>
        <w:pStyle w:val="FirstParagraph"/>
      </w:pPr>
      <w:r>
        <w:t xml:space="preserve">Not Applicable</w:t>
      </w:r>
    </w:p>
    <w:bookmarkEnd w:id="84"/>
    <w:bookmarkStart w:id="86" w:name="_8163d062d576734fd3b2607387a8ed52d48fce1"/>
    <w:p>
      <w:pPr>
        <w:pStyle w:val="Heading3"/>
      </w:pPr>
      <w:r>
        <w:t xml:space="preserve">Operational Nodes</w:t>
      </w:r>
    </w:p>
    <w:p>
      <w:pPr>
        <w:pStyle w:val="FirstParagraph"/>
      </w:pPr>
      <w:r>
        <w:t xml:space="preserve">The following tables describe the operational nodes of the service.</w:t>
      </w:r>
    </w:p>
    <w:bookmarkStart w:id="85" w:name="_c6cee0a2aadc5addbd4155c13d15a1a44448423"/>
    <w:p>
      <w:pPr>
        <w:pStyle w:val="TableCaption"/>
      </w:pPr>
      <w:r>
        <w:t xml:space="preserve">Operational Nodes providing the S-201 service.</w:t>
      </w:r>
    </w:p>
    <w:tbl>
      <w:tblPr>
        <w:tblStyle w:val="Table"/>
        <w:tblW w:type="pct" w:w="5000"/>
        <w:tblLayout w:type="fixed"/>
        <w:tblLook w:firstRow="1" w:lastRow="0" w:firstColumn="0" w:lastColumn="0" w:noHBand="0" w:noVBand="0" w:val="0020"/>
        <w:tblCaption w:val="Operational Nodes providing the S-201 service."/>
      </w:tblPr>
      <w:tblGrid>
        <w:gridCol w:w="3960"/>
        <w:gridCol w:w="3960"/>
      </w:tblGrid>
      <w:tr>
        <w:trPr>
          <w:tblHeader w:val="on"/>
        </w:trPr>
        <w:tc>
          <w:tcPr/>
          <w:p>
            <w:pPr>
              <w:pStyle w:val="Compact"/>
            </w:pPr>
            <w:r>
              <w:t xml:space="preserve">Operational Node</w:t>
            </w:r>
          </w:p>
        </w:tc>
        <w:tc>
          <w:tcPr/>
          <w:p>
            <w:pPr>
              <w:pStyle w:val="Compact"/>
            </w:pPr>
            <w:r>
              <w:t xml:space="preserve">Remarks</w:t>
            </w:r>
          </w:p>
        </w:tc>
      </w:tr>
      <w:tr>
        <w:tc>
          <w:tcPr/>
          <w:p>
            <w:pPr>
              <w:pStyle w:val="Compact"/>
            </w:pPr>
            <w:r>
              <w:rPr>
                <w:b/>
                <w:bCs/>
                <w:i/>
                <w:iCs/>
              </w:rPr>
              <w:t xml:space="preserve">AtoN Administration – AtoN Information Management System</w:t>
            </w:r>
          </w:p>
        </w:tc>
        <w:tc>
          <w:tcPr/>
          <w:p>
            <w:pPr>
              <w:pStyle w:val="Compact"/>
            </w:pPr>
            <w:r>
              <w:t xml:space="preserve">The AtoN Information Management System collects all AtoN Information available from its Authoritative Source (AtoN Administration).</w:t>
            </w:r>
          </w:p>
        </w:tc>
      </w:tr>
      <w:tr>
        <w:tc>
          <w:tcPr/>
          <w:p>
            <w:pPr>
              <w:pStyle w:val="Compact"/>
            </w:pPr>
            <w:r>
              <w:rPr>
                <w:b/>
                <w:bCs/>
                <w:i/>
                <w:iCs/>
              </w:rPr>
              <w:t xml:space="preserve">Coastal State Authority</w:t>
            </w:r>
          </w:p>
        </w:tc>
        <w:tc>
          <w:tcPr/>
          <w:p>
            <w:pPr>
              <w:pStyle w:val="Compact"/>
            </w:pPr>
            <w:r>
              <w:t xml:space="preserve">Governmental Agency responsible for overseeing vessel arrival within a respective area. Should facilitate dissemination of S-201.</w:t>
            </w:r>
          </w:p>
        </w:tc>
      </w:tr>
      <w:tr>
        <w:tc>
          <w:tcPr/>
          <w:p>
            <w:pPr>
              <w:pStyle w:val="Compact"/>
            </w:pPr>
            <w:r>
              <w:rPr>
                <w:b/>
                <w:bCs/>
                <w:i/>
                <w:iCs/>
              </w:rPr>
              <w:t xml:space="preserve">Discoverable Service</w:t>
            </w:r>
          </w:p>
        </w:tc>
        <w:tc>
          <w:tcPr/>
          <w:p>
            <w:pPr>
              <w:pStyle w:val="Compact"/>
            </w:pPr>
            <w:r>
              <w:t xml:space="preserve">S-201 services must be discoverable and may be operated by public or private entities.</w:t>
            </w:r>
          </w:p>
        </w:tc>
      </w:tr>
      <w:tr>
        <w:tc>
          <w:tcPr/>
          <w:p>
            <w:pPr>
              <w:pStyle w:val="Compact"/>
            </w:pPr>
            <w:r>
              <w:rPr>
                <w:b/>
                <w:bCs/>
                <w:i/>
                <w:iCs/>
              </w:rPr>
              <w:t xml:space="preserve">Service Consumer</w:t>
            </w:r>
          </w:p>
        </w:tc>
        <w:tc>
          <w:tcPr/>
          <w:p>
            <w:pPr>
              <w:pStyle w:val="Compact"/>
            </w:pPr>
            <w:r>
              <w:t xml:space="preserve">Consumers of S-201 service. This includes only state authorities and relevant organisations such as Hydrographic Offices and Coastal State Authorities.</w:t>
            </w:r>
          </w:p>
        </w:tc>
      </w:tr>
    </w:tbl>
    <w:bookmarkEnd w:id="85"/>
    <w:bookmarkEnd w:id="86"/>
    <w:bookmarkStart w:id="88" w:name="_3d0d89e38de618286adff8cde90d35fc70c9e93"/>
    <w:p>
      <w:pPr>
        <w:pStyle w:val="Heading3"/>
      </w:pPr>
      <w:r>
        <w:t xml:space="preserve">Operational Activities</w:t>
      </w:r>
    </w:p>
    <w:p>
      <w:pPr>
        <w:pStyle w:val="FirstParagraph"/>
      </w:pPr>
      <w:r>
        <w:t xml:space="preserve">The following tables describe the operational activities of the service.</w:t>
      </w:r>
    </w:p>
    <w:bookmarkStart w:id="87" w:name="_6a7fdc54116b04a67f7a253c2601719f3395620"/>
    <w:p>
      <w:pPr>
        <w:pStyle w:val="TableCaption"/>
      </w:pPr>
      <w:r>
        <w:t xml:space="preserve">Operational Activities supported by the S-201 service.</w:t>
      </w:r>
    </w:p>
    <w:tbl>
      <w:tblPr>
        <w:tblStyle w:val="Table"/>
        <w:tblW w:type="pct" w:w="5000"/>
        <w:tblLayout w:type="fixed"/>
        <w:tblLook w:firstRow="1" w:lastRow="0" w:firstColumn="0" w:lastColumn="0" w:noHBand="0" w:noVBand="0" w:val="0020"/>
        <w:tblCaption w:val="Operational Activities supported by the S-201 service."/>
      </w:tblPr>
      <w:tblGrid>
        <w:gridCol w:w="3960"/>
        <w:gridCol w:w="3960"/>
      </w:tblGrid>
      <w:tr>
        <w:trPr>
          <w:tblHeader w:val="on"/>
        </w:trPr>
        <w:tc>
          <w:tcPr/>
          <w:p>
            <w:pPr>
              <w:pStyle w:val="Compact"/>
            </w:pPr>
            <w:r>
              <w:t xml:space="preserve">Operational Activity</w:t>
            </w:r>
          </w:p>
        </w:tc>
        <w:tc>
          <w:tcPr/>
          <w:p>
            <w:pPr>
              <w:pStyle w:val="Compact"/>
            </w:pPr>
            <w:r>
              <w:t xml:space="preserve">Remarks</w:t>
            </w:r>
          </w:p>
        </w:tc>
      </w:tr>
      <w:tr>
        <w:tc>
          <w:tcPr/>
          <w:p>
            <w:pPr>
              <w:pStyle w:val="Compact"/>
            </w:pPr>
            <w:r>
              <w:rPr>
                <w:b/>
                <w:bCs/>
                <w:i/>
                <w:iCs/>
              </w:rPr>
              <w:t xml:space="preserve">Identify S-201 Dataset(s)</w:t>
            </w:r>
          </w:p>
        </w:tc>
        <w:tc>
          <w:tcPr/>
          <w:p>
            <w:pPr>
              <w:pStyle w:val="Compact"/>
            </w:pPr>
            <w:r>
              <w:t xml:space="preserve">The service consumer is able to identify the availability of S-201 dataset(s) for a given area. This includes identification of the authoritative source for the dataset(s).</w:t>
            </w:r>
          </w:p>
        </w:tc>
      </w:tr>
      <w:tr>
        <w:tc>
          <w:tcPr/>
          <w:p>
            <w:pPr>
              <w:pStyle w:val="Compact"/>
            </w:pPr>
            <w:r>
              <w:rPr>
                <w:b/>
                <w:bCs/>
                <w:i/>
                <w:iCs/>
              </w:rPr>
              <w:t xml:space="preserve">Get S-201 Dataset(s)</w:t>
            </w:r>
          </w:p>
        </w:tc>
        <w:tc>
          <w:tcPr/>
          <w:p>
            <w:pPr>
              <w:pStyle w:val="Compact"/>
            </w:pPr>
            <w:r>
              <w:t xml:space="preserve">The service consumer is able to retrieve S-201 dataset(s) from the service provider. This includes retrieving archived dataset(s).</w:t>
            </w:r>
          </w:p>
        </w:tc>
      </w:tr>
      <w:tr>
        <w:tc>
          <w:tcPr/>
          <w:p>
            <w:pPr>
              <w:pStyle w:val="Compact"/>
            </w:pPr>
            <w:r>
              <w:rPr>
                <w:b/>
                <w:bCs/>
                <w:i/>
                <w:iCs/>
              </w:rPr>
              <w:t xml:space="preserve">Subscribe</w:t>
            </w:r>
          </w:p>
        </w:tc>
        <w:tc>
          <w:tcPr/>
          <w:p>
            <w:pPr>
              <w:pStyle w:val="Compact"/>
            </w:pPr>
            <w:r>
              <w:t xml:space="preserve">The service consumer is able to subscribe to receive S-201 dataset(s) from the service provider for a given timeframe and area.</w:t>
            </w:r>
          </w:p>
        </w:tc>
      </w:tr>
      <w:tr>
        <w:tc>
          <w:tcPr/>
          <w:p>
            <w:pPr>
              <w:pStyle w:val="Compact"/>
            </w:pPr>
            <w:r>
              <w:rPr>
                <w:b/>
                <w:bCs/>
                <w:i/>
                <w:iCs/>
              </w:rPr>
              <w:t xml:space="preserve">Version Designation</w:t>
            </w:r>
          </w:p>
        </w:tc>
        <w:tc>
          <w:tcPr/>
          <w:p>
            <w:pPr>
              <w:pStyle w:val="Compact"/>
            </w:pPr>
            <w:r>
              <w:t xml:space="preserve">The service provider needs to track the current version of S-201 dataset(s) and make this discoverable to service consumers.</w:t>
            </w:r>
          </w:p>
        </w:tc>
      </w:tr>
      <w:tr>
        <w:tc>
          <w:tcPr/>
          <w:p>
            <w:pPr>
              <w:pStyle w:val="Compact"/>
            </w:pPr>
            <w:r>
              <w:rPr>
                <w:b/>
                <w:bCs/>
                <w:i/>
                <w:iCs/>
              </w:rPr>
              <w:t xml:space="preserve">Record of Changes</w:t>
            </w:r>
          </w:p>
        </w:tc>
        <w:tc>
          <w:tcPr/>
          <w:p>
            <w:pPr>
              <w:pStyle w:val="Compact"/>
            </w:pPr>
            <w:r>
              <w:t xml:space="preserve">The service provider needs to log changes between versions of S-201 dataset(s).</w:t>
            </w:r>
          </w:p>
        </w:tc>
      </w:tr>
      <w:tr>
        <w:tc>
          <w:tcPr/>
          <w:p>
            <w:pPr>
              <w:pStyle w:val="Compact"/>
            </w:pPr>
            <w:r>
              <w:rPr>
                <w:b/>
                <w:bCs/>
                <w:i/>
                <w:iCs/>
              </w:rPr>
              <w:t xml:space="preserve">Dissemination of Changes</w:t>
            </w:r>
          </w:p>
        </w:tc>
        <w:tc>
          <w:tcPr/>
          <w:p>
            <w:pPr>
              <w:pStyle w:val="Compact"/>
            </w:pPr>
            <w:r>
              <w:t xml:space="preserve">The “delta” compilation of changes made to a dataset(s) since the last version was issued may be made available to service consumer before the release of a new dataset version.</w:t>
            </w:r>
          </w:p>
        </w:tc>
      </w:tr>
    </w:tbl>
    <w:bookmarkEnd w:id="87"/>
    <w:bookmarkEnd w:id="88"/>
    <w:bookmarkStart w:id="91" w:name="_ec415f45fad67e567037ccd55b43803f5371771"/>
    <w:p>
      <w:pPr>
        <w:pStyle w:val="Heading3"/>
      </w:pPr>
      <w:r>
        <w:t xml:space="preserve">Use Cases</w:t>
      </w:r>
    </w:p>
    <w:bookmarkStart w:id="89" w:name="_49ba3fe3fbc8cfbe0b1de69ecf617e1473b2dc0"/>
    <w:p>
      <w:pPr>
        <w:pStyle w:val="Heading4"/>
      </w:pPr>
      <w:r>
        <w:t xml:space="preserve">Use-case #1</w:t>
      </w:r>
    </w:p>
    <w:p>
      <w:pPr>
        <w:pStyle w:val="FirstParagraph"/>
      </w:pPr>
      <w:r>
        <w:rPr>
          <w:b/>
          <w:bCs/>
        </w:rPr>
        <w:t xml:space="preserve">Name</w:t>
      </w:r>
      <w:r>
        <w:t xml:space="preserve">: Retrieve AtoN status indication information for portrayal by a Hydrographic Office</w:t>
      </w:r>
    </w:p>
    <w:p>
      <w:pPr>
        <w:pStyle w:val="BodyText"/>
      </w:pPr>
      <w:r>
        <w:rPr>
          <w:b/>
          <w:bCs/>
        </w:rPr>
        <w:t xml:space="preserve">Description</w:t>
      </w:r>
      <w:r>
        <w:t xml:space="preserve">: Retrieve and portray changes on the design state of AtoN for charting.</w:t>
      </w:r>
    </w:p>
    <w:p>
      <w:pPr>
        <w:pStyle w:val="BodyText"/>
      </w:pPr>
      <w:r>
        <w:rPr>
          <w:b/>
          <w:bCs/>
        </w:rPr>
        <w:t xml:space="preserve">Actors</w:t>
      </w:r>
      <w:r>
        <w:t xml:space="preserve">: AtoN information service, Hydrographic Office</w:t>
      </w:r>
    </w:p>
    <w:p>
      <w:pPr>
        <w:pStyle w:val="BodyText"/>
      </w:pPr>
      <w:r>
        <w:rPr>
          <w:b/>
          <w:bCs/>
        </w:rPr>
        <w:t xml:space="preserve">Frequency of Use</w:t>
      </w:r>
      <w:r>
        <w:t xml:space="preserve">: Ad-hoc, typically triggered upon an update request by the Hydrographic Office</w:t>
      </w:r>
    </w:p>
    <w:p>
      <w:pPr>
        <w:pStyle w:val="BodyText"/>
      </w:pPr>
      <w:r>
        <w:rPr>
          <w:b/>
          <w:bCs/>
        </w:rPr>
        <w:t xml:space="preserve">Pre-conditions</w:t>
      </w:r>
      <w:r>
        <w:t xml:space="preserve">: The service instance is known to the relevant system or has access to a service registry in which the service instance can be discovered. Data is packaged in S-201 datasets with MRN attributes populated. S-201 datasets cannot be broken apart into division beyond those established by the authoritative source for liability reasons.</w:t>
      </w:r>
    </w:p>
    <w:p>
      <w:pPr>
        <w:pStyle w:val="BodyText"/>
      </w:pPr>
      <w:r>
        <w:rPr>
          <w:b/>
          <w:bCs/>
        </w:rPr>
        <w:t xml:space="preserve">Ordinary Sequence</w:t>
      </w:r>
      <w:r>
        <w:t xml:space="preserve">:</w:t>
      </w:r>
    </w:p>
    <w:p>
      <w:pPr>
        <w:pStyle w:val="Compact"/>
        <w:numPr>
          <w:ilvl w:val="0"/>
          <w:numId w:val="1007"/>
        </w:numPr>
      </w:pPr>
      <w:r>
        <w:t xml:space="preserve">The AtoN status indication information is requested from the service.</w:t>
      </w:r>
    </w:p>
    <w:p>
      <w:pPr>
        <w:pStyle w:val="Compact"/>
        <w:numPr>
          <w:ilvl w:val="0"/>
          <w:numId w:val="1007"/>
        </w:numPr>
      </w:pPr>
      <w:r>
        <w:t xml:space="preserve">The service directly answers the request with the appropriate data. These include the S-201 AtoN status indication features of the data product, but not necessarily the design state AtoN information.</w:t>
      </w:r>
    </w:p>
    <w:p>
      <w:pPr>
        <w:pStyle w:val="Compact"/>
        <w:numPr>
          <w:ilvl w:val="0"/>
          <w:numId w:val="1007"/>
        </w:numPr>
      </w:pPr>
      <w:r>
        <w:t xml:space="preserve">The data is rendered and displayed to the user.</w:t>
      </w:r>
    </w:p>
    <w:p>
      <w:pPr>
        <w:pStyle w:val="FirstParagraph"/>
      </w:pPr>
      <w:r>
        <w:rPr>
          <w:b/>
          <w:bCs/>
        </w:rPr>
        <w:t xml:space="preserve">Post-conditions</w:t>
      </w:r>
      <w:r>
        <w:t xml:space="preserve">: The correct AtoN status indication information is displayed.</w:t>
      </w:r>
    </w:p>
    <w:bookmarkEnd w:id="89"/>
    <w:bookmarkStart w:id="90" w:name="_8ddbc7482bacb3eea801960f06377ee405bba81"/>
    <w:p>
      <w:pPr>
        <w:pStyle w:val="Heading4"/>
      </w:pPr>
      <w:r>
        <w:t xml:space="preserve">Use-case #2</w:t>
      </w:r>
    </w:p>
    <w:p>
      <w:pPr>
        <w:pStyle w:val="FirstParagraph"/>
      </w:pPr>
      <w:r>
        <w:rPr>
          <w:b/>
          <w:bCs/>
        </w:rPr>
        <w:t xml:space="preserve">Name</w:t>
      </w:r>
      <w:r>
        <w:t xml:space="preserve">: Retrieve AtoN status indication information for portrayal by an ECS Provider</w:t>
      </w:r>
    </w:p>
    <w:p>
      <w:pPr>
        <w:pStyle w:val="BodyText"/>
      </w:pPr>
      <w:r>
        <w:rPr>
          <w:b/>
          <w:bCs/>
        </w:rPr>
        <w:t xml:space="preserve">Description</w:t>
      </w:r>
      <w:r>
        <w:t xml:space="preserve">: Retrieve and portray changes on the design state of AtoN for charting.</w:t>
      </w:r>
    </w:p>
    <w:p>
      <w:pPr>
        <w:pStyle w:val="BodyText"/>
      </w:pPr>
      <w:r>
        <w:rPr>
          <w:b/>
          <w:bCs/>
        </w:rPr>
        <w:t xml:space="preserve">Actors</w:t>
      </w:r>
      <w:r>
        <w:t xml:space="preserve">: AtoN information service, ECS Provider</w:t>
      </w:r>
    </w:p>
    <w:p>
      <w:pPr>
        <w:pStyle w:val="BodyText"/>
      </w:pPr>
      <w:r>
        <w:rPr>
          <w:b/>
          <w:bCs/>
        </w:rPr>
        <w:t xml:space="preserve">Frequency of Use</w:t>
      </w:r>
      <w:r>
        <w:t xml:space="preserve">: Ad-hoc, typically triggered upon an update request by the ECS Provider</w:t>
      </w:r>
    </w:p>
    <w:p>
      <w:pPr>
        <w:pStyle w:val="BodyText"/>
      </w:pPr>
      <w:r>
        <w:rPr>
          <w:b/>
          <w:bCs/>
        </w:rPr>
        <w:t xml:space="preserve">Pre-conditions</w:t>
      </w:r>
      <w:r>
        <w:t xml:space="preserve">: The service instance is known to the relevant system or has access to a service registry in which the service instance can be discovered. Data is packaged in S-201 datasets with MRN attributes populated. S-201 datasets cannot be broken apart into division beyond those established by the authoritative source for liability reasons.</w:t>
      </w:r>
    </w:p>
    <w:p>
      <w:pPr>
        <w:pStyle w:val="BodyText"/>
      </w:pPr>
      <w:r>
        <w:rPr>
          <w:b/>
          <w:bCs/>
        </w:rPr>
        <w:t xml:space="preserve">Ordinary Sequence</w:t>
      </w:r>
      <w:r>
        <w:t xml:space="preserve">:</w:t>
      </w:r>
    </w:p>
    <w:p>
      <w:pPr>
        <w:pStyle w:val="Compact"/>
        <w:numPr>
          <w:ilvl w:val="0"/>
          <w:numId w:val="1008"/>
        </w:numPr>
      </w:pPr>
      <w:r>
        <w:t xml:space="preserve">The AtoN status indication information is requested from the service.</w:t>
      </w:r>
    </w:p>
    <w:p>
      <w:pPr>
        <w:pStyle w:val="Compact"/>
        <w:numPr>
          <w:ilvl w:val="0"/>
          <w:numId w:val="1008"/>
        </w:numPr>
      </w:pPr>
      <w:r>
        <w:t xml:space="preserve">The service directly answers the request with the appropriate data. These include the S-201 AtoN status indication features of the data product, but not necessarily the design state AtoN information.</w:t>
      </w:r>
    </w:p>
    <w:p>
      <w:pPr>
        <w:pStyle w:val="Compact"/>
        <w:numPr>
          <w:ilvl w:val="0"/>
          <w:numId w:val="1008"/>
        </w:numPr>
      </w:pPr>
      <w:r>
        <w:t xml:space="preserve">The data is rendered and displayed to the user.</w:t>
      </w:r>
    </w:p>
    <w:p>
      <w:pPr>
        <w:pStyle w:val="FirstParagraph"/>
      </w:pPr>
      <w:r>
        <w:rPr>
          <w:b/>
          <w:bCs/>
        </w:rPr>
        <w:t xml:space="preserve">Post-conditions</w:t>
      </w:r>
      <w:r>
        <w:t xml:space="preserve">: The correct AtoN status indication information is displayed.</w:t>
      </w:r>
    </w:p>
    <w:p>
      <w:r>
        <w:br w:type="page"/>
      </w:r>
    </w:p>
    <w:bookmarkEnd w:id="90"/>
    <w:bookmarkEnd w:id="91"/>
    <w:bookmarkEnd w:id="92"/>
    <w:bookmarkEnd w:id="93"/>
    <w:bookmarkStart w:id="153" w:name="_c6773ec9deba3dc0e37ed3b00bbf6797c608910"/>
    <w:p>
      <w:pPr>
        <w:pStyle w:val="Heading1"/>
      </w:pPr>
      <w:r>
        <w:t xml:space="preserve">Service Overview</w:t>
      </w:r>
    </w:p>
    <w:p>
      <w:pPr>
        <w:pStyle w:val="FirstParagraph"/>
      </w:pPr>
      <w:r>
        <w:t xml:space="preserve">This section aims at providing an overview of the main elements of the service. Architectural elements applicable for this description are:</w:t>
      </w:r>
    </w:p>
    <w:p>
      <w:pPr>
        <w:pStyle w:val="FirstParagraph"/>
        <w:numPr>
          <w:ilvl w:val="0"/>
          <w:numId w:val="1009"/>
        </w:numPr>
      </w:pPr>
      <w:r>
        <w:t xml:space="preserve">Service - the element representing the service, as a whole</w:t>
      </w:r>
    </w:p>
    <w:p>
      <w:pPr>
        <w:pStyle w:val="FirstParagraph"/>
        <w:numPr>
          <w:ilvl w:val="0"/>
          <w:numId w:val="1009"/>
        </w:numPr>
      </w:pPr>
      <w:r>
        <w:t xml:space="preserve">Service Operations - describe the logical operations used to access the service. Actual technical designs may rename some of the operations or ignore some of the operations if the operation is triggered in a different way e.g. API-based designs require more operations than an event-based design. Multiple service operations may also be implemented by a single API endpoint with e.g. different HTTP methods differentiating between operations.</w:t>
      </w:r>
    </w:p>
    <w:p>
      <w:pPr>
        <w:pStyle w:val="FirstParagraph"/>
        <w:numPr>
          <w:ilvl w:val="0"/>
          <w:numId w:val="1009"/>
        </w:numPr>
      </w:pPr>
      <w:r>
        <w:t xml:space="preserve">Service Operations Parameter Definitions - identify logical data structures being exchanged via Service Operations. These parameters must not be an exhaustive list but describe the parameters that are required for the business logic to work.</w:t>
      </w:r>
    </w:p>
    <w:bookmarkStart w:id="98" w:name="_3e1515a25ed25cd3070e37340495b63ecbc6929"/>
    <w:p>
      <w:pPr>
        <w:pStyle w:val="Heading2"/>
      </w:pPr>
      <w:r>
        <w:t xml:space="preserve">The Enhanced AtoN Information Service</w:t>
      </w:r>
    </w:p>
    <w:p>
      <w:pPr>
        <w:pStyle w:val="FirstParagraph"/>
      </w:pPr>
      <w:r>
        <w:t xml:space="preserve">In Figure 2, below, an overview of the operations of the Enhanced AtoN Information service is shown.</w:t>
      </w:r>
    </w:p>
    <w:bookmarkStart w:id="97" w:name="_1384d941d0552bf25556574d26836da9fd27d44"/>
    <w:p>
      <w:pPr>
        <w:pStyle w:val="CaptionedFigure"/>
      </w:pPr>
      <w:r>
        <w:drawing>
          <wp:inline>
            <wp:extent cx="6477000" cy="4501558"/>
            <wp:effectExtent b="0" l="0" r="0" t="0"/>
            <wp:docPr descr="S-201 Service Operations Definition diagram." title="" id="95" name="Picture"/>
            <a:graphic>
              <a:graphicData uri="http://schemas.openxmlformats.org/drawingml/2006/picture">
                <pic:pic>
                  <pic:nvPicPr>
                    <pic:cNvPr descr="source/guideline/../../resources/ServiceInterfaces.png" id="96" name="Picture"/>
                    <pic:cNvPicPr>
                      <a:picLocks noChangeArrowheads="1" noChangeAspect="1"/>
                    </pic:cNvPicPr>
                  </pic:nvPicPr>
                  <pic:blipFill>
                    <a:blip r:embed="rId94"/>
                    <a:stretch>
                      <a:fillRect/>
                    </a:stretch>
                  </pic:blipFill>
                  <pic:spPr bwMode="auto">
                    <a:xfrm>
                      <a:off x="0" y="0"/>
                      <a:ext cx="6477000" cy="4501558"/>
                    </a:xfrm>
                    <a:prstGeom prst="rect">
                      <a:avLst/>
                    </a:prstGeom>
                    <a:noFill/>
                    <a:ln w="9525">
                      <a:noFill/>
                      <a:headEnd/>
                      <a:tailEnd/>
                    </a:ln>
                  </pic:spPr>
                </pic:pic>
              </a:graphicData>
            </a:graphic>
          </wp:inline>
        </w:drawing>
      </w:r>
    </w:p>
    <w:p>
      <w:pPr>
        <w:pStyle w:val="ImageCaption"/>
      </w:pPr>
      <w:r>
        <w:t xml:space="preserve">S-201 Service Operations Definition diagram.</w:t>
      </w:r>
    </w:p>
    <w:bookmarkEnd w:id="97"/>
    <w:p>
      <w:pPr>
        <w:pStyle w:val="TableCaption"/>
      </w:pPr>
      <w:r>
        <w:t xml:space="preserve">Service Operations Overview.</w:t>
      </w:r>
    </w:p>
    <w:tbl>
      <w:tblPr>
        <w:tblStyle w:val="Table"/>
        <w:tblW w:type="pct" w:w="5000"/>
        <w:tblLayout w:type="fixed"/>
        <w:tblLook w:firstRow="1" w:lastRow="0" w:firstColumn="0" w:lastColumn="0" w:noHBand="0" w:noVBand="0" w:val="0020"/>
        <w:tblCaption w:val="Service Operations Overview."/>
      </w:tblPr>
      <w:tblGrid>
        <w:gridCol w:w="1980"/>
        <w:gridCol w:w="1980"/>
        <w:gridCol w:w="1980"/>
        <w:gridCol w:w="1980"/>
      </w:tblGrid>
      <w:tr>
        <w:trPr>
          <w:tblHeader w:val="on"/>
        </w:trPr>
        <w:tc>
          <w:tcPr/>
          <w:p>
            <w:pPr>
              <w:pStyle w:val="Compact"/>
            </w:pPr>
          </w:p>
        </w:tc>
        <w:tc>
          <w:tcPr/>
          <w:p>
            <w:pPr>
              <w:pStyle w:val="Compact"/>
            </w:pPr>
            <w:r>
              <w:t xml:space="preserve">Service Operation</w:t>
            </w:r>
          </w:p>
        </w:tc>
        <w:tc>
          <w:tcPr/>
          <w:p>
            <w:pPr>
              <w:pStyle w:val="Compact"/>
            </w:pPr>
            <w:r>
              <w:t xml:space="preserve">Exchange Pattern</w:t>
            </w:r>
          </w:p>
        </w:tc>
        <w:tc>
          <w:tcPr/>
          <w:p>
            <w:pPr>
              <w:pStyle w:val="Compact"/>
            </w:pPr>
            <w:r>
              <w:t xml:space="preserve">Definition</w:t>
            </w:r>
          </w:p>
        </w:tc>
      </w:tr>
      <w:tr>
        <w:tc>
          <w:tcPr>
            <w:vMerge w:val="restart"/>
          </w:tcPr>
          <w:p>
            <w:pPr>
              <w:pStyle w:val="Compact"/>
            </w:pPr>
            <w:r>
              <w:t xml:space="preserve">PULL</w:t>
            </w:r>
          </w:p>
        </w:tc>
        <w:tc>
          <w:tcPr/>
          <w:p>
            <w:pPr>
              <w:pStyle w:val="Compact"/>
            </w:pPr>
            <w:r>
              <w:t xml:space="preserve">Get</w:t>
            </w:r>
          </w:p>
        </w:tc>
        <w:tc>
          <w:tcPr/>
          <w:p>
            <w:pPr>
              <w:pStyle w:val="Compact"/>
            </w:pPr>
            <w:r>
              <w:t xml:space="preserve">REQUEST_RESPONSE</w:t>
            </w:r>
          </w:p>
        </w:tc>
        <w:tc>
          <w:tcPr/>
          <w:p>
            <w:pPr>
              <w:pStyle w:val="Compact"/>
            </w:pPr>
            <w:r>
              <w:t xml:space="preserve">Operation to (pull) ask for AtoN datasets from the producer.</w:t>
            </w:r>
          </w:p>
        </w:tc>
      </w:tr>
      <w:tr>
        <w:tc>
          <w:tcPr>
            <w:gridSpan w:val="1"/>
            <w:vMerge w:val="continue"/>
          </w:tcPr>
          <w:p>
            <w:pPr/>
          </w:p>
        </w:tc>
        <w:tc>
          <w:tcPr/>
          <w:p>
            <w:pPr>
              <w:pStyle w:val="Compact"/>
            </w:pPr>
            <w:r>
              <w:t xml:space="preserve">Get Summary</w:t>
            </w:r>
          </w:p>
        </w:tc>
        <w:tc>
          <w:tcPr/>
          <w:p>
            <w:pPr>
              <w:pStyle w:val="Compact"/>
            </w:pPr>
            <w:r>
              <w:t xml:space="preserve">REQUEST_RESPONSE</w:t>
            </w:r>
          </w:p>
        </w:tc>
        <w:tc>
          <w:tcPr/>
          <w:p>
            <w:pPr>
              <w:pStyle w:val="Compact"/>
            </w:pPr>
            <w:r>
              <w:t xml:space="preserve">Operation to (pull) ask for a list of summary information on the AtoN datasets made available by producer.</w:t>
            </w:r>
          </w:p>
        </w:tc>
      </w:tr>
      <w:tr>
        <w:tc>
          <w:tcPr>
            <w:vMerge w:val="restart"/>
          </w:tcPr>
          <w:p>
            <w:pPr>
              <w:pStyle w:val="Compact"/>
            </w:pPr>
            <w:r>
              <w:t xml:space="preserve">SUBSCRIPTION</w:t>
            </w:r>
          </w:p>
        </w:tc>
        <w:tc>
          <w:tcPr/>
          <w:p>
            <w:pPr>
              <w:pStyle w:val="Compact"/>
            </w:pPr>
            <w:r>
              <w:t xml:space="preserve">Subscription</w:t>
            </w:r>
          </w:p>
        </w:tc>
        <w:tc>
          <w:tcPr/>
          <w:p>
            <w:pPr>
              <w:pStyle w:val="Compact"/>
            </w:pPr>
            <w:r>
              <w:t xml:space="preserve">REQUEST_CALLBACK</w:t>
            </w:r>
          </w:p>
        </w:tc>
        <w:tc>
          <w:tcPr/>
          <w:p>
            <w:pPr>
              <w:pStyle w:val="Compact"/>
            </w:pPr>
            <w:r>
              <w:t xml:space="preserve">Operation to create subscriptions on specific AtoN datasets. Relevant Client operations:</w:t>
            </w:r>
          </w:p>
          <w:p>
            <w:pPr>
              <w:pStyle w:val="Compact"/>
              <w:numPr>
                <w:ilvl w:val="0"/>
                <w:numId w:val="1010"/>
              </w:numPr>
            </w:pPr>
            <w:r>
              <w:t xml:space="preserve">Subscription Notification</w:t>
            </w:r>
          </w:p>
          <w:p>
            <w:pPr>
              <w:pStyle w:val="Compact"/>
              <w:numPr>
                <w:ilvl w:val="0"/>
                <w:numId w:val="1010"/>
              </w:numPr>
            </w:pPr>
            <w:r>
              <w:t xml:space="preserve">Upload</w:t>
            </w:r>
          </w:p>
        </w:tc>
      </w:tr>
      <w:tr>
        <w:tc>
          <w:tcPr>
            <w:gridSpan w:val="1"/>
            <w:vMerge w:val="continue"/>
          </w:tcPr>
          <w:p>
            <w:pPr/>
          </w:p>
        </w:tc>
        <w:tc>
          <w:tcPr/>
          <w:p>
            <w:pPr>
              <w:pStyle w:val="Compact"/>
            </w:pPr>
            <w:r>
              <w:t xml:space="preserve">Remove Subscription</w:t>
            </w:r>
          </w:p>
        </w:tc>
        <w:tc>
          <w:tcPr/>
          <w:p>
            <w:pPr>
              <w:pStyle w:val="Compact"/>
            </w:pPr>
            <w:r>
              <w:t xml:space="preserve">REQUEST_CALLBACK</w:t>
            </w:r>
          </w:p>
        </w:tc>
        <w:tc>
          <w:tcPr/>
          <w:p>
            <w:pPr>
              <w:pStyle w:val="Compact"/>
            </w:pPr>
            <w:r>
              <w:t xml:space="preserve">Operation to remove existing subscriptions. Relevant Client operations:</w:t>
            </w:r>
          </w:p>
          <w:p>
            <w:pPr>
              <w:pStyle w:val="Compact"/>
              <w:numPr>
                <w:ilvl w:val="0"/>
                <w:numId w:val="1011"/>
              </w:numPr>
            </w:pPr>
            <w:r>
              <w:t xml:space="preserve">Subscription Notification</w:t>
            </w:r>
          </w:p>
        </w:tc>
      </w:tr>
    </w:tbl>
    <w:p/>
    <w:p>
      <w:pPr>
        <w:pStyle w:val="TableCaption"/>
      </w:pPr>
      <w:r>
        <w:t xml:space="preserve">Consumer (Client) Operations Overview.</w:t>
      </w:r>
    </w:p>
    <w:tbl>
      <w:tblPr>
        <w:tblStyle w:val="Table"/>
        <w:tblW w:type="auto" w:w="0"/>
        <w:tblLook w:firstRow="1" w:lastRow="0" w:firstColumn="0" w:lastColumn="0" w:noHBand="0" w:noVBand="0" w:val="0020"/>
        <w:tblCaption w:val="Consumer (Client) Operations Overview."/>
      </w:tblPr>
      <w:tblGrid>
        <w:gridCol w:w="1980"/>
        <w:gridCol w:w="1980"/>
        <w:gridCol w:w="1980"/>
        <w:gridCol w:w="1980"/>
      </w:tblGrid>
      <w:tr>
        <w:trPr>
          <w:tblHeader w:val="on"/>
        </w:trPr>
        <w:tc>
          <w:tcPr/>
          <w:p>
            <w:pPr>
              <w:pStyle w:val="Compact"/>
            </w:pPr>
          </w:p>
        </w:tc>
        <w:tc>
          <w:tcPr/>
          <w:p>
            <w:pPr>
              <w:pStyle w:val="Compact"/>
            </w:pPr>
            <w:r>
              <w:t xml:space="preserve">Client Operation</w:t>
            </w:r>
          </w:p>
        </w:tc>
        <w:tc>
          <w:tcPr/>
          <w:p>
            <w:pPr>
              <w:pStyle w:val="Compact"/>
            </w:pPr>
            <w:r>
              <w:t xml:space="preserve">Exchange Pattern</w:t>
            </w:r>
          </w:p>
        </w:tc>
        <w:tc>
          <w:tcPr/>
          <w:p>
            <w:pPr>
              <w:pStyle w:val="Compact"/>
            </w:pPr>
            <w:r>
              <w:t xml:space="preserve">Definition</w:t>
            </w:r>
          </w:p>
        </w:tc>
      </w:tr>
      <w:tr>
        <w:tc>
          <w:tcPr/>
          <w:p>
            <w:pPr>
              <w:pStyle w:val="Compact"/>
            </w:pPr>
            <w:r>
              <w:t xml:space="preserve">PUSH</w:t>
            </w:r>
          </w:p>
        </w:tc>
        <w:tc>
          <w:tcPr/>
          <w:p>
            <w:pPr>
              <w:pStyle w:val="Compact"/>
            </w:pPr>
            <w:r>
              <w:t xml:space="preserve">Upload</w:t>
            </w:r>
          </w:p>
        </w:tc>
        <w:tc>
          <w:tcPr/>
          <w:p>
            <w:pPr>
              <w:pStyle w:val="Compact"/>
            </w:pPr>
            <w:r>
              <w:t xml:space="preserve">ONE_WAY or REQUEST_CALLBACK</w:t>
            </w:r>
          </w:p>
        </w:tc>
        <w:tc>
          <w:tcPr/>
          <w:p>
            <w:pPr>
              <w:pStyle w:val="Compact"/>
            </w:pPr>
            <w:r>
              <w:t xml:space="preserve">Operation for (pushing) uploading information to consumer. An acknowledgement whether the data have been successfully received and/or processed can optionally be requested.</w:t>
            </w:r>
          </w:p>
        </w:tc>
      </w:tr>
      <w:tr>
        <w:tc>
          <w:tcPr/>
          <w:p>
            <w:pPr>
              <w:pStyle w:val="Compact"/>
            </w:pPr>
            <w:r>
              <w:t xml:space="preserve">SUBSCRIPTION</w:t>
            </w:r>
          </w:p>
        </w:tc>
        <w:tc>
          <w:tcPr/>
          <w:p>
            <w:pPr>
              <w:pStyle w:val="Compact"/>
            </w:pPr>
            <w:r>
              <w:t xml:space="preserve">Subscription</w:t>
            </w:r>
          </w:p>
        </w:tc>
        <w:tc>
          <w:tcPr/>
          <w:p>
            <w:pPr>
              <w:pStyle w:val="Compact"/>
            </w:pPr>
            <w:r>
              <w:t xml:space="preserve">ONE_WAY</w:t>
            </w:r>
          </w:p>
        </w:tc>
        <w:tc>
          <w:tcPr/>
          <w:p>
            <w:pPr>
              <w:pStyle w:val="Compact"/>
            </w:pPr>
            <w:r>
              <w:t xml:space="preserve">Operation for notification from subscription events. The implementation of a separate subscription notification operation on the AtoN Service clients is not necessarily required, depending on the choice of the underlying technology. When the subscription status information can be embedded onto the data upload operation, this operation may be omitted.</w:t>
            </w:r>
          </w:p>
        </w:tc>
      </w:tr>
    </w:tbl>
    <w:bookmarkEnd w:id="98"/>
    <w:bookmarkStart w:id="152" w:name="_8ec60c03d81b264660dc44fa5935218694efd0d"/>
    <w:p>
      <w:pPr>
        <w:pStyle w:val="Heading2"/>
      </w:pPr>
      <w:r>
        <w:t xml:space="preserve">Service Operations</w:t>
      </w:r>
    </w:p>
    <w:p>
      <w:pPr>
        <w:pStyle w:val="FirstParagraph"/>
      </w:pPr>
      <w:r>
        <w:t xml:space="preserve">This section describes the details of each service operation, along with the relevant parameter definitions. The enhanced AtoN Information is mainly provided by a service provider and is requested from a service consumer via the interfaces of the service provider. However, requirement MS2-FR005 states that a consumer must also be able to subscribe to updates of the service information. On the technical level, this may be realized in different ways. For example, the SECOM standard</w:t>
      </w:r>
      <w:r>
        <w:t xml:space="preserve"> </w:t>
      </w:r>
      <w:r>
        <w:t xml:space="preserve">[5]</w:t>
      </w:r>
      <w:r>
        <w:t xml:space="preserve"> </w:t>
      </w:r>
      <w:r>
        <w:t xml:space="preserve">requires the consumer to expose interfaces, to which new information can be pushed directly. Other technical designs may use a message broker as a middleware between consumer and provider, such that the consumer must not expose any public interfaces. For this reason, the relevant consumer operations are modelled separately at the end of this section and may be implemented by other technical means as the service provider’s operations.</w:t>
      </w:r>
    </w:p>
    <w:p>
      <w:pPr>
        <w:pStyle w:val="BodyText"/>
      </w:pPr>
      <w:r>
        <w:t xml:space="preserve">To ensure the integrity of the transmitted information, responses or requests from the service provider must be signed digitally by the service provider, independently from the signature that is applied to the S-201 dataset itself. The transmitted data may also be encrypted for transport. The authentication mechanism for service consumers is left as an implementation decision to the service provider.</w:t>
      </w:r>
    </w:p>
    <w:p>
      <w:pPr>
        <w:pStyle w:val="BodyText"/>
      </w:pPr>
      <w:r>
        <w:t xml:space="preserve">Furthermore, operations that are used internally by an Enhanced AtoN Information service provider to transfer enhanced AtoN information datasets from an internal information management system to the specified service are not discussed, as they are specific to those systems and not relevant for consumers of the service.</w:t>
      </w:r>
    </w:p>
    <w:p>
      <w:pPr>
        <w:pStyle w:val="BodyText"/>
      </w:pPr>
      <w:r>
        <w:t xml:space="preserve">This section covers only the static design description, while the dynamic design (behaviour) is described in Section 7. The operations are designed to be compliant to the SECOM standard on a basic level. However, the SECOM standard explicitly prescribes the usage of certain technologies (such as REST). Therefore, this service specification provides an abstraction layer above SECOM that makes it possible to also realize the operations with different technology stacks.</w:t>
      </w:r>
    </w:p>
    <w:bookmarkStart w:id="106" w:name="_1d9eb138c247f2be468b221ee477c5d4f6f2a1f"/>
    <w:p>
      <w:pPr>
        <w:pStyle w:val="Heading3"/>
      </w:pPr>
      <w:r>
        <w:t xml:space="preserve">Get Operation</w:t>
      </w:r>
    </w:p>
    <w:p>
      <w:pPr>
        <w:pStyle w:val="FirstParagraph"/>
      </w:pPr>
      <w:r>
        <w:t xml:space="preserve">The</w:t>
      </w:r>
      <w:r>
        <w:t xml:space="preserve"> </w:t>
      </w:r>
      <w:r>
        <w:rPr>
          <w:i/>
          <w:iCs/>
        </w:rPr>
        <w:t xml:space="preserve">Get</w:t>
      </w:r>
      <w:r>
        <w:t xml:space="preserve"> </w:t>
      </w:r>
      <w:r>
        <w:t xml:space="preserve">operation is used by service consumers for filtering and retrieving enhanced AtoN information from a service provider, e.g. S-201 datasets that are applicable for a specified geographical area. The consumer can also filter the requested S-201 dataset results by a specific dataset reference identifier, a time period etc.</w:t>
      </w:r>
    </w:p>
    <w:bookmarkStart w:id="102" w:name="_504ba3b37c3b80fc806851828d5f3dcf9d507eb"/>
    <w:p>
      <w:pPr>
        <w:pStyle w:val="CaptionedFigure"/>
      </w:pPr>
      <w:r>
        <w:drawing>
          <wp:inline>
            <wp:extent cx="4857750" cy="1412204"/>
            <wp:effectExtent b="0" l="0" r="0" t="0"/>
            <wp:docPr descr="Get operation." title="" id="100" name="Picture"/>
            <a:graphic>
              <a:graphicData uri="http://schemas.openxmlformats.org/drawingml/2006/picture">
                <pic:pic>
                  <pic:nvPicPr>
                    <pic:cNvPr descr="source/guideline/../../resources/GetInterface.png" id="101" name="Picture"/>
                    <pic:cNvPicPr>
                      <a:picLocks noChangeArrowheads="1" noChangeAspect="1"/>
                    </pic:cNvPicPr>
                  </pic:nvPicPr>
                  <pic:blipFill>
                    <a:blip r:embed="rId99"/>
                    <a:stretch>
                      <a:fillRect/>
                    </a:stretch>
                  </pic:blipFill>
                  <pic:spPr bwMode="auto">
                    <a:xfrm>
                      <a:off x="0" y="0"/>
                      <a:ext cx="4857750" cy="1412204"/>
                    </a:xfrm>
                    <a:prstGeom prst="rect">
                      <a:avLst/>
                    </a:prstGeom>
                    <a:noFill/>
                    <a:ln w="9525">
                      <a:noFill/>
                      <a:headEnd/>
                      <a:tailEnd/>
                    </a:ln>
                  </pic:spPr>
                </pic:pic>
              </a:graphicData>
            </a:graphic>
          </wp:inline>
        </w:drawing>
      </w:r>
    </w:p>
    <w:p>
      <w:pPr>
        <w:pStyle w:val="ImageCaption"/>
      </w:pPr>
      <w:r>
        <w:t xml:space="preserve">Get operation.</w:t>
      </w:r>
    </w:p>
    <w:bookmarkEnd w:id="102"/>
    <w:bookmarkStart w:id="103" w:name="_3239f3487a37edf19db784eb271e64b3b5f2c7c"/>
    <w:p>
      <w:pPr>
        <w:pStyle w:val="Heading4"/>
      </w:pPr>
      <w:r>
        <w:t xml:space="preserve">Operation Functionality</w:t>
      </w:r>
    </w:p>
    <w:p>
      <w:pPr>
        <w:pStyle w:val="FirstParagraph"/>
      </w:pPr>
      <w:r>
        <w:t xml:space="preserve">This operation can be used for filtering and retrieving S-201 datasets from a service provider. It follows a request-response paradigm (REQUEST_RESPONSE), where a client queries the server, and based on a set of filtering criteria, receives an appropriate response back. The service response must be packaged as an S-100 Exchange Set, which contains all applicable S-201 datasets that match all the provided operation parameters, alongside any necessary metadata and support information. Other packaging formats are not supported by ECDIS and therefore are not mandated in this service specification. Each S-201 dataset contained in the response should include all enhanced AtoN information entries allocated to it,</w:t>
      </w:r>
      <w:r>
        <w:t xml:space="preserve"> </w:t>
      </w:r>
      <w:r>
        <w:rPr>
          <w:b/>
          <w:bCs/>
        </w:rPr>
        <w:t xml:space="preserve">not</w:t>
      </w:r>
      <w:r>
        <w:t xml:space="preserve"> </w:t>
      </w:r>
      <w:r>
        <w:t xml:space="preserve">just the ones matching the operation parameters.</w:t>
      </w:r>
    </w:p>
    <w:p>
      <w:pPr>
        <w:pStyle w:val="BodyText"/>
      </w:pPr>
      <w:r>
        <w:t xml:space="preserve">If multiple operation parameters are provided, only the results matching all requested filters are to be returned. If no operation parameters are provided, the response should include all datasets currently made available by the service provider. A service provider may offer different encodings of enhanced AtoN information in accordance with the S-100 standard, which can be specified as an enumeration (XML/GML or binary). A service provider is required to offer at least one of the available encodings.</w:t>
      </w:r>
    </w:p>
    <w:p>
      <w:pPr>
        <w:pStyle w:val="BodyText"/>
      </w:pPr>
      <w:r>
        <w:t xml:space="preserve">All instances of services providing enhanced AtoN information are required to support all operation parameters presented in the following Section 4.2.1.2, apart from the</w:t>
      </w:r>
      <w:r>
        <w:t xml:space="preserve"> </w:t>
      </w:r>
      <w:r>
        <w:rPr>
          <w:rStyle w:val="VerbatimChar"/>
        </w:rPr>
        <w:t xml:space="preserve">&lt;TimePeriod&gt;</w:t>
      </w:r>
      <w:r>
        <w:t xml:space="preserve"> </w:t>
      </w:r>
      <w:r>
        <w:t xml:space="preserve">and</w:t>
      </w:r>
      <w:r>
        <w:t xml:space="preserve"> </w:t>
      </w:r>
      <w:r>
        <w:rPr>
          <w:rStyle w:val="VerbatimChar"/>
        </w:rPr>
        <w:t xml:space="preserve">&lt;AtoNDetails&gt;</w:t>
      </w:r>
      <w:r>
        <w:t xml:space="preserve"> </w:t>
      </w:r>
      <w:r>
        <w:t xml:space="preserve">which are optional. The specific parameter encodings are left to be decided by the service technical design specification. In most cases the parameter description provides an adequate definition.</w:t>
      </w:r>
    </w:p>
    <w:p>
      <w:pPr>
        <w:pStyle w:val="BodyText"/>
      </w:pPr>
      <w:r>
        <w:t xml:space="preserve">The service also supports the AtoN status indication feature type included in the S-201 data product specification, as described in Use-Case #1. By default, the service will return S-201 datasets that only contain the status indication information for the involved AtoN. If the service provider however chooses so, the optional</w:t>
      </w:r>
      <w:r>
        <w:t xml:space="preserve"> </w:t>
      </w:r>
      <w:r>
        <w:rPr>
          <w:rStyle w:val="VerbatimChar"/>
        </w:rPr>
        <w:t xml:space="preserve">&lt;AtoNDetails&gt;</w:t>
      </w:r>
      <w:r>
        <w:t xml:space="preserve"> </w:t>
      </w:r>
      <w:r>
        <w:t xml:space="preserve">input parameter can be utilised to provide access to the full enhanced AtoN information (including the AtoN structure/equipment features) for the respective datasets. These are expected to be much larger and the AtoN feature information may not be processed for portrayal on the ECDIS. If the full AtoN feature information is requested but not available, the service should respond with the default datasets containing only the AtoN status indication features.</w:t>
      </w:r>
    </w:p>
    <w:bookmarkEnd w:id="103"/>
    <w:bookmarkStart w:id="105" w:name="_78b6615e0a365e3aacd7bcbc1e1850784773a51"/>
    <w:p>
      <w:pPr>
        <w:pStyle w:val="Heading4"/>
      </w:pPr>
      <w:r>
        <w:t xml:space="preserve">Operation Parameters</w:t>
      </w:r>
    </w:p>
    <w:bookmarkStart w:id="104" w:name="_7d995f6f43475c240ab80a8469096d7a07175d9"/>
    <w:p>
      <w:pPr>
        <w:pStyle w:val="TableCaption"/>
      </w:pPr>
      <w:r>
        <w:t xml:space="preserve">The Get Operation Parameters.</w:t>
      </w:r>
    </w:p>
    <w:tbl>
      <w:tblPr>
        <w:tblStyle w:val="Table"/>
        <w:tblW w:type="pct" w:w="5000"/>
        <w:tblLayout w:type="fixed"/>
        <w:tblLook w:firstRow="1" w:lastRow="0" w:firstColumn="0" w:lastColumn="0" w:noHBand="0" w:noVBand="0" w:val="0020"/>
        <w:tblCaption w:val="The Get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DatasetReference</w:t>
            </w:r>
          </w:p>
        </w:tc>
        <w:tc>
          <w:tcPr/>
          <w:p>
            <w:pPr>
              <w:pStyle w:val="Compact"/>
            </w:pPr>
            <w:r>
              <w:t xml:space="preserve">See technical design</w:t>
            </w:r>
          </w:p>
        </w:tc>
        <w:tc>
          <w:tcPr/>
          <w:p>
            <w:pPr>
              <w:pStyle w:val="Compact"/>
            </w:pPr>
            <w:r>
              <w:t xml:space="preserve">0..1</w:t>
            </w:r>
          </w:p>
        </w:tc>
        <w:tc>
          <w:tcPr/>
          <w:p>
            <w:pPr>
              <w:pStyle w:val="Compact"/>
            </w:pPr>
            <w:r>
              <w:t xml:space="preserve">The dataset identifier of a specific S-201 dataset. A list of all supported references can be retrieved via Get Summary operation. If no references are provided, it’s up to the service to decide what to return.</w:t>
            </w:r>
          </w:p>
        </w:tc>
      </w:tr>
      <w:tr>
        <w:tc>
          <w:tcPr/>
          <w:p>
            <w:pPr>
              <w:pStyle w:val="Compact"/>
            </w:pPr>
            <w:r>
              <w:t xml:space="preserve">Geometry</w:t>
            </w:r>
          </w:p>
        </w:tc>
        <w:tc>
          <w:tcPr/>
          <w:p>
            <w:pPr>
              <w:pStyle w:val="Compact"/>
            </w:pPr>
            <w:r>
              <w:t xml:space="preserve">See technical design</w:t>
            </w:r>
          </w:p>
        </w:tc>
        <w:tc>
          <w:tcPr/>
          <w:p>
            <w:pPr>
              <w:pStyle w:val="Compact"/>
            </w:pPr>
            <w:r>
              <w:t xml:space="preserve">0..1</w:t>
            </w:r>
          </w:p>
        </w:tc>
        <w:tc>
          <w:tcPr/>
          <w:p>
            <w:pPr>
              <w:pStyle w:val="Compact"/>
            </w:pPr>
            <w:r>
              <w:t xml:space="preserve">Geometry condition for geolocated information objects. This can be used to filter on geometric shapes (e.g. filter enhanced AtoN information S-201 datasets by a bounding box).</w:t>
            </w:r>
          </w:p>
        </w:tc>
      </w:tr>
      <w:tr>
        <w:tc>
          <w:tcPr/>
          <w:p>
            <w:pPr>
              <w:pStyle w:val="Compact"/>
            </w:pPr>
            <w:r>
              <w:t xml:space="preserve">unlocode</w:t>
            </w:r>
          </w:p>
        </w:tc>
        <w:tc>
          <w:tcPr/>
          <w:p>
            <w:pPr>
              <w:pStyle w:val="Compact"/>
            </w:pPr>
            <w:r>
              <w:t xml:space="preserve">See technical design</w:t>
            </w:r>
          </w:p>
        </w:tc>
        <w:tc>
          <w:tcPr/>
          <w:p>
            <w:pPr>
              <w:pStyle w:val="Compact"/>
            </w:pPr>
            <w:r>
              <w:t xml:space="preserve">0..1</w:t>
            </w:r>
          </w:p>
        </w:tc>
        <w:tc>
          <w:tcPr/>
          <w:p>
            <w:pPr>
              <w:pStyle w:val="Compact"/>
            </w:pPr>
            <w:r>
              <w:t xml:space="preserve">UN/LOCODE (United Nations Code for Trade and Transport Locations) of a defined object (e.g., “CN” for China).</w:t>
            </w:r>
          </w:p>
        </w:tc>
      </w:tr>
      <w:tr>
        <w:tc>
          <w:tcPr/>
          <w:p>
            <w:pPr>
              <w:pStyle w:val="Compact"/>
            </w:pPr>
            <w:r>
              <w:t xml:space="preserve">TimePeriod (Optional)</w:t>
            </w:r>
          </w:p>
        </w:tc>
        <w:tc>
          <w:tcPr/>
          <w:p>
            <w:pPr>
              <w:pStyle w:val="Compact"/>
            </w:pPr>
            <w:r>
              <w:t xml:space="preserve">See technical design</w:t>
            </w:r>
          </w:p>
        </w:tc>
        <w:tc>
          <w:tcPr/>
          <w:p>
            <w:pPr>
              <w:pStyle w:val="Compact"/>
            </w:pPr>
            <w:r>
              <w:t xml:space="preserve">0..1</w:t>
            </w:r>
          </w:p>
        </w:tc>
        <w:tc>
          <w:tcPr/>
          <w:p>
            <w:pPr>
              <w:pStyle w:val="Compact"/>
            </w:pPr>
            <w:r>
              <w:t xml:space="preserve">An optional parameter denoting the time period (ValidFrom, ValidTo) in which a dataset is valid and becomes subject to changes. The service response is expected to encompass all modifications that occurred within the specified interval and should be provided in the form of complete datasets or delta files, adhering to the specifications outlined in the S-100 data model specification.</w:t>
            </w:r>
          </w:p>
        </w:tc>
      </w:tr>
      <w:tr>
        <w:tc>
          <w:tcPr/>
          <w:p>
            <w:pPr>
              <w:pStyle w:val="Compact"/>
            </w:pPr>
            <w:r>
              <w:t xml:space="preserve">AtoNDetails (Optional)</w:t>
            </w:r>
          </w:p>
        </w:tc>
        <w:tc>
          <w:tcPr/>
          <w:p>
            <w:pPr>
              <w:pStyle w:val="Compact"/>
            </w:pPr>
            <w:r>
              <w:t xml:space="preserve">Boolean</w:t>
            </w:r>
          </w:p>
        </w:tc>
        <w:tc>
          <w:tcPr/>
          <w:p>
            <w:pPr>
              <w:pStyle w:val="Compact"/>
            </w:pPr>
            <w:r>
              <w:t xml:space="preserve">0..1</w:t>
            </w:r>
          </w:p>
        </w:tc>
        <w:tc>
          <w:tcPr/>
          <w:p>
            <w:pPr>
              <w:pStyle w:val="Compact"/>
            </w:pPr>
            <w:r>
              <w:t xml:space="preserve">Requests that the service returns datasets which include the latest AtoN design state details (not just the default AtoN status indication features), if available.</w:t>
            </w:r>
          </w:p>
        </w:tc>
      </w:tr>
    </w:tbl>
    <w:bookmarkEnd w:id="104"/>
    <w:bookmarkEnd w:id="105"/>
    <w:bookmarkEnd w:id="106"/>
    <w:bookmarkStart w:id="115" w:name="_6d0b26ff9f6bb30d28900da73f0b714df9b8eec"/>
    <w:p>
      <w:pPr>
        <w:pStyle w:val="Heading3"/>
      </w:pPr>
      <w:r>
        <w:t xml:space="preserve">Get Summary Operation</w:t>
      </w:r>
    </w:p>
    <w:p>
      <w:pPr>
        <w:pStyle w:val="FirstParagraph"/>
      </w:pPr>
      <w:r>
        <w:t xml:space="preserve">The</w:t>
      </w:r>
      <w:r>
        <w:t xml:space="preserve"> </w:t>
      </w:r>
      <w:r>
        <w:rPr>
          <w:i/>
          <w:iCs/>
        </w:rPr>
        <w:t xml:space="preserve">Get Summary operation</w:t>
      </w:r>
      <w:r>
        <w:t xml:space="preserve"> </w:t>
      </w:r>
      <w:r>
        <w:t xml:space="preserve">is used by service consumers for retrieving a list of summary information (without the actual dataset contents), in order to discover which S-201 datasets are being currently made available (and are accessible) by a service provider. The service provider will respond by listing the available (and accessible) S-201 datasets that are of interest to the consumer. This list should only contain summary information on each dataset, not the dataset content itself. The dataset reference identifiers can be used to retrieve the full S-201 datasets via the Get operation. The consumer can filter the requested S-201 dataset summary results by a specific dataset identifier reference, a geometry, a time period etc.</w:t>
      </w:r>
    </w:p>
    <w:bookmarkStart w:id="110" w:name="_32203145c7b157dcfcb13050112c246bcbf7c70"/>
    <w:p>
      <w:pPr>
        <w:pStyle w:val="CaptionedFigure"/>
      </w:pPr>
      <w:r>
        <w:drawing>
          <wp:inline>
            <wp:extent cx="6477000" cy="1865063"/>
            <wp:effectExtent b="0" l="0" r="0" t="0"/>
            <wp:docPr descr="Get Summary operation." title="" id="108" name="Picture"/>
            <a:graphic>
              <a:graphicData uri="http://schemas.openxmlformats.org/drawingml/2006/picture">
                <pic:pic>
                  <pic:nvPicPr>
                    <pic:cNvPr descr="source/guideline/../../resources/GetSummaryInterface.png" id="109" name="Picture"/>
                    <pic:cNvPicPr>
                      <a:picLocks noChangeArrowheads="1" noChangeAspect="1"/>
                    </pic:cNvPicPr>
                  </pic:nvPicPr>
                  <pic:blipFill>
                    <a:blip r:embed="rId107"/>
                    <a:stretch>
                      <a:fillRect/>
                    </a:stretch>
                  </pic:blipFill>
                  <pic:spPr bwMode="auto">
                    <a:xfrm>
                      <a:off x="0" y="0"/>
                      <a:ext cx="6477000" cy="1865063"/>
                    </a:xfrm>
                    <a:prstGeom prst="rect">
                      <a:avLst/>
                    </a:prstGeom>
                    <a:noFill/>
                    <a:ln w="9525">
                      <a:noFill/>
                      <a:headEnd/>
                      <a:tailEnd/>
                    </a:ln>
                  </pic:spPr>
                </pic:pic>
              </a:graphicData>
            </a:graphic>
          </wp:inline>
        </w:drawing>
      </w:r>
    </w:p>
    <w:p>
      <w:pPr>
        <w:pStyle w:val="ImageCaption"/>
      </w:pPr>
      <w:r>
        <w:t xml:space="preserve">Get Summary operation.</w:t>
      </w:r>
    </w:p>
    <w:bookmarkEnd w:id="110"/>
    <w:bookmarkStart w:id="111" w:name="_5baf5dee8c3a12ade3116800037190120a5b88d"/>
    <w:p>
      <w:pPr>
        <w:pStyle w:val="Heading4"/>
      </w:pPr>
      <w:r>
        <w:t xml:space="preserve">Operation Functionality</w:t>
      </w:r>
    </w:p>
    <w:p>
      <w:pPr>
        <w:pStyle w:val="FirstParagraph"/>
      </w:pPr>
      <w:r>
        <w:t xml:space="preserve">The operation can be used for filtering and retrieving the summary information regarding the S-201 datasets that are currently made available and accessible by the service provider. This operation is typically used to conserve bandwidth and make the query process faster, by initially retrieving only the summary information, and then only querying specific datasets from the service provider via the Get operation. It follows a request-response paradigm (REQUEST_RESPONSE), where a client queries the server, and based on a set of filtering criteria receives an appropriate response back. The server response should be formatted as a list of dataset summary objects. Each object contained in the list should</w:t>
      </w:r>
      <w:r>
        <w:t xml:space="preserve"> </w:t>
      </w:r>
      <w:r>
        <w:rPr>
          <w:b/>
          <w:bCs/>
        </w:rPr>
        <w:t xml:space="preserve">only</w:t>
      </w:r>
      <w:r>
        <w:t xml:space="preserve"> </w:t>
      </w:r>
      <w:r>
        <w:t xml:space="preserve">include summary information on the corresponding S-201 dataset, such as the data reference identifier, the status, a short description and the dataset size.</w:t>
      </w:r>
    </w:p>
    <w:p>
      <w:pPr>
        <w:pStyle w:val="BodyText"/>
      </w:pPr>
      <w:r>
        <w:t xml:space="preserve">If multiple operation parameters are provided, only the results that match all requested filters should be included. If no parameters are given, the return should include all available datasets.</w:t>
      </w:r>
    </w:p>
    <w:p>
      <w:pPr>
        <w:pStyle w:val="BodyText"/>
      </w:pPr>
      <w:r>
        <w:t xml:space="preserve">All instances of services providing enhanced AtoN information are required to support all operation parameters presented in the following Section 4.2.2.2, apart from the</w:t>
      </w:r>
      <w:r>
        <w:t xml:space="preserve"> </w:t>
      </w:r>
      <w:r>
        <w:rPr>
          <w:rStyle w:val="VerbatimChar"/>
        </w:rPr>
        <w:t xml:space="preserve">&lt;TimePeriod&gt;</w:t>
      </w:r>
      <w:r>
        <w:t xml:space="preserve"> </w:t>
      </w:r>
      <w:r>
        <w:t xml:space="preserve">and</w:t>
      </w:r>
      <w:r>
        <w:t xml:space="preserve"> </w:t>
      </w:r>
      <w:r>
        <w:rPr>
          <w:rStyle w:val="VerbatimChar"/>
        </w:rPr>
        <w:t xml:space="preserve">&lt;AtoNDetails&gt;</w:t>
      </w:r>
      <w:r>
        <w:t xml:space="preserve"> </w:t>
      </w:r>
      <w:r>
        <w:t xml:space="preserve">which are optional. The specific encodings are left to be decided by the respective service technical design specification. In most cases the parameter description provides an adequate definition.</w:t>
      </w:r>
    </w:p>
    <w:p>
      <w:pPr>
        <w:pStyle w:val="BodyText"/>
      </w:pPr>
      <w:r>
        <w:t xml:space="preserve">As discussed previously, the service also supports the AtoN status indication feature type included in S-201, also covering Use-Case #1. Therefore, by default the service will return the summary information of the S-201 datasets that only contain the status indication information for the included AtoN. If the service provider however chooses so, the optional</w:t>
      </w:r>
      <w:r>
        <w:t xml:space="preserve"> </w:t>
      </w:r>
      <w:r>
        <w:rPr>
          <w:rStyle w:val="VerbatimChar"/>
        </w:rPr>
        <w:t xml:space="preserve">&lt;AtoNDetails&gt;</w:t>
      </w:r>
      <w:r>
        <w:t xml:space="preserve"> </w:t>
      </w:r>
      <w:r>
        <w:t xml:space="preserve">input parameter can be utilised to return the summary information for the full datasets, including the AtoN structure/equipment features. If the full AtoN feature information is requested but not available, the service should respond with the summary of the default datasets containing only the AtoN status indication features.</w:t>
      </w:r>
    </w:p>
    <w:bookmarkEnd w:id="111"/>
    <w:bookmarkStart w:id="114" w:name="_bc9448d5941feda8033efdd14be604d16d06e93"/>
    <w:p>
      <w:pPr>
        <w:pStyle w:val="Heading4"/>
      </w:pPr>
      <w:r>
        <w:t xml:space="preserve">Operation Parameters</w:t>
      </w:r>
    </w:p>
    <w:bookmarkStart w:id="112" w:name="_005fd55acdcdf87d2c3df18ffc3c98e2b3baee3"/>
    <w:p>
      <w:pPr>
        <w:pStyle w:val="TableCaption"/>
      </w:pPr>
      <w:r>
        <w:t xml:space="preserve">The Get Summary Operation Parameters.</w:t>
      </w:r>
    </w:p>
    <w:tbl>
      <w:tblPr>
        <w:tblStyle w:val="Table"/>
        <w:tblW w:type="pct" w:w="5000"/>
        <w:tblLayout w:type="fixed"/>
        <w:tblLook w:firstRow="1" w:lastRow="0" w:firstColumn="0" w:lastColumn="0" w:noHBand="0" w:noVBand="0" w:val="0020"/>
        <w:tblCaption w:val="The Get Summary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DatasetReference</w:t>
            </w:r>
          </w:p>
        </w:tc>
        <w:tc>
          <w:tcPr/>
          <w:p>
            <w:pPr>
              <w:pStyle w:val="Compact"/>
            </w:pPr>
            <w:r>
              <w:t xml:space="preserve">See technical design</w:t>
            </w:r>
          </w:p>
        </w:tc>
        <w:tc>
          <w:tcPr/>
          <w:p>
            <w:pPr>
              <w:pStyle w:val="Compact"/>
            </w:pPr>
            <w:r>
              <w:t xml:space="preserve">0..1</w:t>
            </w:r>
          </w:p>
        </w:tc>
        <w:tc>
          <w:tcPr/>
          <w:p>
            <w:pPr>
              <w:pStyle w:val="Compact"/>
            </w:pPr>
            <w:r>
              <w:t xml:space="preserve">The dataset identifier of a specific S-201 dataset. If no references are provided, it’s up to the service to decide what to return.</w:t>
            </w:r>
          </w:p>
        </w:tc>
      </w:tr>
      <w:tr>
        <w:tc>
          <w:tcPr/>
          <w:p>
            <w:pPr>
              <w:pStyle w:val="Compact"/>
            </w:pPr>
            <w:r>
              <w:t xml:space="preserve">Geometry</w:t>
            </w:r>
          </w:p>
        </w:tc>
        <w:tc>
          <w:tcPr/>
          <w:p>
            <w:pPr>
              <w:pStyle w:val="Compact"/>
            </w:pPr>
            <w:r>
              <w:t xml:space="preserve">See technical design</w:t>
            </w:r>
          </w:p>
        </w:tc>
        <w:tc>
          <w:tcPr/>
          <w:p>
            <w:pPr>
              <w:pStyle w:val="Compact"/>
            </w:pPr>
            <w:r>
              <w:t xml:space="preserve">0..1</w:t>
            </w:r>
          </w:p>
        </w:tc>
        <w:tc>
          <w:tcPr/>
          <w:p>
            <w:pPr>
              <w:pStyle w:val="Compact"/>
            </w:pPr>
            <w:r>
              <w:t xml:space="preserve">Geometry condition for geolocated information objects. This can be used to filter on geometric shapes (e.g. filter enhanced AtoN information by a bounding box).</w:t>
            </w:r>
          </w:p>
        </w:tc>
      </w:tr>
      <w:tr>
        <w:tc>
          <w:tcPr/>
          <w:p>
            <w:pPr>
              <w:pStyle w:val="Compact"/>
            </w:pPr>
            <w:r>
              <w:t xml:space="preserve">unlocode</w:t>
            </w:r>
          </w:p>
        </w:tc>
        <w:tc>
          <w:tcPr/>
          <w:p>
            <w:pPr>
              <w:pStyle w:val="Compact"/>
            </w:pPr>
            <w:r>
              <w:t xml:space="preserve">See technical design</w:t>
            </w:r>
          </w:p>
        </w:tc>
        <w:tc>
          <w:tcPr/>
          <w:p>
            <w:pPr>
              <w:pStyle w:val="Compact"/>
            </w:pPr>
            <w:r>
              <w:t xml:space="preserve">0..1</w:t>
            </w:r>
          </w:p>
        </w:tc>
        <w:tc>
          <w:tcPr/>
          <w:p>
            <w:pPr>
              <w:pStyle w:val="Compact"/>
            </w:pPr>
            <w:r>
              <w:t xml:space="preserve">UN/LOCODE (United Nations Code for Trade and Transport Locations) of a defined object (e.g., “CN” for China).</w:t>
            </w:r>
          </w:p>
        </w:tc>
      </w:tr>
      <w:tr>
        <w:tc>
          <w:tcPr/>
          <w:p>
            <w:pPr>
              <w:pStyle w:val="Compact"/>
            </w:pPr>
            <w:r>
              <w:t xml:space="preserve">TimePeriod (Optional)</w:t>
            </w:r>
          </w:p>
        </w:tc>
        <w:tc>
          <w:tcPr/>
          <w:p>
            <w:pPr>
              <w:pStyle w:val="Compact"/>
            </w:pPr>
            <w:r>
              <w:t xml:space="preserve">See technical design</w:t>
            </w:r>
          </w:p>
        </w:tc>
        <w:tc>
          <w:tcPr/>
          <w:p>
            <w:pPr>
              <w:pStyle w:val="Compact"/>
            </w:pPr>
            <w:r>
              <w:t xml:space="preserve">0..1</w:t>
            </w:r>
          </w:p>
        </w:tc>
        <w:tc>
          <w:tcPr/>
          <w:p>
            <w:pPr>
              <w:pStyle w:val="Compact"/>
            </w:pPr>
            <w:r>
              <w:t xml:space="preserve">An optional parameter denoting the time period (ValidFrom, ValidTo) in which a dataset is valid and becomes subject to changes. The service response should only include the S-201 datasets for which modifications occurred within the specified interval.</w:t>
            </w:r>
          </w:p>
        </w:tc>
      </w:tr>
      <w:tr>
        <w:tc>
          <w:tcPr/>
          <w:p>
            <w:pPr>
              <w:pStyle w:val="Compact"/>
            </w:pPr>
            <w:r>
              <w:t xml:space="preserve">AtoNDetails (Optional)</w:t>
            </w:r>
          </w:p>
        </w:tc>
        <w:tc>
          <w:tcPr/>
          <w:p>
            <w:pPr>
              <w:pStyle w:val="Compact"/>
            </w:pPr>
            <w:r>
              <w:t xml:space="preserve">Boolean</w:t>
            </w:r>
          </w:p>
        </w:tc>
        <w:tc>
          <w:tcPr/>
          <w:p>
            <w:pPr>
              <w:pStyle w:val="Compact"/>
            </w:pPr>
            <w:r>
              <w:t xml:space="preserve">0..1</w:t>
            </w:r>
          </w:p>
        </w:tc>
        <w:tc>
          <w:tcPr/>
          <w:p>
            <w:pPr>
              <w:pStyle w:val="Compact"/>
            </w:pPr>
            <w:r>
              <w:t xml:space="preserve">Requests that the service returns the summary for datasets which include the latest AtoN design state details (not just the default AtoN status indication features), if available.</w:t>
            </w:r>
          </w:p>
        </w:tc>
      </w:tr>
    </w:tbl>
    <w:bookmarkEnd w:id="112"/>
    <w:p/>
    <w:bookmarkStart w:id="113" w:name="_72e82e1e02481fa5571d35fe8f28c403bfca816"/>
    <w:p>
      <w:pPr>
        <w:pStyle w:val="TableCaption"/>
      </w:pPr>
      <w:r>
        <w:t xml:space="preserve">The Get Summary Operation Return Types.</w:t>
      </w:r>
    </w:p>
    <w:tbl>
      <w:tblPr>
        <w:tblStyle w:val="Table"/>
        <w:tblW w:type="pct" w:w="5000"/>
        <w:tblLayout w:type="fixed"/>
        <w:tblLook w:firstRow="1" w:lastRow="0" w:firstColumn="0" w:lastColumn="0" w:noHBand="0" w:noVBand="0" w:val="0020"/>
        <w:tblCaption w:val="The Get Summary Operation Return Types."/>
      </w:tblPr>
      <w:tblGrid>
        <w:gridCol w:w="1980"/>
        <w:gridCol w:w="1980"/>
        <w:gridCol w:w="1980"/>
        <w:gridCol w:w="1980"/>
      </w:tblGrid>
      <w:tr>
        <w:trPr>
          <w:tblHeader w:val="on"/>
        </w:trPr>
        <w:tc>
          <w:tcPr/>
          <w:p>
            <w:pPr>
              <w:pStyle w:val="Compact"/>
            </w:pPr>
            <w:r>
              <w:t xml:space="preserve">ReturnType (out)</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List of Dataset Summary Information</w:t>
            </w:r>
          </w:p>
        </w:tc>
        <w:tc>
          <w:tcPr/>
          <w:p>
            <w:pPr>
              <w:pStyle w:val="Compact"/>
            </w:pPr>
            <w:r>
              <w:t xml:space="preserve">List of dataset summary information objects. See technical design.</w:t>
            </w:r>
          </w:p>
        </w:tc>
        <w:tc>
          <w:tcPr/>
          <w:p>
            <w:pPr>
              <w:pStyle w:val="Compact"/>
            </w:pPr>
            <w:r>
              <w:t xml:space="preserve">0..*</w:t>
            </w:r>
          </w:p>
        </w:tc>
        <w:tc>
          <w:tcPr/>
          <w:p>
            <w:pPr>
              <w:pStyle w:val="Compact"/>
            </w:pPr>
            <w:r>
              <w:t xml:space="preserve">Metadata of available enhanced AtoN information, that match the search parameters.</w:t>
            </w:r>
          </w:p>
        </w:tc>
      </w:tr>
    </w:tbl>
    <w:bookmarkEnd w:id="113"/>
    <w:bookmarkEnd w:id="114"/>
    <w:bookmarkEnd w:id="115"/>
    <w:bookmarkStart w:id="124" w:name="_d3339b598aae3809e0033d7f9c6e49d56b9aee1"/>
    <w:p>
      <w:pPr>
        <w:pStyle w:val="Heading3"/>
      </w:pPr>
      <w:r>
        <w:t xml:space="preserve">Subscription Operation</w:t>
      </w:r>
    </w:p>
    <w:p>
      <w:pPr>
        <w:pStyle w:val="FirstParagraph"/>
      </w:pPr>
      <w:r>
        <w:t xml:space="preserve">The purpose of this operation is to facilitate subscriptions initiated by service consumers on specific enhanced AtoN information datasets. The information a service consumer subscribes to, can either determined by the provided operation parameters, or decided upon by the service provider.</w:t>
      </w:r>
    </w:p>
    <w:bookmarkStart w:id="119" w:name="_a9b64d1ba177956511551c427df313b171f9e93"/>
    <w:p>
      <w:pPr>
        <w:pStyle w:val="CaptionedFigure"/>
      </w:pPr>
      <w:r>
        <w:drawing>
          <wp:inline>
            <wp:extent cx="4857750" cy="1459082"/>
            <wp:effectExtent b="0" l="0" r="0" t="0"/>
            <wp:docPr descr="Subscription operation." title="" id="117" name="Picture"/>
            <a:graphic>
              <a:graphicData uri="http://schemas.openxmlformats.org/drawingml/2006/picture">
                <pic:pic>
                  <pic:nvPicPr>
                    <pic:cNvPr descr="source/guideline/../../resources/SubscriptionInterface.png" id="118" name="Picture"/>
                    <pic:cNvPicPr>
                      <a:picLocks noChangeArrowheads="1" noChangeAspect="1"/>
                    </pic:cNvPicPr>
                  </pic:nvPicPr>
                  <pic:blipFill>
                    <a:blip r:embed="rId116"/>
                    <a:stretch>
                      <a:fillRect/>
                    </a:stretch>
                  </pic:blipFill>
                  <pic:spPr bwMode="auto">
                    <a:xfrm>
                      <a:off x="0" y="0"/>
                      <a:ext cx="4857750" cy="1459082"/>
                    </a:xfrm>
                    <a:prstGeom prst="rect">
                      <a:avLst/>
                    </a:prstGeom>
                    <a:noFill/>
                    <a:ln w="9525">
                      <a:noFill/>
                      <a:headEnd/>
                      <a:tailEnd/>
                    </a:ln>
                  </pic:spPr>
                </pic:pic>
              </a:graphicData>
            </a:graphic>
          </wp:inline>
        </w:drawing>
      </w:r>
    </w:p>
    <w:p>
      <w:pPr>
        <w:pStyle w:val="ImageCaption"/>
      </w:pPr>
      <w:r>
        <w:t xml:space="preserve">Subscription operation.</w:t>
      </w:r>
    </w:p>
    <w:bookmarkEnd w:id="119"/>
    <w:bookmarkStart w:id="120" w:name="_aa6e759c598bd66a23975841cd89ce2c5fe398a"/>
    <w:p>
      <w:pPr>
        <w:pStyle w:val="Heading4"/>
      </w:pPr>
      <w:r>
        <w:t xml:space="preserve">Operation Functionality</w:t>
      </w:r>
    </w:p>
    <w:p>
      <w:pPr>
        <w:pStyle w:val="FirstParagraph"/>
      </w:pPr>
      <w:r>
        <w:t xml:space="preserve">The Subscription operation can be used by service consumers to subscribe to a specific set of S-201 datasets. The datasets that are covered by each subscription, are limited by the provided operation parameters, which include the dataset reference identifier. Note that the dataset reference identifiers of the S-201 datasets can be retrieved by the Get Summary operation. If no operational parameters are specified, the consumer is assumed to subscribe to updates on all available and valid datasets.</w:t>
      </w:r>
    </w:p>
    <w:p>
      <w:pPr>
        <w:pStyle w:val="BodyText"/>
      </w:pPr>
      <w:r>
        <w:t xml:space="preserve">The operation follows a request-callback paradigm (REQUEST_CALLBACK), in which the consumers register their interest in a set of enhanced AtoN information and receive updates whenever one of the corresponding S-201 datasets change. The subscription can be cancelled through the Remove Subscription operation or can be limited by specifying a subscription period.</w:t>
      </w:r>
    </w:p>
    <w:p>
      <w:pPr>
        <w:pStyle w:val="BodyText"/>
      </w:pPr>
      <w:r>
        <w:t xml:space="preserve">While on an active subscription, the service consumers will receive enhanced AtoN information packaged as an S-100 Exchange Set, which includes either the complete S-201 datasets for which updates exist, or just the incurred changes in the form of delta files, as these are defined in the S-100 data model specification</w:t>
      </w:r>
      <w:r>
        <w:t xml:space="preserve"> </w:t>
      </w:r>
      <w:r>
        <w:t xml:space="preserve">[6]</w:t>
      </w:r>
      <w:r>
        <w:t xml:space="preserve">. In the latter case, it is recommended that before a consumer subscribes to updates, it initially requests all applicable S-201 datasets via the Get operation.</w:t>
      </w:r>
    </w:p>
    <w:p>
      <w:pPr>
        <w:pStyle w:val="BodyText"/>
      </w:pPr>
      <w:r>
        <w:t xml:space="preserve">This operation consumes the following consumer operations:</w:t>
      </w:r>
    </w:p>
    <w:p>
      <w:pPr>
        <w:pStyle w:val="Compact"/>
        <w:numPr>
          <w:ilvl w:val="0"/>
          <w:numId w:val="1012"/>
        </w:numPr>
      </w:pPr>
      <w:r>
        <w:t xml:space="preserve">Upload</w:t>
      </w:r>
    </w:p>
    <w:p>
      <w:pPr>
        <w:pStyle w:val="Compact"/>
        <w:numPr>
          <w:ilvl w:val="0"/>
          <w:numId w:val="1012"/>
        </w:numPr>
      </w:pPr>
      <w:r>
        <w:t xml:space="preserve">Subscription Notification</w:t>
      </w:r>
    </w:p>
    <w:p>
      <w:pPr>
        <w:pStyle w:val="FirstParagraph"/>
      </w:pPr>
      <w:r>
        <w:t xml:space="preserve">The Upload consumer operation is utilised by the service provider to push the incurred S-201 dataset changes to the subscribed service consumer. The Subscription Notification operation on the other hand, is used to inform the consumer that on the status of the subscription, i.e. when it has been successfully activated or removed. More information on this operation can be found in the Section 7, describing the dynamic behaviour of the Subscription operation. Note that for each new subscription, a subscription identifier should be made available to the consumer.</w:t>
      </w:r>
    </w:p>
    <w:p>
      <w:pPr>
        <w:pStyle w:val="BodyText"/>
      </w:pPr>
      <w:r>
        <w:t xml:space="preserve">All instances of services providing enhanced AtoN information are required to support all operation parameters presented in the following Section 4.2.3.2, apart from</w:t>
      </w:r>
      <w:r>
        <w:t xml:space="preserve"> </w:t>
      </w:r>
      <w:r>
        <w:rPr>
          <w:rStyle w:val="VerbatimChar"/>
        </w:rPr>
        <w:t xml:space="preserve">&lt;AtoNDetails&gt;</w:t>
      </w:r>
      <w:r>
        <w:t xml:space="preserve"> </w:t>
      </w:r>
      <w:r>
        <w:t xml:space="preserve">which is optional. The specific encodings are left to be decided by the service technical design specification. In most cases the parameter description provides an adequate definition.</w:t>
      </w:r>
    </w:p>
    <w:p>
      <w:pPr>
        <w:pStyle w:val="BodyText"/>
      </w:pPr>
      <w:r>
        <w:t xml:space="preserve">As discussed previously, the service also supports the AtoN status indication feature type included in the S-201, also covering Use-Case #1. Therefore, by default the service will return the S-201 dataset updates that only contain the status indication information for the involved AtoN. If the service provider however chooses so, the optional</w:t>
      </w:r>
      <w:r>
        <w:t xml:space="preserve"> </w:t>
      </w:r>
      <w:r>
        <w:rPr>
          <w:rStyle w:val="VerbatimChar"/>
        </w:rPr>
        <w:t xml:space="preserve">&lt;AtoNDetails&gt;</w:t>
      </w:r>
      <w:r>
        <w:t xml:space="preserve"> </w:t>
      </w:r>
      <w:r>
        <w:t xml:space="preserve">input parameter can be utilised to allow subscriptions to the full datasets, including the AtoN structure/equipment features. If the full AtoN feature information is requested but not available, the service should respond with the default datasets containing only the AtoN status indication features.</w:t>
      </w:r>
    </w:p>
    <w:bookmarkEnd w:id="120"/>
    <w:bookmarkStart w:id="123" w:name="_f236ddb4e87f275a17f21d07069515c1539ecbf"/>
    <w:p>
      <w:pPr>
        <w:pStyle w:val="Heading4"/>
      </w:pPr>
      <w:r>
        <w:t xml:space="preserve">Operation Parameters</w:t>
      </w:r>
    </w:p>
    <w:bookmarkStart w:id="121" w:name="_c90fac741592ba5f757ac023d8ebf9a4a481e45"/>
    <w:p>
      <w:pPr>
        <w:pStyle w:val="TableCaption"/>
      </w:pPr>
      <w:r>
        <w:t xml:space="preserve">The Subscription Operation Parameters.</w:t>
      </w:r>
    </w:p>
    <w:tbl>
      <w:tblPr>
        <w:tblStyle w:val="Table"/>
        <w:tblW w:type="pct" w:w="5000"/>
        <w:tblLayout w:type="fixed"/>
        <w:tblLook w:firstRow="1" w:lastRow="0" w:firstColumn="0" w:lastColumn="0" w:noHBand="0" w:noVBand="0" w:val="0020"/>
        <w:tblCaption w:val="The Subscrip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DatasetReference</w:t>
            </w:r>
          </w:p>
        </w:tc>
        <w:tc>
          <w:tcPr/>
          <w:p>
            <w:pPr>
              <w:pStyle w:val="Compact"/>
            </w:pPr>
            <w:r>
              <w:t xml:space="preserve">See technical design</w:t>
            </w:r>
          </w:p>
        </w:tc>
        <w:tc>
          <w:tcPr/>
          <w:p>
            <w:pPr>
              <w:pStyle w:val="Compact"/>
            </w:pPr>
            <w:r>
              <w:t xml:space="preserve">0..1</w:t>
            </w:r>
          </w:p>
        </w:tc>
        <w:tc>
          <w:tcPr/>
          <w:p>
            <w:pPr>
              <w:pStyle w:val="Compact"/>
            </w:pPr>
            <w:r>
              <w:t xml:space="preserve">The dataset identifier of a specific S-201 dataset. A list of all supported references can be retrieved via Get Summary operation. If no references are provided, it’s up to the service to decide what to return.</w:t>
            </w:r>
          </w:p>
        </w:tc>
      </w:tr>
      <w:tr>
        <w:tc>
          <w:tcPr/>
          <w:p>
            <w:pPr>
              <w:pStyle w:val="Compact"/>
            </w:pPr>
            <w:r>
              <w:t xml:space="preserve">Geometry</w:t>
            </w:r>
          </w:p>
        </w:tc>
        <w:tc>
          <w:tcPr/>
          <w:p>
            <w:pPr>
              <w:pStyle w:val="Compact"/>
            </w:pPr>
            <w:r>
              <w:t xml:space="preserve">See technical design</w:t>
            </w:r>
          </w:p>
        </w:tc>
        <w:tc>
          <w:tcPr/>
          <w:p>
            <w:pPr>
              <w:pStyle w:val="Compact"/>
            </w:pPr>
            <w:r>
              <w:t xml:space="preserve">0..1</w:t>
            </w:r>
          </w:p>
        </w:tc>
        <w:tc>
          <w:tcPr/>
          <w:p>
            <w:pPr>
              <w:pStyle w:val="Compact"/>
            </w:pPr>
            <w:r>
              <w:t xml:space="preserve">Geometry condition for geolocated information objects. This can be used to filter on geometric shapes (e.g. filter enhanced AtoN information by a bounding box).</w:t>
            </w:r>
          </w:p>
        </w:tc>
      </w:tr>
      <w:tr>
        <w:tc>
          <w:tcPr/>
          <w:p>
            <w:pPr>
              <w:pStyle w:val="Compact"/>
            </w:pPr>
            <w:r>
              <w:t xml:space="preserve">unlocode</w:t>
            </w:r>
          </w:p>
        </w:tc>
        <w:tc>
          <w:tcPr/>
          <w:p>
            <w:pPr>
              <w:pStyle w:val="Compact"/>
            </w:pPr>
            <w:r>
              <w:t xml:space="preserve">See technical design</w:t>
            </w:r>
          </w:p>
        </w:tc>
        <w:tc>
          <w:tcPr/>
          <w:p>
            <w:pPr>
              <w:pStyle w:val="Compact"/>
            </w:pPr>
            <w:r>
              <w:t xml:space="preserve">0..1</w:t>
            </w:r>
          </w:p>
        </w:tc>
        <w:tc>
          <w:tcPr/>
          <w:p>
            <w:pPr>
              <w:pStyle w:val="Compact"/>
            </w:pPr>
            <w:r>
              <w:t xml:space="preserve">UN/LOCODE (United Nations Code for Trade and Transport Locations) of a defined object (e.g., “CN” for China).</w:t>
            </w:r>
          </w:p>
        </w:tc>
      </w:tr>
      <w:tr>
        <w:tc>
          <w:tcPr/>
          <w:p>
            <w:pPr>
              <w:pStyle w:val="Compact"/>
            </w:pPr>
            <w:r>
              <w:t xml:space="preserve">SubscriptionPeriod</w:t>
            </w:r>
          </w:p>
        </w:tc>
        <w:tc>
          <w:tcPr/>
          <w:p>
            <w:pPr>
              <w:pStyle w:val="Compact"/>
            </w:pPr>
            <w:r>
              <w:t xml:space="preserve">See technical design</w:t>
            </w:r>
          </w:p>
        </w:tc>
        <w:tc>
          <w:tcPr/>
          <w:p>
            <w:pPr>
              <w:pStyle w:val="Compact"/>
            </w:pPr>
            <w:r>
              <w:t xml:space="preserve">0..1</w:t>
            </w:r>
          </w:p>
        </w:tc>
        <w:tc>
          <w:tcPr/>
          <w:p>
            <w:pPr>
              <w:pStyle w:val="Compact"/>
            </w:pPr>
            <w:r>
              <w:t xml:space="preserve">The period for which the subscription is active (start and end date/time).</w:t>
            </w:r>
          </w:p>
        </w:tc>
      </w:tr>
      <w:tr>
        <w:tc>
          <w:tcPr/>
          <w:p>
            <w:pPr>
              <w:pStyle w:val="Compact"/>
            </w:pPr>
            <w:r>
              <w:t xml:space="preserve">AtoNDetails (Optional)</w:t>
            </w:r>
          </w:p>
        </w:tc>
        <w:tc>
          <w:tcPr/>
          <w:p>
            <w:pPr>
              <w:pStyle w:val="Compact"/>
            </w:pPr>
            <w:r>
              <w:t xml:space="preserve">Boolean</w:t>
            </w:r>
          </w:p>
        </w:tc>
        <w:tc>
          <w:tcPr/>
          <w:p>
            <w:pPr>
              <w:pStyle w:val="Compact"/>
            </w:pPr>
            <w:r>
              <w:t xml:space="preserve">0..1</w:t>
            </w:r>
          </w:p>
        </w:tc>
        <w:tc>
          <w:tcPr/>
          <w:p>
            <w:pPr>
              <w:pStyle w:val="Compact"/>
            </w:pPr>
            <w:r>
              <w:t xml:space="preserve">Requests that the service returns datasets which include the latest AtoN design state details (not just the default AtoN status indication features), if available.</w:t>
            </w:r>
          </w:p>
        </w:tc>
      </w:tr>
    </w:tbl>
    <w:bookmarkEnd w:id="121"/>
    <w:p/>
    <w:bookmarkStart w:id="122" w:name="_26cec743a1f3439248fdbe67fa70884f8a7370c"/>
    <w:p>
      <w:pPr>
        <w:pStyle w:val="TableCaption"/>
      </w:pPr>
      <w:r>
        <w:t xml:space="preserve">The Subscription Operation Return Types.</w:t>
      </w:r>
    </w:p>
    <w:tbl>
      <w:tblPr>
        <w:tblStyle w:val="Table"/>
        <w:tblW w:type="pct" w:w="5000"/>
        <w:tblLayout w:type="fixed"/>
        <w:tblLook w:firstRow="1" w:lastRow="0" w:firstColumn="0" w:lastColumn="0" w:noHBand="0" w:noVBand="0" w:val="0020"/>
        <w:tblCaption w:val="The Subscription Operation Return Types."/>
      </w:tblPr>
      <w:tblGrid>
        <w:gridCol w:w="1980"/>
        <w:gridCol w:w="1980"/>
        <w:gridCol w:w="1980"/>
        <w:gridCol w:w="1980"/>
      </w:tblGrid>
      <w:tr>
        <w:trPr>
          <w:tblHeader w:val="on"/>
        </w:trPr>
        <w:tc>
          <w:tcPr/>
          <w:p>
            <w:pPr>
              <w:pStyle w:val="Compact"/>
            </w:pPr>
            <w:r>
              <w:t xml:space="preserve">ReturnType (out)</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Result</w:t>
            </w:r>
          </w:p>
        </w:tc>
        <w:tc>
          <w:tcPr/>
          <w:p>
            <w:pPr>
              <w:pStyle w:val="Compact"/>
            </w:pPr>
            <w:r>
              <w:t xml:space="preserve">See technical design.</w:t>
            </w:r>
          </w:p>
        </w:tc>
        <w:tc>
          <w:tcPr/>
          <w:p>
            <w:pPr>
              <w:pStyle w:val="Compact"/>
            </w:pPr>
            <w:r>
              <w:t xml:space="preserve">0..1</w:t>
            </w:r>
          </w:p>
        </w:tc>
        <w:tc>
          <w:tcPr/>
          <w:p>
            <w:pPr>
              <w:pStyle w:val="Compact"/>
            </w:pPr>
            <w:r>
              <w:t xml:space="preserve">Confirmation or error message. On confirmation, it must include a Subscription Identifier for the created subscription, which can then be used to remove the subscription. If the subscription corresponds to more than one information object, all information objects will be part of one subscription.</w:t>
            </w:r>
          </w:p>
        </w:tc>
      </w:tr>
    </w:tbl>
    <w:bookmarkEnd w:id="122"/>
    <w:bookmarkEnd w:id="123"/>
    <w:bookmarkEnd w:id="124"/>
    <w:bookmarkStart w:id="133" w:name="_f95ab5260366de099655af5e19d7bf5355eb33a"/>
    <w:p>
      <w:pPr>
        <w:pStyle w:val="Heading3"/>
      </w:pPr>
      <w:r>
        <w:t xml:space="preserve">Remove Subscription Operation</w:t>
      </w:r>
    </w:p>
    <w:p>
      <w:pPr>
        <w:pStyle w:val="FirstParagraph"/>
      </w:pPr>
      <w:r>
        <w:t xml:space="preserve">Subscriptions are removed either internally by the service provider, or externally by the service consumer. This operation can be used by the consumer to request the removal of an active subscription.</w:t>
      </w:r>
    </w:p>
    <w:bookmarkStart w:id="128" w:name="_3388d7f4d974d0a07a43863800c1643e3dcee52"/>
    <w:p>
      <w:pPr>
        <w:pStyle w:val="CaptionedFigure"/>
      </w:pPr>
      <w:r>
        <w:drawing>
          <wp:inline>
            <wp:extent cx="4857750" cy="1406344"/>
            <wp:effectExtent b="0" l="0" r="0" t="0"/>
            <wp:docPr descr="Remove Subscription operation." title="" id="126" name="Picture"/>
            <a:graphic>
              <a:graphicData uri="http://schemas.openxmlformats.org/drawingml/2006/picture">
                <pic:pic>
                  <pic:nvPicPr>
                    <pic:cNvPr descr="source/guideline/../../resources/RemoveSubscriptionInterface.png" id="127" name="Picture"/>
                    <pic:cNvPicPr>
                      <a:picLocks noChangeArrowheads="1" noChangeAspect="1"/>
                    </pic:cNvPicPr>
                  </pic:nvPicPr>
                  <pic:blipFill>
                    <a:blip r:embed="rId125"/>
                    <a:stretch>
                      <a:fillRect/>
                    </a:stretch>
                  </pic:blipFill>
                  <pic:spPr bwMode="auto">
                    <a:xfrm>
                      <a:off x="0" y="0"/>
                      <a:ext cx="4857750" cy="1406344"/>
                    </a:xfrm>
                    <a:prstGeom prst="rect">
                      <a:avLst/>
                    </a:prstGeom>
                    <a:noFill/>
                    <a:ln w="9525">
                      <a:noFill/>
                      <a:headEnd/>
                      <a:tailEnd/>
                    </a:ln>
                  </pic:spPr>
                </pic:pic>
              </a:graphicData>
            </a:graphic>
          </wp:inline>
        </w:drawing>
      </w:r>
    </w:p>
    <w:p>
      <w:pPr>
        <w:pStyle w:val="ImageCaption"/>
      </w:pPr>
      <w:r>
        <w:t xml:space="preserve">Remove Subscription operation.</w:t>
      </w:r>
    </w:p>
    <w:bookmarkEnd w:id="128"/>
    <w:bookmarkStart w:id="129" w:name="_1bac26e8d63e8df3e8ad5f896e815deeaf16fc5"/>
    <w:p>
      <w:pPr>
        <w:pStyle w:val="Heading4"/>
      </w:pPr>
      <w:r>
        <w:t xml:space="preserve">Operation Functionality</w:t>
      </w:r>
    </w:p>
    <w:p>
      <w:pPr>
        <w:pStyle w:val="FirstParagraph"/>
      </w:pPr>
      <w:r>
        <w:t xml:space="preserve">The Remove Subscription operation should be used to remove subscriptions that were created earlier through the Subscription operation. The operation follows a request-callback paradigm (REQUEST_CALLBACK), where a client expects a subscription notification to be sent back asynchronously, in order to confirm the successful removal of the requested subscriptions. In this operation, the consumer can optionally provide the subscription identifier, acquired through the Subscription operation response, to select the individual subscription to be removed. Alternatively, if no subscription identifier is provided, all active subscriptions for this consumer will be removed.</w:t>
      </w:r>
    </w:p>
    <w:p>
      <w:pPr>
        <w:pStyle w:val="BodyText"/>
      </w:pPr>
      <w:r>
        <w:t xml:space="preserve">This operation consumes the following operations:</w:t>
      </w:r>
    </w:p>
    <w:p>
      <w:pPr>
        <w:pStyle w:val="Compact"/>
        <w:numPr>
          <w:ilvl w:val="0"/>
          <w:numId w:val="1013"/>
        </w:numPr>
      </w:pPr>
      <w:r>
        <w:t xml:space="preserve">Subscription Notification</w:t>
      </w:r>
    </w:p>
    <w:p>
      <w:pPr>
        <w:pStyle w:val="FirstParagraph"/>
      </w:pPr>
      <w:r>
        <w:t xml:space="preserve">The Subscription Notification operation is used to inform the consumer that on the status of the subscription, i.e. when it has been successfully removed.</w:t>
      </w:r>
    </w:p>
    <w:bookmarkEnd w:id="129"/>
    <w:bookmarkStart w:id="132" w:name="_653cbdac61d28b5a4c7ce709f8481fbd9679310"/>
    <w:p>
      <w:pPr>
        <w:pStyle w:val="Heading4"/>
      </w:pPr>
      <w:r>
        <w:t xml:space="preserve">Operation Parameters</w:t>
      </w:r>
    </w:p>
    <w:bookmarkStart w:id="130" w:name="_7db507f1f511da79f3c73c1a4b447f5ebbffc00"/>
    <w:p>
      <w:pPr>
        <w:pStyle w:val="TableCaption"/>
      </w:pPr>
      <w:r>
        <w:t xml:space="preserve">The Remove Subscription Operation Parameters.</w:t>
      </w:r>
    </w:p>
    <w:tbl>
      <w:tblPr>
        <w:tblStyle w:val="Table"/>
        <w:tblW w:type="pct" w:w="5000"/>
        <w:tblLayout w:type="fixed"/>
        <w:tblLook w:firstRow="1" w:lastRow="0" w:firstColumn="0" w:lastColumn="0" w:noHBand="0" w:noVBand="0" w:val="0020"/>
        <w:tblCaption w:val="The Remove Subscrip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SubscriptionIdentifier</w:t>
            </w:r>
          </w:p>
        </w:tc>
        <w:tc>
          <w:tcPr/>
          <w:p>
            <w:pPr>
              <w:pStyle w:val="Compact"/>
            </w:pPr>
            <w:r>
              <w:t xml:space="preserve">See technical design</w:t>
            </w:r>
          </w:p>
        </w:tc>
        <w:tc>
          <w:tcPr/>
          <w:p>
            <w:pPr>
              <w:pStyle w:val="Compact"/>
            </w:pPr>
            <w:r>
              <w:t xml:space="preserve">0..1</w:t>
            </w:r>
          </w:p>
        </w:tc>
        <w:tc>
          <w:tcPr/>
          <w:p>
            <w:pPr>
              <w:pStyle w:val="Compact"/>
            </w:pPr>
            <w:r>
              <w:t xml:space="preserve">A specific identifier of the information object to remove the subscription for. If no subscription identifier is provided, all subscriptions for the consumer are removed.</w:t>
            </w:r>
          </w:p>
        </w:tc>
      </w:tr>
    </w:tbl>
    <w:bookmarkEnd w:id="130"/>
    <w:p/>
    <w:bookmarkStart w:id="131" w:name="_f223d2f4094eef579c43a6c708e9bce53efc609"/>
    <w:p>
      <w:pPr>
        <w:pStyle w:val="TableCaption"/>
      </w:pPr>
      <w:r>
        <w:t xml:space="preserve">The Remove Subscription Operation Return Types.</w:t>
      </w:r>
    </w:p>
    <w:tbl>
      <w:tblPr>
        <w:tblStyle w:val="Table"/>
        <w:tblW w:type="pct" w:w="5000"/>
        <w:tblLayout w:type="fixed"/>
        <w:tblLook w:firstRow="1" w:lastRow="0" w:firstColumn="0" w:lastColumn="0" w:noHBand="0" w:noVBand="0" w:val="0020"/>
        <w:tblCaption w:val="The Remove Subscription Operation Return Types."/>
      </w:tblPr>
      <w:tblGrid>
        <w:gridCol w:w="1980"/>
        <w:gridCol w:w="1980"/>
        <w:gridCol w:w="1980"/>
        <w:gridCol w:w="1980"/>
      </w:tblGrid>
      <w:tr>
        <w:trPr>
          <w:tblHeader w:val="on"/>
        </w:trPr>
        <w:tc>
          <w:tcPr/>
          <w:p>
            <w:pPr>
              <w:pStyle w:val="Compact"/>
            </w:pPr>
            <w:r>
              <w:t xml:space="preserve">ReturnType (out)</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Result</w:t>
            </w:r>
          </w:p>
        </w:tc>
        <w:tc>
          <w:tcPr/>
          <w:p>
            <w:pPr>
              <w:pStyle w:val="Compact"/>
            </w:pPr>
            <w:r>
              <w:t xml:space="preserve">See technical design.</w:t>
            </w:r>
          </w:p>
        </w:tc>
        <w:tc>
          <w:tcPr/>
          <w:p>
            <w:pPr>
              <w:pStyle w:val="Compact"/>
            </w:pPr>
            <w:r>
              <w:t xml:space="preserve">0..1</w:t>
            </w:r>
          </w:p>
        </w:tc>
        <w:tc>
          <w:tcPr/>
          <w:p>
            <w:pPr>
              <w:pStyle w:val="Compact"/>
            </w:pPr>
            <w:r>
              <w:t xml:space="preserve">Confirmation or error message.</w:t>
            </w:r>
          </w:p>
        </w:tc>
      </w:tr>
    </w:tbl>
    <w:bookmarkEnd w:id="131"/>
    <w:bookmarkEnd w:id="132"/>
    <w:bookmarkEnd w:id="133"/>
    <w:bookmarkStart w:id="142" w:name="_1d03e9ec6097c442edb3211b4889eee4c242c8b"/>
    <w:p>
      <w:pPr>
        <w:pStyle w:val="Heading3"/>
      </w:pPr>
      <w:r>
        <w:t xml:space="preserve">Upload Operation (Consumer Operation - Optional)</w:t>
      </w:r>
    </w:p>
    <w:p>
      <w:pPr>
        <w:pStyle w:val="FirstParagraph"/>
      </w:pPr>
      <w:r>
        <w:t xml:space="preserve">The purpose of this operation is to allow service providers to upload (push) enhanced AtoN information to a service consumer. Hence, a consumer needs to implement this functionality as a separate operation or support it through the technology selected for the subscription operation, in order to receive S-201 datasets from a subscription or a unicast/broadcast operation.</w:t>
      </w:r>
    </w:p>
    <w:p>
      <w:pPr>
        <w:pStyle w:val="BodyText"/>
      </w:pPr>
      <w:r>
        <w:rPr>
          <w:b/>
          <w:bCs/>
        </w:rPr>
        <w:t xml:space="preserve">Note</w:t>
      </w:r>
      <w:r>
        <w:t xml:space="preserve">: This may not be implemented as a separate interface as different technologies already implement this functionality on other levels (e.g., by using a message-oriented middleware like the MCP MMS, RabbitMQ or Kafka).</w:t>
      </w:r>
    </w:p>
    <w:bookmarkStart w:id="137" w:name="_405bfeb55735570071dee063a014904e692379f"/>
    <w:p>
      <w:pPr>
        <w:pStyle w:val="CaptionedFigure"/>
      </w:pPr>
      <w:r>
        <w:drawing>
          <wp:inline>
            <wp:extent cx="4857750" cy="2208068"/>
            <wp:effectExtent b="0" l="0" r="0" t="0"/>
            <wp:docPr descr="Upload operation." title="" id="135" name="Picture"/>
            <a:graphic>
              <a:graphicData uri="http://schemas.openxmlformats.org/drawingml/2006/picture">
                <pic:pic>
                  <pic:nvPicPr>
                    <pic:cNvPr descr="source/guideline/../../resources/UploadInterface.png" id="136" name="Picture"/>
                    <pic:cNvPicPr>
                      <a:picLocks noChangeArrowheads="1" noChangeAspect="1"/>
                    </pic:cNvPicPr>
                  </pic:nvPicPr>
                  <pic:blipFill>
                    <a:blip r:embed="rId134"/>
                    <a:stretch>
                      <a:fillRect/>
                    </a:stretch>
                  </pic:blipFill>
                  <pic:spPr bwMode="auto">
                    <a:xfrm>
                      <a:off x="0" y="0"/>
                      <a:ext cx="4857750" cy="2208068"/>
                    </a:xfrm>
                    <a:prstGeom prst="rect">
                      <a:avLst/>
                    </a:prstGeom>
                    <a:noFill/>
                    <a:ln w="9525">
                      <a:noFill/>
                      <a:headEnd/>
                      <a:tailEnd/>
                    </a:ln>
                  </pic:spPr>
                </pic:pic>
              </a:graphicData>
            </a:graphic>
          </wp:inline>
        </w:drawing>
      </w:r>
    </w:p>
    <w:p>
      <w:pPr>
        <w:pStyle w:val="ImageCaption"/>
      </w:pPr>
      <w:r>
        <w:t xml:space="preserve">Upload operation.</w:t>
      </w:r>
    </w:p>
    <w:bookmarkEnd w:id="137"/>
    <w:bookmarkStart w:id="138" w:name="_84b853ba3341563e290e91782ed1f99198056db"/>
    <w:p>
      <w:pPr>
        <w:pStyle w:val="Heading4"/>
      </w:pPr>
      <w:r>
        <w:t xml:space="preserve">Operation Functionality</w:t>
      </w:r>
    </w:p>
    <w:p>
      <w:pPr>
        <w:pStyle w:val="FirstParagraph"/>
      </w:pPr>
      <w:r>
        <w:t xml:space="preserve">This operation allows service consumers to be directly informed about new or updated S-201 datasets made available. The operation may follow two types of exchange patterns. The first one is a one-way paradigm (ONE_WAY), where a service sends data to the consumer without expecting information back, other than a technical response. Alternatively, a request-callback paradigm (REQUEST_CALLBACK) can be employed, where uploads are expected to result in an acknowledgement message sent asynchronously back. This acknowledgement should be directed to an Acknowledgement operation of the service provider. This mechanism however, as well as the operation specification, is left to be defined at the service design level, as it is considered to be implementation specific.</w:t>
      </w:r>
    </w:p>
    <w:p>
      <w:pPr>
        <w:pStyle w:val="BodyText"/>
      </w:pPr>
      <w:r>
        <w:t xml:space="preserve">This operation can be used both in single uploads and uploads under a subscription. The parameter</w:t>
      </w:r>
      <w:r>
        <w:t xml:space="preserve"> </w:t>
      </w:r>
      <w:r>
        <w:rPr>
          <w:rStyle w:val="VerbatimChar"/>
        </w:rPr>
        <w:t xml:space="preserve">&lt;SubscriptionIdentifier&gt;</w:t>
      </w:r>
      <w:r>
        <w:t xml:space="preserve"> </w:t>
      </w:r>
      <w:r>
        <w:t xml:space="preserve">indicates whether the upload took place within or outside a subscription, by specifying the subscription identifier.</w:t>
      </w:r>
    </w:p>
    <w:p>
      <w:pPr>
        <w:pStyle w:val="BodyText"/>
      </w:pPr>
      <w:r>
        <w:t xml:space="preserve">As stated previously, this operation may optionally consume the following operations:</w:t>
      </w:r>
    </w:p>
    <w:p>
      <w:pPr>
        <w:pStyle w:val="Compact"/>
        <w:numPr>
          <w:ilvl w:val="0"/>
          <w:numId w:val="1014"/>
        </w:numPr>
      </w:pPr>
      <w:r>
        <w:t xml:space="preserve">Acknowledgement</w:t>
      </w:r>
    </w:p>
    <w:p>
      <w:pPr>
        <w:pStyle w:val="FirstParagraph"/>
      </w:pPr>
      <w:r>
        <w:t xml:space="preserve">When uploading enhanced AtoN information to a consumer, and if this functionality is actually supported by the service provider, the acknowledgement can be requested through the</w:t>
      </w:r>
      <w:r>
        <w:t xml:space="preserve"> </w:t>
      </w:r>
      <w:r>
        <w:rPr>
          <w:rStyle w:val="VerbatimChar"/>
        </w:rPr>
        <w:t xml:space="preserve">&lt;AckRequest&gt;</w:t>
      </w:r>
      <w:r>
        <w:t xml:space="preserve"> </w:t>
      </w:r>
      <w:r>
        <w:t xml:space="preserve">operational parameter. The encoding of this parameter is left to be defined by the technical design, as it is implementation specific. For example, in SECOM this would be represented by a simple Boolean value, while other technologies may require to a more complex structure that defines the location of the provider service endpoint, as well as authentication information.</w:t>
      </w:r>
    </w:p>
    <w:p>
      <w:pPr>
        <w:pStyle w:val="BodyText"/>
      </w:pPr>
      <w:r>
        <w:t xml:space="preserve">The acknowledgement message may be expected to be received when the uploaded message has been delivered to end system (technical acknowledgement), and/or if supported, when the message has been opened (read) by the end-user (operational acknowledgement). More information on this can be found in Section 7.2, describing the dynamic behaviour description of the subscription operation.</w:t>
      </w:r>
    </w:p>
    <w:bookmarkEnd w:id="138"/>
    <w:bookmarkStart w:id="141" w:name="_0c9dcad903314eb0bd5551a0f47ca26c28a48d8"/>
    <w:p>
      <w:pPr>
        <w:pStyle w:val="Heading4"/>
      </w:pPr>
      <w:r>
        <w:t xml:space="preserve">Operation Parameters</w:t>
      </w:r>
    </w:p>
    <w:bookmarkStart w:id="139" w:name="_47b917f8d654b070a77bb628cb9aee05c4d3c5b"/>
    <w:p>
      <w:pPr>
        <w:pStyle w:val="TableCaption"/>
      </w:pPr>
      <w:r>
        <w:t xml:space="preserve">The Upload Operation Parameters.</w:t>
      </w:r>
    </w:p>
    <w:tbl>
      <w:tblPr>
        <w:tblStyle w:val="Table"/>
        <w:tblW w:type="pct" w:w="5000"/>
        <w:tblLayout w:type="fixed"/>
        <w:tblLook w:firstRow="1" w:lastRow="0" w:firstColumn="0" w:lastColumn="0" w:noHBand="0" w:noVBand="0" w:val="0020"/>
        <w:tblCaption w:val="The Upload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Data</w:t>
            </w:r>
          </w:p>
        </w:tc>
        <w:tc>
          <w:tcPr/>
          <w:p>
            <w:pPr>
              <w:pStyle w:val="Compact"/>
            </w:pPr>
            <w:r>
              <w:t xml:space="preserve">See technical design</w:t>
            </w:r>
          </w:p>
        </w:tc>
        <w:tc>
          <w:tcPr/>
          <w:p>
            <w:pPr>
              <w:pStyle w:val="Compact"/>
            </w:pPr>
            <w:r>
              <w:t xml:space="preserve">1</w:t>
            </w:r>
          </w:p>
        </w:tc>
        <w:tc>
          <w:tcPr/>
          <w:p>
            <w:pPr>
              <w:pStyle w:val="Compact"/>
            </w:pPr>
            <w:r>
              <w:t xml:space="preserve">S-201 datasets which conform to the data product specification including the service metadata (see Section 5).</w:t>
            </w:r>
          </w:p>
        </w:tc>
      </w:tr>
      <w:tr>
        <w:tc>
          <w:tcPr/>
          <w:p>
            <w:pPr>
              <w:pStyle w:val="Compact"/>
            </w:pPr>
            <w:r>
              <w:t xml:space="preserve">SubscriptionIdentifier (Optional)</w:t>
            </w:r>
          </w:p>
        </w:tc>
        <w:tc>
          <w:tcPr/>
          <w:p>
            <w:pPr>
              <w:pStyle w:val="Compact"/>
            </w:pPr>
            <w:r>
              <w:t xml:space="preserve">See technical design</w:t>
            </w:r>
          </w:p>
        </w:tc>
        <w:tc>
          <w:tcPr/>
          <w:p>
            <w:pPr>
              <w:pStyle w:val="Compact"/>
            </w:pPr>
            <w:r>
              <w:t xml:space="preserve">0..1</w:t>
            </w:r>
          </w:p>
        </w:tc>
        <w:tc>
          <w:tcPr/>
          <w:p>
            <w:pPr>
              <w:pStyle w:val="Compact"/>
            </w:pPr>
            <w:r>
              <w:t xml:space="preserve">Specific identifier of the subscription as part of which the data is being uploaded for.</w:t>
            </w:r>
          </w:p>
        </w:tc>
      </w:tr>
      <w:tr>
        <w:tc>
          <w:tcPr/>
          <w:p>
            <w:pPr>
              <w:pStyle w:val="Compact"/>
            </w:pPr>
            <w:r>
              <w:t xml:space="preserve">AckRequest (Optional)</w:t>
            </w:r>
          </w:p>
        </w:tc>
        <w:tc>
          <w:tcPr/>
          <w:p>
            <w:pPr>
              <w:pStyle w:val="Compact"/>
            </w:pPr>
            <w:r>
              <w:t xml:space="preserve">See technical design</w:t>
            </w:r>
          </w:p>
        </w:tc>
        <w:tc>
          <w:tcPr/>
          <w:p>
            <w:pPr>
              <w:pStyle w:val="Compact"/>
            </w:pPr>
            <w:r>
              <w:t xml:space="preserve">0..1</w:t>
            </w:r>
          </w:p>
        </w:tc>
        <w:tc>
          <w:tcPr/>
          <w:p>
            <w:pPr>
              <w:pStyle w:val="Compact"/>
            </w:pPr>
            <w:r>
              <w:t xml:space="preserve">Flag to indicate that acknowledgement is expected when delivered, and an acknowledgement when message has been opened (read) by end-user.</w:t>
            </w:r>
          </w:p>
        </w:tc>
      </w:tr>
    </w:tbl>
    <w:bookmarkEnd w:id="139"/>
    <w:p/>
    <w:bookmarkStart w:id="140" w:name="_a14dbf3642db4ecf522d1d333a3d82d247e9596"/>
    <w:p>
      <w:pPr>
        <w:pStyle w:val="TableCaption"/>
      </w:pPr>
      <w:r>
        <w:t xml:space="preserve">The Upload Operation Return Types.</w:t>
      </w:r>
    </w:p>
    <w:tbl>
      <w:tblPr>
        <w:tblStyle w:val="Table"/>
        <w:tblW w:type="auto" w:w="0"/>
        <w:tblLook w:firstRow="1" w:lastRow="0" w:firstColumn="0" w:lastColumn="0" w:noHBand="0" w:noVBand="0" w:val="0020"/>
        <w:tblCaption w:val="The Upload Operation Return Types."/>
      </w:tblPr>
      <w:tblGrid>
        <w:gridCol w:w="1980"/>
        <w:gridCol w:w="1980"/>
        <w:gridCol w:w="1980"/>
        <w:gridCol w:w="1980"/>
      </w:tblGrid>
      <w:tr>
        <w:trPr>
          <w:tblHeader w:val="on"/>
        </w:trPr>
        <w:tc>
          <w:tcPr/>
          <w:p>
            <w:pPr>
              <w:pStyle w:val="Compact"/>
            </w:pPr>
            <w:r>
              <w:t xml:space="preserve">ReturnType (out)</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Result</w:t>
            </w:r>
          </w:p>
        </w:tc>
        <w:tc>
          <w:tcPr/>
          <w:p>
            <w:pPr>
              <w:pStyle w:val="Compact"/>
            </w:pPr>
            <w:r>
              <w:t xml:space="preserve">See technical design</w:t>
            </w:r>
          </w:p>
        </w:tc>
        <w:tc>
          <w:tcPr/>
          <w:p>
            <w:pPr>
              <w:pStyle w:val="Compact"/>
            </w:pPr>
            <w:r>
              <w:t xml:space="preserve">1</w:t>
            </w:r>
          </w:p>
        </w:tc>
        <w:tc>
          <w:tcPr/>
          <w:p>
            <w:pPr>
              <w:pStyle w:val="Compact"/>
            </w:pPr>
            <w:r>
              <w:t xml:space="preserve">Confirmation or error message.</w:t>
            </w:r>
          </w:p>
        </w:tc>
      </w:tr>
    </w:tbl>
    <w:bookmarkEnd w:id="140"/>
    <w:bookmarkEnd w:id="141"/>
    <w:bookmarkEnd w:id="142"/>
    <w:bookmarkStart w:id="151" w:name="_de8099684741534585c057cd8b05d02ac56c529"/>
    <w:p>
      <w:pPr>
        <w:pStyle w:val="Heading3"/>
      </w:pPr>
      <w:r>
        <w:t xml:space="preserve">Subscription Notification Operation (Consumer Operation - Optional)</w:t>
      </w:r>
    </w:p>
    <w:p>
      <w:pPr>
        <w:pStyle w:val="FirstParagraph"/>
      </w:pPr>
      <w:r>
        <w:t xml:space="preserve">This operation is used by service consumers to receive notifications by a service provider, when a subscription is created or removed.</w:t>
      </w:r>
    </w:p>
    <w:p>
      <w:pPr>
        <w:pStyle w:val="BodyText"/>
      </w:pPr>
      <w:r>
        <w:rPr>
          <w:b/>
          <w:bCs/>
        </w:rPr>
        <w:t xml:space="preserve">Note</w:t>
      </w:r>
      <w:r>
        <w:t xml:space="preserve">: This may not be implemented as a separate operation as different technologies already implement this functionality on other levels (e.g., by using a message-oriented middleware like the MCP MMS, RabbitMQ or Kafka).</w:t>
      </w:r>
    </w:p>
    <w:bookmarkStart w:id="146" w:name="_785f54fde5f8a87e219565937575f16c9545427"/>
    <w:p>
      <w:pPr>
        <w:pStyle w:val="CaptionedFigure"/>
      </w:pPr>
      <w:r>
        <w:drawing>
          <wp:inline>
            <wp:extent cx="4857750" cy="2069522"/>
            <wp:effectExtent b="0" l="0" r="0" t="0"/>
            <wp:docPr descr="Subscription Notification operation." title="" id="144" name="Picture"/>
            <a:graphic>
              <a:graphicData uri="http://schemas.openxmlformats.org/drawingml/2006/picture">
                <pic:pic>
                  <pic:nvPicPr>
                    <pic:cNvPr descr="source/guideline/../../resources/SubscriptionNotificationInterface.png" id="145" name="Picture"/>
                    <pic:cNvPicPr>
                      <a:picLocks noChangeArrowheads="1" noChangeAspect="1"/>
                    </pic:cNvPicPr>
                  </pic:nvPicPr>
                  <pic:blipFill>
                    <a:blip r:embed="rId143"/>
                    <a:stretch>
                      <a:fillRect/>
                    </a:stretch>
                  </pic:blipFill>
                  <pic:spPr bwMode="auto">
                    <a:xfrm>
                      <a:off x="0" y="0"/>
                      <a:ext cx="4857750" cy="2069522"/>
                    </a:xfrm>
                    <a:prstGeom prst="rect">
                      <a:avLst/>
                    </a:prstGeom>
                    <a:noFill/>
                    <a:ln w="9525">
                      <a:noFill/>
                      <a:headEnd/>
                      <a:tailEnd/>
                    </a:ln>
                  </pic:spPr>
                </pic:pic>
              </a:graphicData>
            </a:graphic>
          </wp:inline>
        </w:drawing>
      </w:r>
    </w:p>
    <w:p>
      <w:pPr>
        <w:pStyle w:val="ImageCaption"/>
      </w:pPr>
      <w:r>
        <w:t xml:space="preserve">Subscription Notification operation.</w:t>
      </w:r>
    </w:p>
    <w:bookmarkEnd w:id="146"/>
    <w:bookmarkStart w:id="147" w:name="_f78cb36710e7a9a8ad84a401a976abedcbd7e82"/>
    <w:p>
      <w:pPr>
        <w:pStyle w:val="Heading4"/>
      </w:pPr>
      <w:r>
        <w:t xml:space="preserve">Operation Functionality</w:t>
      </w:r>
    </w:p>
    <w:p>
      <w:pPr>
        <w:pStyle w:val="FirstParagraph"/>
      </w:pPr>
      <w:r>
        <w:t xml:space="preserve">The operation receives notifications by the service provider, when a subscription is created or removed, either internally by the information owner, or externally on request. This operation follows a one-way paradigm (ONE_WAY), where a service sends data to consumer without expecting information back, other than a technical response. More information on this operation can be found in Section Section 7, describing the dynamic behaviour description of the subscription on enhanced AtoN information.</w:t>
      </w:r>
    </w:p>
    <w:bookmarkEnd w:id="147"/>
    <w:bookmarkStart w:id="150" w:name="_52b47f999cb38430c43d8c4a932ea67b6509eec"/>
    <w:p>
      <w:pPr>
        <w:pStyle w:val="Heading4"/>
      </w:pPr>
      <w:r>
        <w:t xml:space="preserve">Operation Parameters</w:t>
      </w:r>
    </w:p>
    <w:bookmarkStart w:id="148" w:name="_4a5f9649b449730308343b9f9c6324addca667f"/>
    <w:p>
      <w:pPr>
        <w:pStyle w:val="TableCaption"/>
      </w:pPr>
      <w:r>
        <w:t xml:space="preserve">The Subscription Notification Operation Parameters.</w:t>
      </w:r>
    </w:p>
    <w:tbl>
      <w:tblPr>
        <w:tblStyle w:val="Table"/>
        <w:tblW w:type="pct" w:w="5000"/>
        <w:tblLayout w:type="fixed"/>
        <w:tblLook w:firstRow="1" w:lastRow="0" w:firstColumn="0" w:lastColumn="0" w:noHBand="0" w:noVBand="0" w:val="0020"/>
        <w:tblCaption w:val="The Subscription Notification Operation Parameters."/>
      </w:tblPr>
      <w:tblGrid>
        <w:gridCol w:w="1980"/>
        <w:gridCol w:w="1980"/>
        <w:gridCol w:w="1980"/>
        <w:gridCol w:w="1980"/>
      </w:tblGrid>
      <w:tr>
        <w:trPr>
          <w:tblHeader w:val="on"/>
        </w:trPr>
        <w:tc>
          <w:tcPr/>
          <w:p>
            <w:pPr>
              <w:pStyle w:val="Compact"/>
            </w:pPr>
            <w:r>
              <w:t xml:space="preserve">Parameters (in)</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SubscriptionIdentifier (Optional)</w:t>
            </w:r>
          </w:p>
        </w:tc>
        <w:tc>
          <w:tcPr/>
          <w:p>
            <w:pPr>
              <w:pStyle w:val="Compact"/>
            </w:pPr>
            <w:r>
              <w:t xml:space="preserve">See technical design</w:t>
            </w:r>
          </w:p>
        </w:tc>
        <w:tc>
          <w:tcPr/>
          <w:p>
            <w:pPr>
              <w:pStyle w:val="Compact"/>
            </w:pPr>
            <w:r>
              <w:t xml:space="preserve">1</w:t>
            </w:r>
          </w:p>
        </w:tc>
        <w:tc>
          <w:tcPr/>
          <w:p>
            <w:pPr>
              <w:pStyle w:val="Compact"/>
            </w:pPr>
            <w:r>
              <w:t xml:space="preserve">Specific identifier of the subscription for which the status has being updated.</w:t>
            </w:r>
          </w:p>
        </w:tc>
      </w:tr>
      <w:tr>
        <w:tc>
          <w:tcPr/>
          <w:p>
            <w:pPr>
              <w:pStyle w:val="Compact"/>
            </w:pPr>
            <w:r>
              <w:t xml:space="preserve">SubscriptionEvent</w:t>
            </w:r>
          </w:p>
        </w:tc>
        <w:tc>
          <w:tcPr/>
          <w:p>
            <w:pPr>
              <w:pStyle w:val="Compact"/>
            </w:pPr>
            <w:r>
              <w:t xml:space="preserve">See technical design</w:t>
            </w:r>
          </w:p>
        </w:tc>
        <w:tc>
          <w:tcPr/>
          <w:p>
            <w:pPr>
              <w:pStyle w:val="Compact"/>
            </w:pPr>
            <w:r>
              <w:t xml:space="preserve">1</w:t>
            </w:r>
          </w:p>
        </w:tc>
        <w:tc>
          <w:tcPr/>
          <w:p>
            <w:pPr>
              <w:pStyle w:val="Compact"/>
            </w:pPr>
            <w:r>
              <w:t xml:space="preserve">Type of subscription status update event; Created or Deleted/Removed.</w:t>
            </w:r>
          </w:p>
        </w:tc>
      </w:tr>
    </w:tbl>
    <w:bookmarkEnd w:id="148"/>
    <w:p/>
    <w:bookmarkStart w:id="149" w:name="_5fec97643d09b5c2a4a9e63015cd3cbbbc867cd"/>
    <w:p>
      <w:pPr>
        <w:pStyle w:val="TableCaption"/>
      </w:pPr>
      <w:r>
        <w:t xml:space="preserve">The Subscription Notification Operation Return Types.</w:t>
      </w:r>
    </w:p>
    <w:tbl>
      <w:tblPr>
        <w:tblStyle w:val="Table"/>
        <w:tblW w:type="auto" w:w="0"/>
        <w:tblLook w:firstRow="1" w:lastRow="0" w:firstColumn="0" w:lastColumn="0" w:noHBand="0" w:noVBand="0" w:val="0020"/>
        <w:tblCaption w:val="The Subscription Notification Operation Return Types."/>
      </w:tblPr>
      <w:tblGrid>
        <w:gridCol w:w="1980"/>
        <w:gridCol w:w="1980"/>
        <w:gridCol w:w="1980"/>
        <w:gridCol w:w="1980"/>
      </w:tblGrid>
      <w:tr>
        <w:trPr>
          <w:tblHeader w:val="on"/>
        </w:trPr>
        <w:tc>
          <w:tcPr/>
          <w:p>
            <w:pPr>
              <w:pStyle w:val="Compact"/>
            </w:pPr>
            <w:r>
              <w:t xml:space="preserve">ReturnType (out)</w:t>
            </w:r>
          </w:p>
        </w:tc>
        <w:tc>
          <w:tcPr/>
          <w:p>
            <w:pPr>
              <w:pStyle w:val="Compact"/>
            </w:pPr>
            <w:r>
              <w:t xml:space="preserve">Encoding</w:t>
            </w:r>
          </w:p>
        </w:tc>
        <w:tc>
          <w:tcPr/>
          <w:p>
            <w:pPr>
              <w:pStyle w:val="Compact"/>
            </w:pPr>
            <w:r>
              <w:t xml:space="preserve">Mult.</w:t>
            </w:r>
          </w:p>
        </w:tc>
        <w:tc>
          <w:tcPr/>
          <w:p>
            <w:pPr>
              <w:pStyle w:val="Compact"/>
            </w:pPr>
            <w:r>
              <w:t xml:space="preserve">Description</w:t>
            </w:r>
          </w:p>
        </w:tc>
      </w:tr>
      <w:tr>
        <w:tc>
          <w:tcPr/>
          <w:p>
            <w:pPr>
              <w:pStyle w:val="Compact"/>
            </w:pPr>
            <w:r>
              <w:t xml:space="preserve">Result</w:t>
            </w:r>
          </w:p>
        </w:tc>
        <w:tc>
          <w:tcPr/>
          <w:p>
            <w:pPr>
              <w:pStyle w:val="Compact"/>
            </w:pPr>
            <w:r>
              <w:t xml:space="preserve">See technical design</w:t>
            </w:r>
          </w:p>
        </w:tc>
        <w:tc>
          <w:tcPr/>
          <w:p>
            <w:pPr>
              <w:pStyle w:val="Compact"/>
            </w:pPr>
            <w:r>
              <w:t xml:space="preserve">1</w:t>
            </w:r>
          </w:p>
        </w:tc>
        <w:tc>
          <w:tcPr/>
          <w:p>
            <w:pPr>
              <w:pStyle w:val="Compact"/>
            </w:pPr>
            <w:r>
              <w:t xml:space="preserve">Confirmation or error message.</w:t>
            </w:r>
          </w:p>
        </w:tc>
      </w:tr>
    </w:tbl>
    <w:bookmarkEnd w:id="149"/>
    <w:p>
      <w:r>
        <w:br w:type="page"/>
      </w:r>
    </w:p>
    <w:bookmarkEnd w:id="150"/>
    <w:bookmarkEnd w:id="151"/>
    <w:bookmarkEnd w:id="152"/>
    <w:bookmarkEnd w:id="153"/>
    <w:bookmarkStart w:id="158" w:name="_5bf6f463f5552839b8532210262bd375968e263"/>
    <w:p>
      <w:pPr>
        <w:pStyle w:val="Heading1"/>
      </w:pPr>
      <w:r>
        <w:t xml:space="preserve">Service Data Model</w:t>
      </w:r>
    </w:p>
    <w:p>
      <w:pPr>
        <w:pStyle w:val="FirstParagraph"/>
      </w:pPr>
      <w:r>
        <w:t xml:space="preserve">This section describes the logical data structures to be exchanged between providers and consumers of the service. The service data model is bound by the current definition of the IALA S-201. For complete and updated documentation refer to the latest S-201 Product Specification which can be found at:</w:t>
      </w:r>
    </w:p>
    <w:p>
      <w:pPr>
        <w:pStyle w:val="SourceCode"/>
      </w:pPr>
      <w:r>
        <w:rPr>
          <w:rStyle w:val="VerbatimChar"/>
        </w:rPr>
        <w:t xml:space="preserve">https://www.iala.int/technical/data-modelling/iala-s-200-development-status/s-201/</w:t>
      </w:r>
    </w:p>
    <w:p>
      <w:pPr>
        <w:pStyle w:val="FirstParagraph"/>
      </w:pPr>
      <w:r>
        <w:t xml:space="preserve">Included in the service data model is a full description followed by specific extracts for;</w:t>
      </w:r>
    </w:p>
    <w:p>
      <w:pPr>
        <w:pStyle w:val="Compact"/>
        <w:numPr>
          <w:ilvl w:val="0"/>
          <w:numId w:val="1015"/>
        </w:numPr>
      </w:pPr>
      <w:r>
        <w:t xml:space="preserve">AtoN Information Features and Information types</w:t>
      </w:r>
    </w:p>
    <w:p>
      <w:pPr>
        <w:pStyle w:val="Compact"/>
        <w:numPr>
          <w:ilvl w:val="0"/>
          <w:numId w:val="1015"/>
        </w:numPr>
      </w:pPr>
      <w:r>
        <w:t xml:space="preserve">Enumerations</w:t>
      </w:r>
    </w:p>
    <w:p>
      <w:pPr>
        <w:pStyle w:val="Compact"/>
        <w:numPr>
          <w:ilvl w:val="0"/>
          <w:numId w:val="1015"/>
        </w:numPr>
      </w:pPr>
      <w:r>
        <w:t xml:space="preserve">Complex Attributes</w:t>
      </w:r>
    </w:p>
    <w:p>
      <w:pPr>
        <w:pStyle w:val="FirstParagraph"/>
      </w:pPr>
      <w:r>
        <w:t xml:space="preserve">Note that the S-100 specification</w:t>
      </w:r>
      <w:r>
        <w:t xml:space="preserve"> </w:t>
      </w:r>
      <w:r>
        <w:t xml:space="preserve">[6]</w:t>
      </w:r>
      <w:r>
        <w:t xml:space="preserve"> </w:t>
      </w:r>
      <w:r>
        <w:t xml:space="preserve">describes in Appendix 9-B how S-100 based data models shall be formulated in XML schema format.</w:t>
      </w:r>
    </w:p>
    <w:p>
      <w:pPr>
        <w:pStyle w:val="BodyText"/>
      </w:pPr>
      <w:r>
        <w:t xml:space="preserve">Since the main purpose of the discussed service is to provide enhanced AtoN information for AtoN authorities, the S-201 information should be packaged as S-100 datasets, alongside any necessary metadata and other support information. The S-100 data model specification</w:t>
      </w:r>
      <w:r>
        <w:t xml:space="preserve"> </w:t>
      </w:r>
      <w:r>
        <w:t xml:space="preserve">[6]</w:t>
      </w:r>
      <w:r>
        <w:t xml:space="preserve"> </w:t>
      </w:r>
      <w:r>
        <w:t xml:space="preserve">in Appendix 4aS-100 Part 17, introduces the Exchange Set data structure, precisely for supporting this functionality. To indicate that S-201 datasets are coupled with additional service metadata, we refer to the type S100ExchangeSet (see Figure 9).</w:t>
      </w:r>
    </w:p>
    <w:bookmarkStart w:id="157" w:name="_0910f56a61d41cfa4eb323b2ad2b28bc273375f"/>
    <w:p>
      <w:pPr>
        <w:pStyle w:val="CaptionedFigure"/>
      </w:pPr>
      <w:r>
        <w:drawing>
          <wp:inline>
            <wp:extent cx="4210050" cy="1666875"/>
            <wp:effectExtent b="0" l="0" r="0" t="0"/>
            <wp:docPr descr="S-201 dataset coupled with service metadata in an S-100 Exchange Set." title="" id="155" name="Picture"/>
            <a:graphic>
              <a:graphicData uri="http://schemas.openxmlformats.org/drawingml/2006/picture">
                <pic:pic>
                  <pic:nvPicPr>
                    <pic:cNvPr descr="source/guideline/../../resources/S201WithMetadata.png" id="156" name="Picture"/>
                    <pic:cNvPicPr>
                      <a:picLocks noChangeArrowheads="1" noChangeAspect="1"/>
                    </pic:cNvPicPr>
                  </pic:nvPicPr>
                  <pic:blipFill>
                    <a:blip r:embed="rId154"/>
                    <a:stretch>
                      <a:fillRect/>
                    </a:stretch>
                  </pic:blipFill>
                  <pic:spPr bwMode="auto">
                    <a:xfrm>
                      <a:off x="0" y="0"/>
                      <a:ext cx="4210050" cy="1666875"/>
                    </a:xfrm>
                    <a:prstGeom prst="rect">
                      <a:avLst/>
                    </a:prstGeom>
                    <a:noFill/>
                    <a:ln w="9525">
                      <a:noFill/>
                      <a:headEnd/>
                      <a:tailEnd/>
                    </a:ln>
                  </pic:spPr>
                </pic:pic>
              </a:graphicData>
            </a:graphic>
          </wp:inline>
        </w:drawing>
      </w:r>
    </w:p>
    <w:p>
      <w:pPr>
        <w:pStyle w:val="ImageCaption"/>
      </w:pPr>
      <w:r>
        <w:t xml:space="preserve">S-201 dataset coupled with service metadata in an S-100 Exchange Set.</w:t>
      </w:r>
    </w:p>
    <w:bookmarkEnd w:id="157"/>
    <w:bookmarkEnd w:id="158"/>
    <w:bookmarkStart w:id="159" w:name="_ec001e09143d562855064df11849a1b5aa6de8c"/>
    <w:p>
      <w:pPr>
        <w:pStyle w:val="Heading1"/>
      </w:pPr>
      <w:r>
        <w:t xml:space="preserve">Service Internal Data Model</w:t>
      </w:r>
    </w:p>
    <w:p>
      <w:pPr>
        <w:pStyle w:val="FirstParagraph"/>
      </w:pPr>
      <w:r>
        <w:t xml:space="preserve">As the S-201 data model, used to represent the transmitted data, is developed independently from this service specification, the internal data model of the service should be adequate to generate the required S-201 datasets. In addition, a way to store service metadata that are not directly related to the data model (internal service identifies, signatures, etc.) is required. For further information, refer to IALA Guideline 1157</w:t>
      </w:r>
      <w:r>
        <w:t xml:space="preserve"> </w:t>
      </w:r>
      <w:r>
        <w:t xml:space="preserve">[7]</w:t>
      </w:r>
      <w:r>
        <w:t xml:space="preserve">. However, these metadata are mostly implementation specific and therefore are not discussed in this service specification. Examples on how to implement this functionality can also be found in the IHO S-100 data model specification</w:t>
      </w:r>
      <w:r>
        <w:t xml:space="preserve"> </w:t>
      </w:r>
      <w:r>
        <w:t xml:space="preserve">[6]</w:t>
      </w:r>
      <w:r>
        <w:t xml:space="preserve">, as well as the SECOM standard</w:t>
      </w:r>
      <w:r>
        <w:t xml:space="preserve"> </w:t>
      </w:r>
      <w:r>
        <w:t xml:space="preserve">[5]</w:t>
      </w:r>
      <w:r>
        <w:t xml:space="preserve">.</w:t>
      </w:r>
    </w:p>
    <w:p>
      <w:r>
        <w:br w:type="page"/>
      </w:r>
    </w:p>
    <w:bookmarkEnd w:id="159"/>
    <w:bookmarkStart w:id="174" w:name="_d3e58ffce74e5b4345ae6466f84876dd9e0371c"/>
    <w:p>
      <w:pPr>
        <w:pStyle w:val="Heading1"/>
      </w:pPr>
      <w:r>
        <w:t xml:space="preserve">Service Dynamic Behaviour</w:t>
      </w:r>
    </w:p>
    <w:p>
      <w:pPr>
        <w:pStyle w:val="FirstParagraph"/>
      </w:pPr>
      <w:r>
        <w:t xml:space="preserve">This section describes the interactive behaviour of the operations between the service provider and the service consumers. The Enhanced AtoN Information service supports two different types of operations, namely the client-initiated retrieval of AtoN information, and the subscription-based AtoN information distribution. Both are discussed in the following sections respectively.</w:t>
      </w:r>
    </w:p>
    <w:p>
      <w:pPr>
        <w:pStyle w:val="BodyText"/>
      </w:pPr>
      <w:r>
        <w:rPr>
          <w:b/>
          <w:bCs/>
        </w:rPr>
        <w:t xml:space="preserve">Note</w:t>
      </w:r>
      <w:r>
        <w:t xml:space="preserve">: The description of the behaviour of the aforementioned operations, is provided in an abstract manner, where generic actions are performed on technology-agnostic endpoints. The implementation of each of these operations is left to be decided by the extending service design documents. In addition, any specific authentication procedure that is being applied is out of scope of the service specification and should be described in the service designs of this service.</w:t>
      </w:r>
    </w:p>
    <w:bookmarkStart w:id="168" w:name="_a8c46ada8d3a71107c9f5d2dc04e5eb37dc6132"/>
    <w:p>
      <w:pPr>
        <w:pStyle w:val="Heading2"/>
      </w:pPr>
      <w:r>
        <w:t xml:space="preserve">Client-initiated Retrieval of AtoN Information</w:t>
      </w:r>
    </w:p>
    <w:p>
      <w:pPr>
        <w:pStyle w:val="FirstParagraph"/>
      </w:pPr>
      <w:r>
        <w:t xml:space="preserve">The client-initiated retrieval is triggered by the service consumer, when it issues request on the appropriate service provider operations (i.e. Get and Get Summary). This operation covers Use</w:t>
      </w:r>
      <w:r>
        <w:t xml:space="preserve"> </w:t>
      </w:r>
      <w:r>
        <w:rPr>
          <w:b/>
          <w:bCs/>
          <w:i/>
          <w:iCs/>
        </w:rPr>
        <w:t xml:space="preserve">Case #1</w:t>
      </w:r>
      <w:r>
        <w:t xml:space="preserve">, as outlined in Section 3.4.4. All use cases can be achieved by two methods; either by directly requesting specific S-201 datasets, using the operation parameters of the Get operation, or by first requesting the S-201 dataset summary information through the Get Summary operation, and then using the provided dataset reference identifiers, to retrieve the corresponding S-201 datasets.</w:t>
      </w:r>
    </w:p>
    <w:p>
      <w:pPr>
        <w:pStyle w:val="BodyText"/>
      </w:pPr>
      <w:r>
        <w:t xml:space="preserve">The first method is presented in Figure 10, where the service consumer uses directly the Get operation of the service provider. By utilising the available operation parameters such as the geometry and the time-period, only specific S-201 datasets matching the specified criteria and/or have updates on the specified time-period interval, will be retrieved, packaged into an S-100 Exchange Set, and returned as a response.</w:t>
      </w:r>
    </w:p>
    <w:bookmarkStart w:id="163" w:name="_1ff642e4fecce5a17548c87c91df23cd22776e8"/>
    <w:p>
      <w:pPr>
        <w:pStyle w:val="CaptionedFigure"/>
      </w:pPr>
      <w:r>
        <w:drawing>
          <wp:inline>
            <wp:extent cx="6477000" cy="2829652"/>
            <wp:effectExtent b="0" l="0" r="0" t="0"/>
            <wp:docPr descr="diagram" title="" id="161" name="Picture"/>
            <a:graphic>
              <a:graphicData uri="http://schemas.openxmlformats.org/drawingml/2006/picture">
                <pic:pic>
                  <pic:nvPicPr>
                    <pic:cNvPr descr="source/guideline/./dynamic_behaviour-1.png" id="162" name="Picture"/>
                    <pic:cNvPicPr>
                      <a:picLocks noChangeArrowheads="1" noChangeAspect="1"/>
                    </pic:cNvPicPr>
                  </pic:nvPicPr>
                  <pic:blipFill>
                    <a:blip r:embed="rId160"/>
                    <a:stretch>
                      <a:fillRect/>
                    </a:stretch>
                  </pic:blipFill>
                  <pic:spPr bwMode="auto">
                    <a:xfrm>
                      <a:off x="0" y="0"/>
                      <a:ext cx="6477000" cy="2829652"/>
                    </a:xfrm>
                    <a:prstGeom prst="rect">
                      <a:avLst/>
                    </a:prstGeom>
                    <a:noFill/>
                    <a:ln w="9525">
                      <a:noFill/>
                      <a:headEnd/>
                      <a:tailEnd/>
                    </a:ln>
                  </pic:spPr>
                </pic:pic>
              </a:graphicData>
            </a:graphic>
          </wp:inline>
        </w:drawing>
      </w:r>
    </w:p>
    <w:p>
      <w:pPr>
        <w:pStyle w:val="ImageCaption"/>
      </w:pPr>
      <w:r>
        <w:t xml:space="preserve">Client-Initiated AtoN Information Retrieval through the Get operation.</w:t>
      </w:r>
    </w:p>
    <w:bookmarkEnd w:id="163"/>
    <w:p>
      <w:pPr>
        <w:pStyle w:val="FirstParagraph"/>
      </w:pPr>
      <w:r>
        <w:t xml:space="preserve">In cases where the service consumer requires more information, before making a decision on which datasets should be downloaded, the latter “Client-initiated AtoN Information Retrieval” method can be utilised, by contacting the Get Summary operation beforehand. This is demonstrated in Figure 11, where the service consumer requests the list of the available S-201 dataset metadata via the summary operation and directly receives a response from the service provider. The service consumer can then select a dataset reference identifier from the returned list and request the detailed information (i.e. the complete S-201 dataset) back, through the Get operation of the service provider. The corresponding S-201 dataset (and/or its corresponding updates) will be packaged as an S-100 Exchange Set and then get sent back to the service consumer as direct response.</w:t>
      </w:r>
    </w:p>
    <w:bookmarkStart w:id="167" w:name="_a799260ab5ee587eb408857f814c1960d725c5c"/>
    <w:p>
      <w:pPr>
        <w:pStyle w:val="CaptionedFigure"/>
      </w:pPr>
      <w:r>
        <w:drawing>
          <wp:inline>
            <wp:extent cx="6477000" cy="3436973"/>
            <wp:effectExtent b="0" l="0" r="0" t="0"/>
            <wp:docPr descr="diagram" title="" id="165" name="Picture"/>
            <a:graphic>
              <a:graphicData uri="http://schemas.openxmlformats.org/drawingml/2006/picture">
                <pic:pic>
                  <pic:nvPicPr>
                    <pic:cNvPr descr="source/guideline/./dynamic_behaviour-2.png" id="166" name="Picture"/>
                    <pic:cNvPicPr>
                      <a:picLocks noChangeArrowheads="1" noChangeAspect="1"/>
                    </pic:cNvPicPr>
                  </pic:nvPicPr>
                  <pic:blipFill>
                    <a:blip r:embed="rId164"/>
                    <a:stretch>
                      <a:fillRect/>
                    </a:stretch>
                  </pic:blipFill>
                  <pic:spPr bwMode="auto">
                    <a:xfrm>
                      <a:off x="0" y="0"/>
                      <a:ext cx="6477000" cy="3436973"/>
                    </a:xfrm>
                    <a:prstGeom prst="rect">
                      <a:avLst/>
                    </a:prstGeom>
                    <a:noFill/>
                    <a:ln w="9525">
                      <a:noFill/>
                      <a:headEnd/>
                      <a:tailEnd/>
                    </a:ln>
                  </pic:spPr>
                </pic:pic>
              </a:graphicData>
            </a:graphic>
          </wp:inline>
        </w:drawing>
      </w:r>
    </w:p>
    <w:p>
      <w:pPr>
        <w:pStyle w:val="ImageCaption"/>
      </w:pPr>
      <w:r>
        <w:t xml:space="preserve">Client-Initiated AtoN Information Retrieval through the Get Summary operation.</w:t>
      </w:r>
    </w:p>
    <w:bookmarkEnd w:id="167"/>
    <w:p>
      <w:pPr>
        <w:pStyle w:val="FirstParagraph"/>
      </w:pPr>
      <w:r>
        <w:t xml:space="preserve">As demonstrated in Figure 11, the Get Summary operation accepts similar operation parameters as the Get operation, which can be employed to filter the summary response list. This feature improves the flexibility of the whole operation as for example, even if a provided geometry operation parameter matches more than one S-201 datasets, only the required dataset will eventually be retrieved by the service consumer, by using its respective dataset reference identifier.</w:t>
      </w:r>
    </w:p>
    <w:bookmarkEnd w:id="168"/>
    <w:bookmarkStart w:id="173" w:name="_e1f4ba8c3d22d57be3c4dbcc66dda18514f615b"/>
    <w:p>
      <w:pPr>
        <w:pStyle w:val="Heading2"/>
      </w:pPr>
      <w:r>
        <w:t xml:space="preserve">Subscription-based AtoN Information Distribution</w:t>
      </w:r>
    </w:p>
    <w:p>
      <w:pPr>
        <w:pStyle w:val="FirstParagraph"/>
      </w:pPr>
      <w:r>
        <w:t xml:space="preserve">The subscription on AtoN Information is an alternative method of data propagation, in which a service consumer actively registers its interest to receive updates either on a specific set or alternatively, on all available S-201 datasets.</w:t>
      </w:r>
    </w:p>
    <w:p>
      <w:pPr>
        <w:pStyle w:val="BodyText"/>
      </w:pPr>
      <w:r>
        <w:t xml:space="preserve">Figure 12 illustrates the typical behaviour of the subscription operation. Initially, the service consumer is required to initiate the procedure through the Subscription operation of the service provider. By utilising the available operation parameters such as the geometry and the subscription period, only the specific S-201 datasets matching the specified criteria and have updates during the specified subscription interval will be covered. Once the subscription request has been received, processed and accepted by the service provider, a notification should be sent back to the service consumer, using its Subscription Notification operation. This notification will indicate that the requested subscription has commenced and should include a subscription identifier reference for the established subscription.</w:t>
      </w:r>
    </w:p>
    <w:p>
      <w:pPr>
        <w:pStyle w:val="BodyText"/>
      </w:pPr>
      <w:r>
        <w:t xml:space="preserve">Whenever an update is made available on the set of S-201 datasets covered by a subscription, the service consumer Upload operation is used to deliver these updates, packaged as S-100 Exchange Sets, to the service consumer. Depending on the implementation of the service, the consumer may be required to respond to this operation by sending an acknowledgement message back to the service provider. This is an optional operation, depending on the implementing technology. Therefore, it is not covered as an operation in this service specification.</w:t>
      </w:r>
    </w:p>
    <w:p>
      <w:pPr>
        <w:pStyle w:val="BodyText"/>
      </w:pPr>
      <w:r>
        <w:t xml:space="preserve">The subscription updates will continue to be provided until</w:t>
      </w:r>
      <w:r>
        <w:t xml:space="preserve"> </w:t>
      </w:r>
      <w:r>
        <w:rPr>
          <w:b/>
          <w:bCs/>
        </w:rPr>
        <w:t xml:space="preserve">one</w:t>
      </w:r>
      <w:r>
        <w:t xml:space="preserve"> </w:t>
      </w:r>
      <w:r>
        <w:t xml:space="preserve">of the following conditions are met:</w:t>
      </w:r>
    </w:p>
    <w:p>
      <w:pPr>
        <w:pStyle w:val="Compact"/>
        <w:numPr>
          <w:ilvl w:val="0"/>
          <w:numId w:val="1016"/>
        </w:numPr>
      </w:pPr>
      <w:r>
        <w:t xml:space="preserve">The subscription period initially set by the service consumer has expired.</w:t>
      </w:r>
    </w:p>
    <w:p>
      <w:pPr>
        <w:pStyle w:val="Compact"/>
        <w:numPr>
          <w:ilvl w:val="0"/>
          <w:numId w:val="1016"/>
        </w:numPr>
      </w:pPr>
      <w:r>
        <w:t xml:space="preserve">The service consumer requests an end to the active subscription, using the Remove Subscription operation of the service provider.</w:t>
      </w:r>
    </w:p>
    <w:p>
      <w:pPr>
        <w:pStyle w:val="Compact"/>
        <w:numPr>
          <w:ilvl w:val="0"/>
          <w:numId w:val="1016"/>
        </w:numPr>
      </w:pPr>
      <w:r>
        <w:t xml:space="preserve">The service provider removes the information objects covered by the subscription.</w:t>
      </w:r>
    </w:p>
    <w:p>
      <w:pPr>
        <w:pStyle w:val="Compact"/>
        <w:numPr>
          <w:ilvl w:val="0"/>
          <w:numId w:val="1016"/>
        </w:numPr>
      </w:pPr>
      <w:r>
        <w:t xml:space="preserve">An expected incident/unexpected error forces the service provider to terminate the subscription.</w:t>
      </w:r>
    </w:p>
    <w:bookmarkStart w:id="172" w:name="_44dc000e6680f1b6a51373a720de64285719f5e"/>
    <w:p>
      <w:pPr>
        <w:pStyle w:val="CaptionedFigure"/>
      </w:pPr>
      <w:r>
        <w:drawing>
          <wp:inline>
            <wp:extent cx="6477000" cy="4592449"/>
            <wp:effectExtent b="0" l="0" r="0" t="0"/>
            <wp:docPr descr="diagram" title="" id="170" name="Picture"/>
            <a:graphic>
              <a:graphicData uri="http://schemas.openxmlformats.org/drawingml/2006/picture">
                <pic:pic>
                  <pic:nvPicPr>
                    <pic:cNvPr descr="source/guideline/./dynamic_behaviour-3.png" id="171" name="Picture"/>
                    <pic:cNvPicPr>
                      <a:picLocks noChangeArrowheads="1" noChangeAspect="1"/>
                    </pic:cNvPicPr>
                  </pic:nvPicPr>
                  <pic:blipFill>
                    <a:blip r:embed="rId169"/>
                    <a:stretch>
                      <a:fillRect/>
                    </a:stretch>
                  </pic:blipFill>
                  <pic:spPr bwMode="auto">
                    <a:xfrm>
                      <a:off x="0" y="0"/>
                      <a:ext cx="6477000" cy="4592449"/>
                    </a:xfrm>
                    <a:prstGeom prst="rect">
                      <a:avLst/>
                    </a:prstGeom>
                    <a:noFill/>
                    <a:ln w="9525">
                      <a:noFill/>
                      <a:headEnd/>
                      <a:tailEnd/>
                    </a:ln>
                  </pic:spPr>
                </pic:pic>
              </a:graphicData>
            </a:graphic>
          </wp:inline>
        </w:drawing>
      </w:r>
    </w:p>
    <w:p>
      <w:pPr>
        <w:pStyle w:val="ImageCaption"/>
      </w:pPr>
      <w:r>
        <w:t xml:space="preserve">Subscription requested by external service.</w:t>
      </w:r>
    </w:p>
    <w:bookmarkEnd w:id="172"/>
    <w:p>
      <w:pPr>
        <w:pStyle w:val="FirstParagraph"/>
      </w:pPr>
      <w:r>
        <w:t xml:space="preserve">In the sequence diagram presented in Figure 12, the established subscription is terminated though a service consumer request. This should include the identifier reference of the subscription to be terminated, otherwise the service provider will terminate all active subscriptions for the service consumer performing the request. Once the service consumer’s request has been received, processed, and accepted by the service provider, another notification will be sent back to the service consumer’s Subscription Notification operation, to terminate the subscription process.</w:t>
      </w:r>
    </w:p>
    <w:p>
      <w:pPr>
        <w:pStyle w:val="BodyText"/>
      </w:pPr>
      <w:r>
        <w:t xml:space="preserve">Note that the full contents of the S-201 datasets covered by a subscription, are not send back to the service consumer, unless a new dataset is created within the active period of an existing subscription that covers it. In all other cases, only the S-201 dataset changes will be transferred, in order to conserve bandwidth. Therefore, service consumer needs to utilise the Get (and Get Summary) operations, if the full contents of the S-201 datasets are required.</w:t>
      </w:r>
    </w:p>
    <w:p>
      <w:r>
        <w:br w:type="page"/>
      </w:r>
    </w:p>
    <w:bookmarkEnd w:id="173"/>
    <w:bookmarkEnd w:id="174"/>
    <w:bookmarkStart w:id="188" w:name="_references"/>
    <w:p>
      <w:pPr>
        <w:pStyle w:val="Heading1"/>
      </w:pPr>
      <w:r>
        <w:t xml:space="preserve">References</w:t>
      </w:r>
    </w:p>
    <w:bookmarkStart w:id="187" w:name="_refs"/>
    <w:bookmarkStart w:id="176" w:name="_0b47f46b10ab145f237c47e8f9a1596159c21b8"/>
    <w:p>
      <w:pPr>
        <w:pStyle w:val="Bibliography"/>
      </w:pPr>
      <w:r>
        <w:t xml:space="preserve">[1]</w:t>
      </w:r>
      <w:r>
        <w:t xml:space="preserve"> </w:t>
      </w:r>
      <w:r>
        <w:t xml:space="preserve">	</w:t>
      </w:r>
      <w:r>
        <w:t xml:space="preserve">International Organization for Marine Aids to Navigation (IALA),</w:t>
      </w:r>
      <w:r>
        <w:t xml:space="preserve"> </w:t>
      </w:r>
      <w:r>
        <w:t xml:space="preserve">“The specification of e-navigation technical services,”</w:t>
      </w:r>
      <w:r>
        <w:t xml:space="preserve"> </w:t>
      </w:r>
      <w:r>
        <w:t xml:space="preserve">Guideline 1128. Available:</w:t>
      </w:r>
      <w:r>
        <w:t xml:space="preserve"> </w:t>
      </w:r>
      <w:hyperlink r:id="rId175">
        <w:r>
          <w:rPr>
            <w:rStyle w:val="Hyperlink"/>
          </w:rPr>
          <w:t xml:space="preserve">https://www.iala.int/product/g1128/</w:t>
        </w:r>
      </w:hyperlink>
    </w:p>
    <w:bookmarkEnd w:id="176"/>
    <w:bookmarkStart w:id="177" w:name="_144641ce07337b0e21bf947c218d288d8342822"/>
    <w:p>
      <w:pPr>
        <w:pStyle w:val="Bibliography"/>
      </w:pPr>
      <w:r>
        <w:t xml:space="preserve">[2]</w:t>
      </w:r>
      <w:r>
        <w:t xml:space="preserve"> </w:t>
      </w:r>
      <w:r>
        <w:t xml:space="preserve">	</w:t>
      </w:r>
      <w:r>
        <w:t xml:space="preserve">International Organization for Marine Aids to Navigation (IALA),</w:t>
      </w:r>
      <w:r>
        <w:t xml:space="preserve"> </w:t>
      </w:r>
      <w:r>
        <w:t xml:space="preserve">“S-201 – aids to navigation (AtoN) information product specification,”</w:t>
      </w:r>
      <w:r>
        <w:t xml:space="preserve"> </w:t>
      </w:r>
      <w:r>
        <w:t xml:space="preserve">Standard 2.0.0.</w:t>
      </w:r>
    </w:p>
    <w:bookmarkEnd w:id="177"/>
    <w:bookmarkStart w:id="179" w:name="_a71ce71395f6ae655380231bfac30ec50fc63f7"/>
    <w:p>
      <w:pPr>
        <w:pStyle w:val="Bibliography"/>
      </w:pPr>
      <w:r>
        <w:t xml:space="preserve">[3]</w:t>
      </w:r>
      <w:r>
        <w:t xml:space="preserve"> </w:t>
      </w:r>
      <w:r>
        <w:t xml:space="preserve">	</w:t>
      </w:r>
      <w:r>
        <w:t xml:space="preserve">International Organization for Marine Aids to Navigation (IALA),</w:t>
      </w:r>
      <w:r>
        <w:t xml:space="preserve"> </w:t>
      </w:r>
      <w:r>
        <w:t xml:space="preserve">“MS-2 – aids to navigation maritime service – IALA g-1155 maritime service description,”</w:t>
      </w:r>
      <w:r>
        <w:t xml:space="preserve"> </w:t>
      </w:r>
      <w:r>
        <w:t xml:space="preserve">Guideline XXXX. Available:</w:t>
      </w:r>
      <w:r>
        <w:t xml:space="preserve"> </w:t>
      </w:r>
      <w:hyperlink r:id="rId178">
        <w:r>
          <w:rPr>
            <w:rStyle w:val="Hyperlink"/>
          </w:rPr>
          <w:t xml:space="preserve">https://www.iala.int/product/gXXXX/</w:t>
        </w:r>
      </w:hyperlink>
    </w:p>
    <w:bookmarkEnd w:id="179"/>
    <w:bookmarkStart w:id="180" w:name="_a9adff0a198a6dc23adaf8e98cc2a762ba3c022"/>
    <w:p>
      <w:pPr>
        <w:pStyle w:val="Bibliography"/>
      </w:pPr>
      <w:r>
        <w:t xml:space="preserve">[4]</w:t>
      </w:r>
      <w:r>
        <w:t xml:space="preserve"> </w:t>
      </w:r>
      <w:r>
        <w:t xml:space="preserve">	</w:t>
      </w:r>
      <w:r>
        <w:t xml:space="preserve">International Hydrographic Organization (IHO),</w:t>
      </w:r>
      <w:r>
        <w:t xml:space="preserve"> </w:t>
      </w:r>
      <w:r>
        <w:t xml:space="preserve">“S-125 – interoperability guide,”</w:t>
      </w:r>
      <w:r>
        <w:t xml:space="preserve"> </w:t>
      </w:r>
      <w:r>
        <w:t xml:space="preserve">Report 1.0.0.</w:t>
      </w:r>
    </w:p>
    <w:bookmarkEnd w:id="180"/>
    <w:bookmarkStart w:id="182" w:name="_62c097ad28c4b21aadec654955b40e5412e6be2"/>
    <w:p>
      <w:pPr>
        <w:pStyle w:val="Bibliography"/>
      </w:pPr>
      <w:r>
        <w:t xml:space="preserve">[5]</w:t>
      </w:r>
      <w:r>
        <w:t xml:space="preserve"> </w:t>
      </w:r>
      <w:r>
        <w:t xml:space="preserve">	</w:t>
      </w:r>
      <w:r>
        <w:t xml:space="preserve">International Electrotechnical Commission (IEC),</w:t>
      </w:r>
      <w:r>
        <w:t xml:space="preserve"> </w:t>
      </w:r>
      <w:r>
        <w:t xml:space="preserve">“Maritime navigation and radiocommunication equipment and systems - data interfaces - part 2: Secure communication between ship and shore (SECOM),”</w:t>
      </w:r>
      <w:r>
        <w:t xml:space="preserve"> </w:t>
      </w:r>
      <w:r>
        <w:t xml:space="preserve">Guideline 63173-2. Available:</w:t>
      </w:r>
      <w:r>
        <w:t xml:space="preserve"> </w:t>
      </w:r>
      <w:hyperlink r:id="rId181">
        <w:r>
          <w:rPr>
            <w:rStyle w:val="Hyperlink"/>
          </w:rPr>
          <w:t xml:space="preserve">https://webstore.iec.ch/en/publication/64543</w:t>
        </w:r>
      </w:hyperlink>
    </w:p>
    <w:bookmarkEnd w:id="182"/>
    <w:bookmarkStart w:id="184" w:name="_9b4b35f40fd92e9933f1c8daf7e40dec1db3548"/>
    <w:p>
      <w:pPr>
        <w:pStyle w:val="Bibliography"/>
      </w:pPr>
      <w:r>
        <w:t xml:space="preserve">[6]</w:t>
      </w:r>
      <w:r>
        <w:t xml:space="preserve"> </w:t>
      </w:r>
      <w:r>
        <w:t xml:space="preserve">	</w:t>
      </w:r>
      <w:r>
        <w:t xml:space="preserve">International Hydrographic Organization (IHO),</w:t>
      </w:r>
      <w:r>
        <w:t xml:space="preserve"> </w:t>
      </w:r>
      <w:r>
        <w:t xml:space="preserve">“S-100 – universal hydrographic data model,”</w:t>
      </w:r>
      <w:r>
        <w:t xml:space="preserve"> </w:t>
      </w:r>
      <w:r>
        <w:t xml:space="preserve">Standard 5.2.0. Available:</w:t>
      </w:r>
      <w:r>
        <w:t xml:space="preserve"> </w:t>
      </w:r>
      <w:hyperlink r:id="rId183">
        <w:r>
          <w:rPr>
            <w:rStyle w:val="Hyperlink"/>
          </w:rPr>
          <w:t xml:space="preserve">https://iho.int/uploads/user/pubs/standards/s-100/S-100_5.2.0_Final_Clean.pdf</w:t>
        </w:r>
      </w:hyperlink>
    </w:p>
    <w:bookmarkEnd w:id="184"/>
    <w:bookmarkStart w:id="186" w:name="_0187158084b43b069f52a36774e1f3d884ed99c"/>
    <w:p>
      <w:pPr>
        <w:pStyle w:val="Bibliography"/>
      </w:pPr>
      <w:r>
        <w:t xml:space="preserve">[7]</w:t>
      </w:r>
      <w:r>
        <w:t xml:space="preserve"> </w:t>
      </w:r>
      <w:r>
        <w:t xml:space="preserve">	</w:t>
      </w:r>
      <w:r>
        <w:t xml:space="preserve">International Organization for Marine Aids to Navigation (IALA),</w:t>
      </w:r>
      <w:r>
        <w:t xml:space="preserve"> </w:t>
      </w:r>
      <w:r>
        <w:t xml:space="preserve">“Web service based s-100 data exchange,”</w:t>
      </w:r>
      <w:r>
        <w:t xml:space="preserve"> </w:t>
      </w:r>
      <w:r>
        <w:t xml:space="preserve">Guideline 1157. Available:</w:t>
      </w:r>
      <w:r>
        <w:t xml:space="preserve"> </w:t>
      </w:r>
      <w:hyperlink r:id="rId185">
        <w:r>
          <w:rPr>
            <w:rStyle w:val="Hyperlink"/>
          </w:rPr>
          <w:t xml:space="preserve">https://www.iala.int/product/g1157/</w:t>
        </w:r>
      </w:hyperlink>
    </w:p>
    <w:bookmarkEnd w:id="186"/>
    <w:bookmarkEnd w:id="187"/>
    <w:p>
      <w:r>
        <w:br w:type="page"/>
      </w:r>
    </w:p>
    <w:bookmarkEnd w:id="188"/>
    <w:bookmarkStart w:id="192" w:name="_a6f246967ec05921d1af89a4eefd5a4b74476a3"/>
    <w:p>
      <w:pPr>
        <w:pStyle w:val="Heading1"/>
      </w:pPr>
      <w:r>
        <w:t xml:space="preserve">Acronyms and Terminology</w:t>
      </w:r>
    </w:p>
    <w:bookmarkStart w:id="191" w:name="_c0af5d4845e546aca099160f27526177c1d3cbf"/>
    <w:p>
      <w:pPr>
        <w:pStyle w:val="Heading2"/>
      </w:pPr>
      <w:r>
        <w:t xml:space="preserve">Acronyms</w:t>
      </w:r>
    </w:p>
    <w:bookmarkStart w:id="189" w:name="_77b39a402af6bfe119bab419832ae02a6956a58"/>
    <w:p>
      <w:pPr>
        <w:pStyle w:val="TableCaption"/>
      </w:pPr>
      <w:r>
        <w:t xml:space="preserve">List of Acronyms</w:t>
      </w:r>
    </w:p>
    <w:tbl>
      <w:tblPr>
        <w:tblStyle w:val="Table"/>
        <w:tblW w:type="auto" w:w="0"/>
        <w:tblLook w:firstRow="1" w:lastRow="0" w:firstColumn="0" w:lastColumn="0" w:noHBand="0" w:noVBand="0" w:val="0020"/>
        <w:tblCaption w:val="List of Acronyms"/>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i/>
                <w:iCs/>
              </w:rPr>
              <w:t xml:space="preserve">API</w:t>
            </w:r>
          </w:p>
        </w:tc>
        <w:tc>
          <w:tcPr/>
          <w:p>
            <w:pPr>
              <w:pStyle w:val="Compact"/>
            </w:pPr>
            <w:r>
              <w:t xml:space="preserve">Application Programming Interface</w:t>
            </w:r>
          </w:p>
        </w:tc>
      </w:tr>
      <w:tr>
        <w:tc>
          <w:tcPr/>
          <w:p>
            <w:pPr>
              <w:pStyle w:val="Compact"/>
            </w:pPr>
            <w:r>
              <w:rPr>
                <w:b/>
                <w:bCs/>
                <w:i/>
                <w:iCs/>
              </w:rPr>
              <w:t xml:space="preserve">MC</w:t>
            </w:r>
          </w:p>
        </w:tc>
        <w:tc>
          <w:tcPr/>
          <w:p>
            <w:pPr>
              <w:pStyle w:val="Compact"/>
            </w:pPr>
            <w:r>
              <w:t xml:space="preserve">Maritime Cloud</w:t>
            </w:r>
          </w:p>
        </w:tc>
      </w:tr>
      <w:tr>
        <w:tc>
          <w:tcPr/>
          <w:p>
            <w:pPr>
              <w:pStyle w:val="Compact"/>
            </w:pPr>
            <w:r>
              <w:rPr>
                <w:b/>
                <w:bCs/>
                <w:i/>
                <w:iCs/>
              </w:rPr>
              <w:t xml:space="preserve">MEP</w:t>
            </w:r>
          </w:p>
        </w:tc>
        <w:tc>
          <w:tcPr/>
          <w:p>
            <w:pPr>
              <w:pStyle w:val="Compact"/>
            </w:pPr>
            <w:r>
              <w:t xml:space="preserve">Message Exchange Pattern</w:t>
            </w:r>
          </w:p>
        </w:tc>
      </w:tr>
      <w:tr>
        <w:tc>
          <w:tcPr/>
          <w:p>
            <w:pPr>
              <w:pStyle w:val="Compact"/>
            </w:pPr>
            <w:r>
              <w:rPr>
                <w:b/>
                <w:bCs/>
                <w:i/>
                <w:iCs/>
              </w:rPr>
              <w:t xml:space="preserve">MRN</w:t>
            </w:r>
          </w:p>
        </w:tc>
        <w:tc>
          <w:tcPr/>
          <w:p>
            <w:pPr>
              <w:pStyle w:val="Compact"/>
            </w:pPr>
            <w:r>
              <w:t xml:space="preserve">Maritime Resource Name</w:t>
            </w:r>
          </w:p>
        </w:tc>
      </w:tr>
      <w:tr>
        <w:tc>
          <w:tcPr/>
          <w:p>
            <w:pPr>
              <w:pStyle w:val="Compact"/>
            </w:pPr>
            <w:r>
              <w:rPr>
                <w:b/>
                <w:bCs/>
                <w:i/>
                <w:iCs/>
              </w:rPr>
              <w:t xml:space="preserve">NAF</w:t>
            </w:r>
          </w:p>
        </w:tc>
        <w:tc>
          <w:tcPr/>
          <w:p>
            <w:pPr>
              <w:pStyle w:val="Compact"/>
            </w:pPr>
            <w:r>
              <w:t xml:space="preserve">NATO Architectural Framework</w:t>
            </w:r>
          </w:p>
        </w:tc>
      </w:tr>
      <w:tr>
        <w:tc>
          <w:tcPr/>
          <w:p>
            <w:pPr>
              <w:pStyle w:val="Compact"/>
            </w:pPr>
            <w:r>
              <w:rPr>
                <w:b/>
                <w:bCs/>
                <w:i/>
                <w:iCs/>
              </w:rPr>
              <w:t xml:space="preserve">REST</w:t>
            </w:r>
          </w:p>
        </w:tc>
        <w:tc>
          <w:tcPr/>
          <w:p>
            <w:pPr>
              <w:pStyle w:val="Compact"/>
            </w:pPr>
            <w:r>
              <w:t xml:space="preserve">Representational State Transfer</w:t>
            </w:r>
          </w:p>
        </w:tc>
      </w:tr>
      <w:tr>
        <w:tc>
          <w:tcPr/>
          <w:p>
            <w:pPr>
              <w:pStyle w:val="Compact"/>
            </w:pPr>
            <w:r>
              <w:rPr>
                <w:b/>
                <w:bCs/>
                <w:i/>
                <w:iCs/>
              </w:rPr>
              <w:t xml:space="preserve">SOA</w:t>
            </w:r>
          </w:p>
        </w:tc>
        <w:tc>
          <w:tcPr/>
          <w:p>
            <w:pPr>
              <w:pStyle w:val="Compact"/>
            </w:pPr>
            <w:r>
              <w:t xml:space="preserve">Service Oriented Architecture</w:t>
            </w:r>
          </w:p>
        </w:tc>
      </w:tr>
      <w:tr>
        <w:tc>
          <w:tcPr/>
          <w:p>
            <w:pPr>
              <w:pStyle w:val="Compact"/>
            </w:pPr>
            <w:r>
              <w:rPr>
                <w:b/>
                <w:bCs/>
                <w:i/>
                <w:iCs/>
              </w:rPr>
              <w:t xml:space="preserve">SOAP</w:t>
            </w:r>
          </w:p>
        </w:tc>
        <w:tc>
          <w:tcPr/>
          <w:p>
            <w:pPr>
              <w:pStyle w:val="Compact"/>
            </w:pPr>
            <w:r>
              <w:t xml:space="preserve">Simple Object Access Protocol</w:t>
            </w:r>
          </w:p>
        </w:tc>
      </w:tr>
      <w:tr>
        <w:tc>
          <w:tcPr/>
          <w:p>
            <w:pPr>
              <w:pStyle w:val="Compact"/>
            </w:pPr>
            <w:r>
              <w:rPr>
                <w:b/>
                <w:bCs/>
                <w:i/>
                <w:iCs/>
              </w:rPr>
              <w:t xml:space="preserve">SSD</w:t>
            </w:r>
          </w:p>
        </w:tc>
        <w:tc>
          <w:tcPr/>
          <w:p>
            <w:pPr>
              <w:pStyle w:val="Compact"/>
            </w:pPr>
            <w:r>
              <w:t xml:space="preserve">Service Specification Document</w:t>
            </w:r>
          </w:p>
        </w:tc>
      </w:tr>
      <w:tr>
        <w:tc>
          <w:tcPr/>
          <w:p>
            <w:pPr>
              <w:pStyle w:val="Compact"/>
            </w:pPr>
            <w:r>
              <w:rPr>
                <w:b/>
                <w:bCs/>
                <w:i/>
                <w:iCs/>
              </w:rPr>
              <w:t xml:space="preserve">UML</w:t>
            </w:r>
          </w:p>
        </w:tc>
        <w:tc>
          <w:tcPr/>
          <w:p>
            <w:pPr>
              <w:pStyle w:val="Compact"/>
            </w:pPr>
            <w:r>
              <w:t xml:space="preserve">Unified Modelling Language</w:t>
            </w:r>
          </w:p>
        </w:tc>
      </w:tr>
      <w:tr>
        <w:tc>
          <w:tcPr/>
          <w:p>
            <w:pPr>
              <w:pStyle w:val="Compact"/>
            </w:pPr>
            <w:r>
              <w:rPr>
                <w:b/>
                <w:bCs/>
                <w:i/>
                <w:iCs/>
              </w:rPr>
              <w:t xml:space="preserve">URL</w:t>
            </w:r>
          </w:p>
        </w:tc>
        <w:tc>
          <w:tcPr/>
          <w:p>
            <w:pPr>
              <w:pStyle w:val="Compact"/>
            </w:pPr>
            <w:r>
              <w:t xml:space="preserve">Uniform Resource Locator</w:t>
            </w:r>
          </w:p>
        </w:tc>
      </w:tr>
      <w:tr>
        <w:tc>
          <w:tcPr/>
          <w:p>
            <w:pPr>
              <w:pStyle w:val="Compact"/>
            </w:pPr>
            <w:r>
              <w:rPr>
                <w:b/>
                <w:bCs/>
                <w:i/>
                <w:iCs/>
              </w:rPr>
              <w:t xml:space="preserve">VTS</w:t>
            </w:r>
          </w:p>
        </w:tc>
        <w:tc>
          <w:tcPr/>
          <w:p>
            <w:pPr>
              <w:pStyle w:val="Compact"/>
            </w:pPr>
            <w:r>
              <w:t xml:space="preserve">Vessel Traffic Service</w:t>
            </w:r>
          </w:p>
        </w:tc>
      </w:tr>
      <w:tr>
        <w:tc>
          <w:tcPr/>
          <w:p>
            <w:pPr>
              <w:pStyle w:val="Compact"/>
            </w:pPr>
            <w:r>
              <w:rPr>
                <w:b/>
                <w:bCs/>
                <w:i/>
                <w:iCs/>
              </w:rPr>
              <w:t xml:space="preserve">WSDL</w:t>
            </w:r>
          </w:p>
        </w:tc>
        <w:tc>
          <w:tcPr/>
          <w:p>
            <w:pPr>
              <w:pStyle w:val="Compact"/>
            </w:pPr>
            <w:r>
              <w:t xml:space="preserve">Web Service Definition Language</w:t>
            </w:r>
          </w:p>
        </w:tc>
      </w:tr>
      <w:tr>
        <w:tc>
          <w:tcPr/>
          <w:p>
            <w:pPr>
              <w:pStyle w:val="Compact"/>
            </w:pPr>
            <w:r>
              <w:rPr>
                <w:b/>
                <w:bCs/>
                <w:i/>
                <w:iCs/>
              </w:rPr>
              <w:t xml:space="preserve">XML</w:t>
            </w:r>
          </w:p>
        </w:tc>
        <w:tc>
          <w:tcPr/>
          <w:p>
            <w:pPr>
              <w:pStyle w:val="Compact"/>
            </w:pPr>
            <w:r>
              <w:t xml:space="preserve">Extendible Mark-up Language</w:t>
            </w:r>
          </w:p>
        </w:tc>
      </w:tr>
      <w:tr>
        <w:tc>
          <w:tcPr/>
          <w:p>
            <w:pPr>
              <w:pStyle w:val="Compact"/>
            </w:pPr>
            <w:r>
              <w:rPr>
                <w:b/>
                <w:bCs/>
                <w:i/>
                <w:iCs/>
              </w:rPr>
              <w:t xml:space="preserve">XSD</w:t>
            </w:r>
          </w:p>
        </w:tc>
        <w:tc>
          <w:tcPr/>
          <w:p>
            <w:pPr>
              <w:pStyle w:val="Compact"/>
            </w:pPr>
            <w:r>
              <w:t xml:space="preserve">XML Schema Definition</w:t>
            </w:r>
          </w:p>
        </w:tc>
      </w:tr>
    </w:tbl>
    <w:bookmarkEnd w:id="189"/>
    <w:p/>
    <w:bookmarkStart w:id="190" w:name="_fe740c36bce682192465c9d433bd34618b16760"/>
    <w:p>
      <w:pPr>
        <w:pStyle w:val="TableCaption"/>
      </w:pPr>
      <w:r>
        <w:t xml:space="preserve">List of Terms</w:t>
      </w:r>
    </w:p>
    <w:tbl>
      <w:tblPr>
        <w:tblStyle w:val="Table"/>
        <w:tblW w:type="pct" w:w="5000"/>
        <w:tblLayout w:type="fixed"/>
        <w:tblLook w:firstRow="1" w:lastRow="0" w:firstColumn="0" w:lastColumn="0" w:noHBand="0" w:noVBand="0" w:val="0020"/>
        <w:tblCaption w:val="List of Terms"/>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i/>
                <w:iCs/>
              </w:rPr>
              <w:t xml:space="preserve">External Data Model</w:t>
            </w:r>
          </w:p>
        </w:tc>
        <w:tc>
          <w:tcPr/>
          <w:p>
            <w:pPr>
              <w:pStyle w:val="Compact"/>
            </w:pPr>
            <w:r>
              <w:t xml:space="preserve">Describes the semantics of the “maritime world” (or a significant part thereof) by defining data structures and their relations. This could be at logical level (e.g., in UML) or at physical level (e.g., in XSD schema definitions), as for example standard data models, or S-100 based data produce specifications.</w:t>
            </w:r>
          </w:p>
        </w:tc>
      </w:tr>
      <w:tr>
        <w:tc>
          <w:tcPr/>
          <w:p>
            <w:pPr>
              <w:pStyle w:val="Compact"/>
            </w:pPr>
            <w:r>
              <w:rPr>
                <w:b/>
                <w:bCs/>
                <w:i/>
                <w:iCs/>
              </w:rPr>
              <w:t xml:space="preserve">Message Exchange Pattern</w:t>
            </w:r>
          </w:p>
        </w:tc>
        <w:tc>
          <w:tcPr/>
          <w:p>
            <w:pPr>
              <w:pStyle w:val="Compact"/>
            </w:pPr>
            <w:r>
              <w:t xml:space="preserve">Describes the principles how two different parts of a message passing system (in our case: the service provider and the service consumer) interact and communicate with each other. Examples: 1) In the Request/Response MEP, the service consumer sends a request to the service provider in order to obtain certain information; the service provider provides the requested information in a dedicated response. 2) In the Publish/Subscribe MEP, the service consumer establishes a subscription with the service provider in order to obtain certain information; the service provider publishes information (either in regular intervals or upon change) to all subscribed service consumers.</w:t>
            </w:r>
          </w:p>
        </w:tc>
      </w:tr>
      <w:tr>
        <w:tc>
          <w:tcPr/>
          <w:p>
            <w:pPr>
              <w:pStyle w:val="Compact"/>
            </w:pPr>
            <w:r>
              <w:rPr>
                <w:b/>
                <w:bCs/>
                <w:i/>
                <w:iCs/>
              </w:rPr>
              <w:t xml:space="preserve">Operational Activity</w:t>
            </w:r>
          </w:p>
        </w:tc>
        <w:tc>
          <w:tcPr/>
          <w:p>
            <w:pPr>
              <w:pStyle w:val="Compact"/>
            </w:pPr>
            <w:r>
              <w:t xml:space="preserve">An activity performed by an operational node. Examples of operational activities in the maritime context are: Route Planning, Route Optimization, Logistics, Safety, Weather Forecast Provision, …</w:t>
            </w:r>
          </w:p>
        </w:tc>
      </w:tr>
      <w:tr>
        <w:tc>
          <w:tcPr/>
          <w:p>
            <w:pPr>
              <w:pStyle w:val="Compact"/>
            </w:pPr>
            <w:r>
              <w:rPr>
                <w:b/>
                <w:bCs/>
                <w:i/>
                <w:iCs/>
              </w:rPr>
              <w:t xml:space="preserve">Operational Model</w:t>
            </w:r>
          </w:p>
        </w:tc>
        <w:tc>
          <w:tcPr/>
          <w:p>
            <w:pPr>
              <w:pStyle w:val="Compact"/>
            </w:pPr>
            <w:r>
              <w:t xml:space="preserve">A structure of operational nodes and associated operational activities and their inter-relations in a process model.</w:t>
            </w:r>
          </w:p>
        </w:tc>
      </w:tr>
      <w:tr>
        <w:tc>
          <w:tcPr/>
          <w:p>
            <w:pPr>
              <w:pStyle w:val="Compact"/>
            </w:pPr>
            <w:r>
              <w:rPr>
                <w:b/>
                <w:bCs/>
                <w:i/>
                <w:iCs/>
              </w:rPr>
              <w:t xml:space="preserve">Operational Node</w:t>
            </w:r>
          </w:p>
        </w:tc>
        <w:tc>
          <w:tcPr/>
          <w:p>
            <w:pPr>
              <w:pStyle w:val="Compact"/>
            </w:pPr>
            <w:r>
              <w:t xml:space="preserve">A logical entity that performs activities. Note: nodes are specified independently of any physical realisation. Examples of operational nodes in the maritime context are: Maritime Control Center, Maritime Authority, Ship, Port, Weather Information Provider, …</w:t>
            </w:r>
          </w:p>
        </w:tc>
      </w:tr>
      <w:tr>
        <w:tc>
          <w:tcPr/>
          <w:p>
            <w:pPr>
              <w:pStyle w:val="Compact"/>
            </w:pPr>
            <w:r>
              <w:rPr>
                <w:b/>
                <w:bCs/>
                <w:i/>
                <w:iCs/>
              </w:rPr>
              <w:t xml:space="preserve">Service</w:t>
            </w:r>
          </w:p>
        </w:tc>
        <w:tc>
          <w:tcPr/>
          <w:p>
            <w:pPr>
              <w:pStyle w:val="Compact"/>
            </w:pPr>
            <w:r>
              <w:t xml:space="preserve">The provision of something (a non-physical object), by one, for the use of one or more others, regulated by formal definitions and mutual agreements. Services involve interactions between providers and consumers, which may be performed in a digital form (data exchanges) or through voice communication or written processes and procedures.</w:t>
            </w:r>
          </w:p>
        </w:tc>
      </w:tr>
      <w:tr>
        <w:tc>
          <w:tcPr/>
          <w:p>
            <w:pPr>
              <w:pStyle w:val="Compact"/>
            </w:pPr>
            <w:r>
              <w:rPr>
                <w:b/>
                <w:bCs/>
                <w:i/>
                <w:iCs/>
              </w:rPr>
              <w:t xml:space="preserve">Service Consumer</w:t>
            </w:r>
          </w:p>
        </w:tc>
        <w:tc>
          <w:tcPr/>
          <w:p>
            <w:pPr>
              <w:pStyle w:val="Compact"/>
            </w:pPr>
            <w:r>
              <w:t xml:space="preserve">A service consumer uses service instances provided by service providers. All users within the maritime domain can be service customers, e.g., ships and their crew, authorities, VTS stations, organizations (e.g., meteorological), commercial service providers, etc.</w:t>
            </w:r>
          </w:p>
        </w:tc>
      </w:tr>
      <w:tr>
        <w:tc>
          <w:tcPr/>
          <w:p>
            <w:pPr>
              <w:pStyle w:val="Compact"/>
            </w:pPr>
            <w:r>
              <w:rPr>
                <w:b/>
                <w:bCs/>
                <w:i/>
                <w:iCs/>
              </w:rPr>
              <w:t xml:space="preserve">Service Data Model</w:t>
            </w:r>
          </w:p>
        </w:tc>
        <w:tc>
          <w:tcPr/>
          <w:p>
            <w:pPr>
              <w:pStyle w:val="Compact"/>
            </w:pPr>
            <w:r>
              <w:t xml:space="preserve">Formal description of one dedicated service at logical level. The service data model is part of the service specification. Is typically defined in UML and/or XSD. If an external data model exists (e.g., a standard data model), then the service data model shall refer to it: each data item of the service data model shall be mapped to a data item defined in the external data model.</w:t>
            </w:r>
          </w:p>
        </w:tc>
      </w:tr>
      <w:tr>
        <w:tc>
          <w:tcPr/>
          <w:p>
            <w:pPr>
              <w:pStyle w:val="Compact"/>
            </w:pPr>
            <w:r>
              <w:rPr>
                <w:b/>
                <w:bCs/>
                <w:i/>
                <w:iCs/>
              </w:rPr>
              <w:t xml:space="preserve">Service Design Description</w:t>
            </w:r>
          </w:p>
        </w:tc>
        <w:tc>
          <w:tcPr/>
          <w:p>
            <w:pPr>
              <w:pStyle w:val="Compact"/>
            </w:pPr>
            <w:r>
              <w:t xml:space="preserve">Documents the details of a service technical design (most likely documented by the service implementer). The service design description includes (but is not limited to) a service physical data model and describes the used technology, transport mechanism, quality of service, etc.</w:t>
            </w:r>
          </w:p>
        </w:tc>
      </w:tr>
      <w:tr>
        <w:tc>
          <w:tcPr/>
          <w:p>
            <w:pPr>
              <w:pStyle w:val="Compact"/>
            </w:pPr>
            <w:r>
              <w:rPr>
                <w:b/>
                <w:bCs/>
                <w:i/>
                <w:iCs/>
              </w:rPr>
              <w:t xml:space="preserve">Service Implementation</w:t>
            </w:r>
          </w:p>
        </w:tc>
        <w:tc>
          <w:tcPr/>
          <w:p>
            <w:pPr>
              <w:pStyle w:val="Compact"/>
            </w:pPr>
            <w:r>
              <w:t xml:space="preserve">The provider side implementation of a dedicated service technical design (i.e., implementation of a dedicated service in a dedicated technology).</w:t>
            </w:r>
          </w:p>
        </w:tc>
      </w:tr>
      <w:tr>
        <w:tc>
          <w:tcPr/>
          <w:p>
            <w:pPr>
              <w:pStyle w:val="Compact"/>
            </w:pPr>
            <w:r>
              <w:rPr>
                <w:b/>
                <w:bCs/>
                <w:i/>
                <w:iCs/>
              </w:rPr>
              <w:t xml:space="preserve">Service Implementer</w:t>
            </w:r>
          </w:p>
        </w:tc>
        <w:tc>
          <w:tcPr/>
          <w:p>
            <w:pPr>
              <w:pStyle w:val="Compact"/>
            </w:pPr>
            <w:r>
              <w:t xml:space="preserve">Implementers of services from the service provider side and/or the service consumer side. Anybody can be a service implementer but mainly this will be commercial companies implementing solutions for shore and ship.</w:t>
            </w:r>
          </w:p>
        </w:tc>
      </w:tr>
      <w:tr>
        <w:tc>
          <w:tcPr/>
          <w:p>
            <w:pPr>
              <w:pStyle w:val="Compact"/>
            </w:pPr>
            <w:r>
              <w:rPr>
                <w:b/>
                <w:bCs/>
                <w:i/>
                <w:iCs/>
              </w:rPr>
              <w:t xml:space="preserve">Service Instance</w:t>
            </w:r>
          </w:p>
        </w:tc>
        <w:tc>
          <w:tcPr/>
          <w:p>
            <w:pPr>
              <w:pStyle w:val="Compact"/>
            </w:pPr>
            <w:r>
              <w:t xml:space="preserve">One service implementation may be deployed at several places by same or different service providers; each such deployment represents a different service instance, being accessible via different URLs.</w:t>
            </w:r>
          </w:p>
        </w:tc>
      </w:tr>
      <w:tr>
        <w:tc>
          <w:tcPr/>
          <w:p>
            <w:pPr>
              <w:pStyle w:val="Compact"/>
            </w:pPr>
            <w:r>
              <w:rPr>
                <w:b/>
                <w:bCs/>
                <w:i/>
                <w:iCs/>
              </w:rPr>
              <w:t xml:space="preserve">Service Instance Description</w:t>
            </w:r>
          </w:p>
        </w:tc>
        <w:tc>
          <w:tcPr/>
          <w:p>
            <w:pPr>
              <w:pStyle w:val="Compact"/>
            </w:pPr>
            <w:r>
              <w:t xml:space="preserve">Documents the details of a service implementation (most likely documented by the service implementer) and deployment (most likely documented by the service provider). The service instance description includes (but is not limited to) service technical design reference, service provider reference, service access information, service coverage information, etc.</w:t>
            </w:r>
          </w:p>
        </w:tc>
      </w:tr>
      <w:tr>
        <w:tc>
          <w:tcPr/>
          <w:p>
            <w:pPr>
              <w:pStyle w:val="Compact"/>
            </w:pPr>
            <w:r>
              <w:rPr>
                <w:b/>
                <w:bCs/>
                <w:i/>
                <w:iCs/>
              </w:rPr>
              <w:t xml:space="preserve">Service Interface</w:t>
            </w:r>
          </w:p>
        </w:tc>
        <w:tc>
          <w:tcPr/>
          <w:p>
            <w:pPr>
              <w:pStyle w:val="Compact"/>
            </w:pPr>
            <w:r>
              <w:t xml:space="preserve">The communication mechanism of the service, i.e., interaction mechanism between service provider and service consumer. A service interface is characterised by a message exchange pattern and consists of service operations that are either allocated to the provider or the consumer of the service.</w:t>
            </w:r>
          </w:p>
        </w:tc>
      </w:tr>
      <w:tr>
        <w:tc>
          <w:tcPr/>
          <w:p>
            <w:pPr>
              <w:pStyle w:val="Compact"/>
            </w:pPr>
            <w:r>
              <w:rPr>
                <w:b/>
                <w:bCs/>
                <w:i/>
                <w:iCs/>
              </w:rPr>
              <w:t xml:space="preserve">Service Operation</w:t>
            </w:r>
          </w:p>
        </w:tc>
        <w:tc>
          <w:tcPr/>
          <w:p>
            <w:pPr>
              <w:pStyle w:val="Compact"/>
            </w:pPr>
            <w:r>
              <w:t xml:space="preserve">Functions or procedure which enables programmatic communication with a service via a service interface.</w:t>
            </w:r>
          </w:p>
        </w:tc>
      </w:tr>
      <w:tr>
        <w:tc>
          <w:tcPr/>
          <w:p>
            <w:pPr>
              <w:pStyle w:val="Compact"/>
            </w:pPr>
            <w:r>
              <w:rPr>
                <w:b/>
                <w:bCs/>
                <w:i/>
                <w:iCs/>
              </w:rPr>
              <w:t xml:space="preserve">Service Physical Data Model</w:t>
            </w:r>
          </w:p>
        </w:tc>
        <w:tc>
          <w:tcPr/>
          <w:p>
            <w:pPr>
              <w:pStyle w:val="Compact"/>
            </w:pPr>
            <w:r>
              <w:t xml:space="preserve">Describes the realisation of a dedicated service data model in a dedicated technology. This includes a detailed description of the data S-124 to be exchanged using the chosen technology. The actual format of the service physical data model depends on the chosen technology. Examples may be WSDL and XSD files (e.g., for SOAP services) or swagger (Open API) specifications (e.g., for REST services). If an external data model exists (e.g., a standard data model), then the service physical data model shall refer to it: each data item of the service physical data model shall be mapped to a data item defined in the external data model. In order to prove correct implementation of the service specification, there shall exist a mapping between the service physical data model and the service data model. This means, each data item used in the service physical data model shall be mapped to a corresponding data item of the service data model. (In case of existing mappings to a common external (standard) data model from both the service data model and the service physical data model, such a mapping is implicitly given.)</w:t>
            </w:r>
          </w:p>
        </w:tc>
      </w:tr>
      <w:tr>
        <w:tc>
          <w:tcPr/>
          <w:p>
            <w:pPr>
              <w:pStyle w:val="Compact"/>
            </w:pPr>
            <w:r>
              <w:rPr>
                <w:b/>
                <w:bCs/>
                <w:i/>
                <w:iCs/>
              </w:rPr>
              <w:t xml:space="preserve">Service Provider</w:t>
            </w:r>
          </w:p>
        </w:tc>
        <w:tc>
          <w:tcPr/>
          <w:p>
            <w:pPr>
              <w:pStyle w:val="Compact"/>
            </w:pPr>
            <w:r>
              <w:t xml:space="preserve">A service provider provides instances of services according to a service specification and service instance description. All users within the maritime domain can be service providers, e.g., authorities, VTS stations, organizations (e.g., meteorological), commercial service providers, etc.</w:t>
            </w:r>
          </w:p>
        </w:tc>
      </w:tr>
      <w:tr>
        <w:tc>
          <w:tcPr/>
          <w:p>
            <w:pPr>
              <w:pStyle w:val="Compact"/>
            </w:pPr>
            <w:r>
              <w:rPr>
                <w:b/>
                <w:bCs/>
                <w:i/>
                <w:iCs/>
              </w:rPr>
              <w:t xml:space="preserve">Service Specification</w:t>
            </w:r>
          </w:p>
        </w:tc>
        <w:tc>
          <w:tcPr/>
          <w:p>
            <w:pPr>
              <w:pStyle w:val="Compact"/>
            </w:pPr>
            <w:r>
              <w:t xml:space="preserve">Describes one dedicated service at logical level. The Service Specification is technology-agnostic. The Service Specification includes (but is not limited to) a description of the Service Interfaces and Service Operations with their data S-124. The data S-124 description may be formally defined by a Service Data Model.</w:t>
            </w:r>
          </w:p>
        </w:tc>
      </w:tr>
      <w:tr>
        <w:tc>
          <w:tcPr/>
          <w:p>
            <w:pPr>
              <w:pStyle w:val="Compact"/>
            </w:pPr>
            <w:r>
              <w:rPr>
                <w:b/>
                <w:bCs/>
                <w:i/>
                <w:iCs/>
              </w:rPr>
              <w:t xml:space="preserve">Service Specification Producer</w:t>
            </w:r>
          </w:p>
        </w:tc>
        <w:tc>
          <w:tcPr/>
          <w:p>
            <w:pPr>
              <w:pStyle w:val="Compact"/>
            </w:pPr>
            <w:r>
              <w:t xml:space="preserve">Producers of service specifications in accordance with the service documentation guidelines.</w:t>
            </w:r>
          </w:p>
        </w:tc>
      </w:tr>
      <w:tr>
        <w:tc>
          <w:tcPr/>
          <w:p>
            <w:pPr>
              <w:pStyle w:val="Compact"/>
            </w:pPr>
            <w:r>
              <w:rPr>
                <w:b/>
                <w:bCs/>
                <w:i/>
                <w:iCs/>
              </w:rPr>
              <w:t xml:space="preserve">Service Technical Design</w:t>
            </w:r>
          </w:p>
        </w:tc>
        <w:tc>
          <w:tcPr/>
          <w:p>
            <w:pPr>
              <w:pStyle w:val="Compact"/>
            </w:pPr>
            <w:r>
              <w:t xml:space="preserve">The technical design of a dedicated service in a dedicated technology. One service specification may result in several technical service designs, realising the service with different or same technologies.</w:t>
            </w:r>
          </w:p>
        </w:tc>
      </w:tr>
      <w:tr>
        <w:tc>
          <w:tcPr/>
          <w:p>
            <w:pPr>
              <w:pStyle w:val="Compact"/>
            </w:pPr>
            <w:r>
              <w:rPr>
                <w:b/>
                <w:bCs/>
                <w:i/>
                <w:iCs/>
              </w:rPr>
              <w:t xml:space="preserve">Service Technology Catalogue</w:t>
            </w:r>
          </w:p>
        </w:tc>
        <w:tc>
          <w:tcPr/>
          <w:p>
            <w:pPr>
              <w:pStyle w:val="Compact"/>
            </w:pPr>
            <w:r>
              <w:t xml:space="preserve">List and specifications of allowed technologies for service implementations. Currently, SOAP and REST are envisaged to be allowed service technologies. The service technology catalogue shall describe in detail the allowed service profiles, e.g., by listing communication standards, security standards, stacks, bindings, etc.</w:t>
            </w:r>
          </w:p>
        </w:tc>
      </w:tr>
      <w:tr>
        <w:tc>
          <w:tcPr/>
          <w:p>
            <w:pPr>
              <w:pStyle w:val="Compact"/>
            </w:pPr>
            <w:r>
              <w:rPr>
                <w:b/>
                <w:bCs/>
                <w:i/>
                <w:iCs/>
              </w:rPr>
              <w:t xml:space="preserve">Spatial Exclusiveness</w:t>
            </w:r>
          </w:p>
        </w:tc>
        <w:tc>
          <w:tcPr/>
          <w:p>
            <w:pPr>
              <w:pStyle w:val="Compact"/>
            </w:pPr>
            <w:r>
              <w:t xml:space="preserve">A service specification is characterised as “spatially exclusive”, if in any geographical region just one service instance of that specification is allowed to be registered per technology. The decision, which service instance (out of a number of available spatially exclusive services) shall be registered for a certain geographical region, is a governance issue.</w:t>
            </w:r>
          </w:p>
        </w:tc>
      </w:tr>
    </w:tbl>
    <w:bookmarkEnd w:id="190"/>
    <w:bookmarkEnd w:id="191"/>
    <w:bookmarkEnd w:id="192"/>
    <w:sectPr w:rsidR="000E677F" w:rsidSect="00CB1D11">
      <w:headerReference r:id="rId54" w:type="even"/>
      <w:headerReference r:id="rId55" w:type="default"/>
      <w:footerReference r:id="rId56" w:type="even"/>
      <w:headerReference r:id="rId57" w:type="first"/>
      <w:footerReference r:id="rId58" w:type="first"/>
      <w:pgSz w:code="9" w:h="16838" w:w="11906"/>
      <w:pgMar w:bottom="567" w:footer="850" w:gutter="0" w:header="567" w:left="907" w:right="794" w:top="56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8094" w14:textId="77777777" w:rsidR="003E1065" w:rsidRDefault="003E1065" w:rsidP="00EC7C8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125C4B" w14:textId="77777777" w:rsidR="003E1065" w:rsidRDefault="003E1065" w:rsidP="00C907DF">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F6BA1BB" w14:textId="77777777" w:rsidR="003E1065" w:rsidRDefault="003E1065" w:rsidP="00A97900">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4F285FC5" w14:textId="77777777" w:rsidR="003E1065" w:rsidRDefault="003E1065" w:rsidP="005378A6">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5AEEE46D" w14:textId="77777777" w:rsidR="003E1065" w:rsidRDefault="003E1065" w:rsidP="005378A6">
    <w:pPr>
      <w:pStyle w:val="Footer"/>
      <w:ind w:right="360"/>
    </w:pPr>
  </w:p>
  <w:p w14:paraId="19BE1DF7" w14:textId="77777777" w:rsidR="00D850A3" w:rsidRDefault="00D850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8E42" w14:textId="77777777" w:rsidR="003E1065" w:rsidRDefault="003E1065" w:rsidP="00525922">
    <w:r>
      <w:rPr>
        <w:noProof/>
        <w:lang w:eastAsia="en-GB"/>
      </w:rPr>
      <mc:AlternateContent>
        <mc:Choice Requires="wps">
          <w:drawing>
            <wp:anchor distT="0" distB="0" distL="114300" distR="114300" simplePos="0" relativeHeight="251736064" behindDoc="0" locked="0" layoutInCell="1" allowOverlap="1" wp14:anchorId="2A70871A" wp14:editId="39FBC09F">
              <wp:simplePos x="0" y="0"/>
              <wp:positionH relativeFrom="page">
                <wp:posOffset>281940</wp:posOffset>
              </wp:positionH>
              <wp:positionV relativeFrom="page">
                <wp:posOffset>9942195</wp:posOffset>
              </wp:positionV>
              <wp:extent cx="7128000" cy="0"/>
              <wp:effectExtent l="0" t="0" r="15875" b="19050"/>
              <wp:wrapNone/>
              <wp:docPr id="22" name="Connecteur droit 11"/>
              <wp:cNvGraphicFramePr/>
              <a:graphic xmlns:a="http://schemas.openxmlformats.org/drawingml/2006/main">
                <a:graphicData uri="http://schemas.microsoft.com/office/word/2010/wordprocessingShape">
                  <wps:wsp>
                    <wps:cNvCnPr/>
                    <wps:spPr>
                      <a:xfrm>
                        <a:off x="0" y="0"/>
                        <a:ext cx="7128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E61CD7" id="Connecteur droit 11" o:spid="_x0000_s1026" style="position:absolute;z-index:2517360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2.2pt,782.85pt" to="583.45pt,78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Cf0QEAABEEAAAOAAAAZHJzL2Uyb0RvYy54bWysU8tu2zAQvBfoPxC813ocmkCwnIOD9FK0&#10;Rh8fwFBLiwBfWDKW/PddUrYStEGAFr1QWnJndme43N7N1rATYNTe9bzZ1JyBk37Q7tjznz8ePtxy&#10;FpNwgzDeQc/PEPnd7v277RQ6aP3ozQDIiMTFbgo9H1MKXVVFOYIVceMDODpUHq1IFOKxGlBMxG5N&#10;1db1x2ryOAT0EmKk3fvlkO8Kv1Ig01elIiRmek69pbJiWR/zWu22ojuiCKOWlzbEP3RhhXZUdKW6&#10;F0mwJ9R/UFkt0Uev0kZ6W3mltISigdQ09W9qvo8iQNFC5sSw2hT/H638cjog00PP25YzJyzd0d47&#10;R8bBE7IBvU6sabJPU4gdpe/dAS9RDAfMomeFNn9JDpuLt+fVW5gTk7R507S3dU1XIK9n1TMwYEyf&#10;wFuWf3putMuyRSdOn2OiYpR6TcnbxrGJhq29Ib4cR2/08KCNKUEeHdgbZCdBly6kBJeKAGJ5kUmR&#10;cUSdZS1Cyl86G1hqfANFxlDrzVLkLV7jKDvDFHWxAi/dvQW85GcolHH9G/CKKJW9SyvYaufxtbbT&#10;fLVCLflXBxbd2YJHP5zLFRdraO6K/5c3kgf7ZVzgzy959wsAAP//AwBQSwMEFAAGAAgAAAAhANmr&#10;9+TcAAAADQEAAA8AAABkcnMvZG93bnJldi54bWxMj8FOg0AQhu8mvsNmTLzZpQ1FRZaGmNS7pRdv&#10;CzsFhJ0l7NLSt3d6MHqcf7788022W+wgzjj5zpGC9SoCgVQ701Gj4Fjun15A+KDJ6MERKriih11+&#10;f5fp1LgLfeL5EBrBJeRTraANYUyl9HWLVvuVG5F4d3KT1YHHqZFm0hcut4PcRFEire6IL7R6xPcW&#10;6/4wWwVR0W2uVJ2Koi+/9+XXh51tb5V6fFiKNxABl/AHw02f1SFnp8rNZLwYFMRxzCTn22T7DOJG&#10;rJPkFUT1m8k8k/+/yH8AAAD//wMAUEsBAi0AFAAGAAgAAAAhALaDOJL+AAAA4QEAABMAAAAAAAAA&#10;AAAAAAAAAAAAAFtDb250ZW50X1R5cGVzXS54bWxQSwECLQAUAAYACAAAACEAOP0h/9YAAACUAQAA&#10;CwAAAAAAAAAAAAAAAAAvAQAAX3JlbHMvLnJlbHNQSwECLQAUAAYACAAAACEAj8jwn9EBAAARBAAA&#10;DgAAAAAAAAAAAAAAAAAuAgAAZHJzL2Uyb0RvYy54bWxQSwECLQAUAAYACAAAACEA2av35NwAAAAN&#10;AQAADwAAAAAAAAAAAAAAAAArBAAAZHJzL2Rvd25yZXYueG1sUEsFBgAAAAAEAAQA8wAAADQFAAAA&#10;AA==&#10;" strokecolor="#00558c [3204]" strokeweight="1pt">
              <w10:wrap anchorx="page" anchory="page"/>
            </v:line>
          </w:pict>
        </mc:Fallback>
      </mc:AlternateContent>
    </w:r>
  </w:p>
  <w:p w14:paraId="6723827E" w14:textId="77777777" w:rsidR="003E1065" w:rsidRPr="00C907DF" w:rsidRDefault="003E1065" w:rsidP="00525922">
    <w:pPr>
      <w:rPr>
        <w:rStyle w:val="PageNumber"/>
        <w:szCs w:val="15"/>
      </w:rPr>
    </w:pPr>
    <w:r w:rsidRPr="00C907DF">
      <w:rPr>
        <w:szCs w:val="15"/>
      </w:rPr>
      <w:fldChar w:fldCharType="begin"/>
    </w:r>
    <w:r w:rsidRPr="00C907DF">
      <w:rPr>
        <w:szCs w:val="15"/>
      </w:rPr>
      <w:instrText xml:space="preserve"> STYLEREF "Document title" \* MERGEFORMAT </w:instrText>
    </w:r>
    <w:r w:rsidRPr="00C907DF">
      <w:rPr>
        <w:szCs w:val="15"/>
      </w:rPr>
      <w:fldChar w:fldCharType="separate"/>
    </w:r>
    <w:r w:rsidR="000870E9">
      <w:rPr>
        <w:b/>
        <w:bCs/>
        <w:noProof/>
        <w:szCs w:val="15"/>
        <w:lang w:val="en-US"/>
      </w:rPr>
      <w:t>Error! Use the Home tab to apply Document title to the text that you want to appear here.</w:t>
    </w:r>
    <w:r w:rsidRPr="00C907DF">
      <w:rPr>
        <w:szCs w:val="15"/>
      </w:rPr>
      <w:fldChar w:fldCharType="end"/>
    </w:r>
    <w:r w:rsidRPr="000870E9">
      <w:rPr>
        <w:szCs w:val="15"/>
        <w:lang w:val="en-US"/>
      </w:rPr>
      <w:t xml:space="preserve"> </w:t>
    </w:r>
    <w:r>
      <w:rPr>
        <w:szCs w:val="15"/>
      </w:rPr>
      <w:fldChar w:fldCharType="begin"/>
    </w:r>
    <w:r w:rsidRPr="000870E9">
      <w:rPr>
        <w:szCs w:val="15"/>
        <w:lang w:val="en-US"/>
      </w:rPr>
      <w:instrText xml:space="preserve"> STYLEREF "Document number" \* MERGEFORMAT </w:instrText>
    </w:r>
    <w:r>
      <w:rPr>
        <w:szCs w:val="15"/>
      </w:rPr>
      <w:fldChar w:fldCharType="separate"/>
    </w:r>
    <w:r w:rsidR="000870E9" w:rsidRPr="000870E9">
      <w:rPr>
        <w:noProof/>
        <w:szCs w:val="15"/>
      </w:rPr>
      <w:t>Gnnnn</w:t>
    </w:r>
    <w:r>
      <w:rPr>
        <w:szCs w:val="15"/>
      </w:rPr>
      <w:fldChar w:fldCharType="end"/>
    </w:r>
    <w:r w:rsidRPr="00C907DF">
      <w:rPr>
        <w:szCs w:val="15"/>
      </w:rPr>
      <w:t xml:space="preserve"> –</w:t>
    </w:r>
    <w:r>
      <w:rPr>
        <w:szCs w:val="15"/>
      </w:rPr>
      <w:t xml:space="preserve"> </w:t>
    </w:r>
    <w:r>
      <w:rPr>
        <w:szCs w:val="15"/>
      </w:rPr>
      <w:fldChar w:fldCharType="begin"/>
    </w:r>
    <w:r>
      <w:rPr>
        <w:szCs w:val="15"/>
      </w:rPr>
      <w:instrText xml:space="preserve"> STYLEREF Subtitle \* MERGEFORMAT </w:instrText>
    </w:r>
    <w:r>
      <w:rPr>
        <w:szCs w:val="15"/>
      </w:rPr>
      <w:fldChar w:fldCharType="separate"/>
    </w:r>
    <w:r w:rsidR="000870E9">
      <w:rPr>
        <w:b/>
        <w:bCs/>
        <w:noProof/>
        <w:szCs w:val="15"/>
        <w:lang w:val="en-US"/>
      </w:rPr>
      <w:t>Error! Use the Home tab to apply Subtitle to the text that you want to appear here.</w:t>
    </w:r>
    <w:r>
      <w:rPr>
        <w:szCs w:val="15"/>
      </w:rPr>
      <w:fldChar w:fldCharType="end"/>
    </w:r>
  </w:p>
  <w:p w14:paraId="58521A2D" w14:textId="77777777" w:rsidR="003E1065" w:rsidRPr="00525922" w:rsidRDefault="003E1065" w:rsidP="00525922">
    <w:pPr>
      <w:rPr>
        <w:szCs w:val="15"/>
      </w:rPr>
    </w:pPr>
    <w:r w:rsidRPr="00C907DF">
      <w:rPr>
        <w:szCs w:val="15"/>
      </w:rPr>
      <w:fldChar w:fldCharType="begin"/>
    </w:r>
    <w:r w:rsidRPr="00C907DF">
      <w:rPr>
        <w:szCs w:val="15"/>
      </w:rPr>
      <w:instrText xml:space="preserve"> STYLEREF "Edition number" \* MERGEFORMAT </w:instrText>
    </w:r>
    <w:r w:rsidRPr="00C907DF">
      <w:rPr>
        <w:szCs w:val="15"/>
      </w:rPr>
      <w:fldChar w:fldCharType="separate"/>
    </w:r>
    <w:r w:rsidR="000870E9">
      <w:rPr>
        <w:noProof/>
        <w:szCs w:val="15"/>
      </w:rPr>
      <w:t>Edition x.x</w:t>
    </w:r>
    <w:r w:rsidRPr="00C907DF">
      <w:rPr>
        <w:szCs w:val="15"/>
      </w:rPr>
      <w:fldChar w:fldCharType="end"/>
    </w:r>
    <w:r w:rsidRPr="00C907DF">
      <w:rPr>
        <w:szCs w:val="15"/>
      </w:rPr>
      <w:tab/>
    </w:r>
    <w:r>
      <w:rPr>
        <w:szCs w:val="15"/>
      </w:rPr>
      <w:t xml:space="preserve">P </w:t>
    </w:r>
    <w:r w:rsidRPr="00C907DF">
      <w:rPr>
        <w:rStyle w:val="PageNumber"/>
        <w:szCs w:val="15"/>
      </w:rPr>
      <w:fldChar w:fldCharType="begin"/>
    </w:r>
    <w:r w:rsidRPr="00C907DF">
      <w:rPr>
        <w:rStyle w:val="PageNumber"/>
        <w:szCs w:val="15"/>
      </w:rPr>
      <w:instrText xml:space="preserve">PAGE  </w:instrText>
    </w:r>
    <w:r w:rsidRPr="00C907DF">
      <w:rPr>
        <w:rStyle w:val="PageNumber"/>
        <w:szCs w:val="15"/>
      </w:rPr>
      <w:fldChar w:fldCharType="separate"/>
    </w:r>
    <w:r>
      <w:rPr>
        <w:rStyle w:val="PageNumber"/>
        <w:noProof/>
        <w:szCs w:val="15"/>
      </w:rPr>
      <w:t>3</w:t>
    </w:r>
    <w:r w:rsidRPr="00C907DF">
      <w:rPr>
        <w:rStyle w:val="PageNumber"/>
        <w:szCs w:val="15"/>
      </w:rPr>
      <w:fldChar w:fldCharType="end"/>
    </w:r>
  </w:p>
  <w:p w14:paraId="60C31A98" w14:textId="77777777" w:rsidR="00D850A3" w:rsidRDefault="00D850A3"/>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3215" w14:textId="77777777" w:rsidR="003E1065" w:rsidRDefault="00000000">
    <w:pPr>
      <w:pStyle w:val="Header"/>
    </w:pPr>
    <w:r>
      <w:rPr>
        <w:noProof/>
      </w:rPr>
      <w:pict w14:anchorId="11CA8A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1" o:spid="_x0000_s1084" type="#_x0000_t136" style="position:absolute;margin-left:0;margin-top:0;width:412.1pt;height:247.25pt;rotation:315;z-index:-2515558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noProof/>
      </w:rPr>
      <w:pict w14:anchorId="22412DB3">
        <v:shape id="_x0000_s1046" type="#_x0000_t136" style="position:absolute;margin-left:0;margin-top:0;width:449.6pt;height:269.75pt;rotation:315;z-index:-25158860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p w14:paraId="4A112F2A" w14:textId="77777777" w:rsidR="00D850A3" w:rsidRDefault="00D850A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23C9" w14:textId="77777777" w:rsidR="00DF47E2" w:rsidRPr="00667792" w:rsidRDefault="00000000" w:rsidP="00667792">
    <w:pPr>
      <w:pStyle w:val="Header"/>
    </w:pPr>
    <w:r>
      <w:rPr>
        <w:noProof/>
      </w:rPr>
      <w:pict w14:anchorId="3982DF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2" o:spid="_x0000_s1085" type="#_x0000_t136" style="position:absolute;margin-left:0;margin-top:0;width:412.1pt;height:247.25pt;rotation:315;z-index:-2515537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DF47E2">
      <w:rPr>
        <w:noProof/>
        <w:lang w:eastAsia="en-GB"/>
      </w:rPr>
      <w:drawing>
        <wp:anchor distT="0" distB="0" distL="114300" distR="114300" simplePos="0" relativeHeight="251738112" behindDoc="1" locked="0" layoutInCell="1" allowOverlap="1" wp14:anchorId="6CD668C2" wp14:editId="787DC180">
          <wp:simplePos x="0" y="0"/>
          <wp:positionH relativeFrom="page">
            <wp:posOffset>6848223</wp:posOffset>
          </wp:positionH>
          <wp:positionV relativeFrom="page">
            <wp:posOffset>264</wp:posOffset>
          </wp:positionV>
          <wp:extent cx="720000" cy="720000"/>
          <wp:effectExtent l="0" t="0" r="4445" b="4445"/>
          <wp:wrapNone/>
          <wp:docPr id="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79789A5A" w14:textId="77777777" w:rsidR="003E1065" w:rsidRPr="00DF47E2" w:rsidRDefault="003E1065" w:rsidP="00DF47E2">
    <w:pPr>
      <w:pStyle w:val="Header"/>
    </w:pPr>
  </w:p>
  <w:p w14:paraId="22C661B6" w14:textId="77777777" w:rsidR="00D850A3" w:rsidRDefault="00D850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5D1C" w14:textId="77777777" w:rsidR="003E1065" w:rsidRDefault="00000000">
    <w:pPr>
      <w:pStyle w:val="Header"/>
    </w:pPr>
    <w:r>
      <w:rPr>
        <w:noProof/>
      </w:rPr>
      <w:pict w14:anchorId="0B7542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3111790" o:spid="_x0000_s1083" type="#_x0000_t136" style="position:absolute;margin-left:0;margin-top:0;width:412.1pt;height:247.25pt;rotation:315;z-index:-25155788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Pr>
        <w:noProof/>
      </w:rPr>
      <w:pict w14:anchorId="2C819A2D">
        <v:shape id="_x0000_s1048" type="#_x0000_t136" style="position:absolute;margin-left:0;margin-top:0;width:449.6pt;height:269.75pt;rotation:315;z-index:-25158656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3E1065">
      <w:rPr>
        <w:noProof/>
        <w:lang w:eastAsia="en-GB"/>
      </w:rPr>
      <w:drawing>
        <wp:anchor distT="0" distB="0" distL="114300" distR="114300" simplePos="0" relativeHeight="251735040" behindDoc="1" locked="0" layoutInCell="1" allowOverlap="1" wp14:anchorId="030476A2" wp14:editId="5D47E6DD">
          <wp:simplePos x="0" y="0"/>
          <wp:positionH relativeFrom="page">
            <wp:posOffset>6827653</wp:posOffset>
          </wp:positionH>
          <wp:positionV relativeFrom="page">
            <wp:posOffset>0</wp:posOffset>
          </wp:positionV>
          <wp:extent cx="720000" cy="720000"/>
          <wp:effectExtent l="0" t="0" r="4445" b="4445"/>
          <wp:wrapNone/>
          <wp:docPr id="2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uite.pn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6E69B490" w14:textId="77777777" w:rsidR="003E1065" w:rsidRDefault="003E1065">
    <w:pPr>
      <w:pStyle w:val="Header"/>
    </w:pPr>
  </w:p>
  <w:p w14:paraId="6840FDC2" w14:textId="77777777" w:rsidR="003E1065" w:rsidRDefault="003E1065">
    <w:pPr>
      <w:pStyle w:val="Header"/>
    </w:pPr>
  </w:p>
  <w:p w14:paraId="2053E8A6" w14:textId="77777777" w:rsidR="00D850A3" w:rsidRDefault="00D850A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8"/>
    <w:multiLevelType w:val="singleLevel"/>
    <w:tmpl w:val="66821802"/>
    <w:lvl w:ilvl="0">
      <w:start w:val="1"/>
      <w:numFmt w:val="decimal"/>
      <w:pStyle w:val="ListNumber"/>
      <w:lvlText w:val="%1."/>
      <w:lvlJc w:val="left"/>
      <w:pPr>
        <w:tabs>
          <w:tab w:pos="360" w:val="num"/>
        </w:tabs>
        <w:ind w:hanging="360" w:left="360"/>
      </w:pPr>
    </w:lvl>
  </w:abstractNum>
  <w:abstractNum w15:restartNumberingAfterBreak="0" w:abstractNumId="1">
    <w:nsid w:val="0000A990"/>
    <w:multiLevelType w:val="multilevel"/>
    <w:tmpl w:val="3B0204B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0000A991"/>
    <w:multiLevelType w:val="multilevel"/>
    <w:tmpl w:val="4A2835F0"/>
    <w:numStyleLink w:val="IALABulletList"/>
  </w:abstractNum>
  <w:abstractNum w15:restartNumberingAfterBreak="0" w:abstractNumId="3">
    <w:nsid w:val="00A99411"/>
    <w:multiLevelType w:val="multilevel"/>
    <w:tmpl w:val="342626DA"/>
    <w:numStyleLink w:val="IALANumberedList"/>
  </w:abstractNum>
  <w:abstractNum w15:restartNumberingAfterBreak="0" w:abstractNumId="4">
    <w:nsid w:val="133478BF"/>
    <w:multiLevelType w:val="hybridMultilevel"/>
    <w:tmpl w:val="11D8C93E"/>
    <w:lvl w:ilvl="0" w:tplc="9008FE02">
      <w:start w:val="1"/>
      <w:numFmt w:val="bullet"/>
      <w:pStyle w:val="InsetList"/>
      <w:lvlText w:val=""/>
      <w:lvlJc w:val="left"/>
      <w:pPr>
        <w:ind w:hanging="396" w:left="68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5">
    <w:nsid w:val="134F700B"/>
    <w:multiLevelType w:val="multilevel"/>
    <w:tmpl w:val="71761D6C"/>
    <w:lvl w:ilvl="0">
      <w:start w:val="1"/>
      <w:numFmt w:val="upperLetter"/>
      <w:pStyle w:val="Annex"/>
      <w:lvlText w:val="ANNEX %1"/>
      <w:lvlJc w:val="left"/>
      <w:pPr>
        <w:ind w:hanging="851" w:left="851"/>
      </w:pPr>
      <w:rPr>
        <w:rFonts w:asciiTheme="minorHAnsi" w:hAnsiTheme="minorHAnsi" w:hint="default"/>
        <w:b/>
        <w:i w:val="0"/>
        <w:caps/>
        <w:color w:val="00558C"/>
        <w:sz w:val="28"/>
        <w:u w:color="407EC9" w:val="none"/>
      </w:rPr>
    </w:lvl>
    <w:lvl w:ilvl="1">
      <w:start w:val="1"/>
      <w:numFmt w:val="decimal"/>
      <w:pStyle w:val="AnnexHead2"/>
      <w:lvlText w:val="%1.%2."/>
      <w:lvlJc w:val="left"/>
      <w:pPr>
        <w:ind w:hanging="851" w:left="851"/>
      </w:pPr>
      <w:rPr>
        <w:rFonts w:ascii="Calibri" w:hAnsi="Calibri" w:hint="default"/>
        <w:b/>
        <w:i w:val="0"/>
        <w:caps/>
        <w:color w:val="00558C"/>
        <w:sz w:val="24"/>
      </w:rPr>
    </w:lvl>
    <w:lvl w:ilvl="2">
      <w:start w:val="1"/>
      <w:numFmt w:val="decimal"/>
      <w:pStyle w:val="AnnexHead3"/>
      <w:lvlText w:val="%1.%2.%3."/>
      <w:lvlJc w:val="left"/>
      <w:pPr>
        <w:ind w:hanging="1021" w:left="1021"/>
      </w:pPr>
      <w:rPr>
        <w:rFonts w:ascii="Calibri" w:hAnsi="Calibri" w:hint="default"/>
        <w:b/>
        <w:i w:val="0"/>
        <w:vanish w:val="0"/>
        <w:color w:val="00558C"/>
        <w:sz w:val="24"/>
      </w:rPr>
    </w:lvl>
    <w:lvl w:ilvl="3">
      <w:start w:val="1"/>
      <w:numFmt w:val="decimal"/>
      <w:pStyle w:val="AnnexHead4"/>
      <w:lvlText w:val="%1.%2.%3.%4."/>
      <w:lvlJc w:val="left"/>
      <w:pPr>
        <w:ind w:hanging="1134" w:left="1134"/>
      </w:pPr>
      <w:rPr>
        <w:rFonts w:ascii="Calibri" w:hAnsi="Calibri" w:hint="default"/>
        <w:b/>
        <w:i w:val="0"/>
        <w:caps/>
        <w:color w:val="00558C"/>
        <w:sz w:val="22"/>
      </w:rPr>
    </w:lvl>
    <w:lvl w:ilvl="4">
      <w:start w:val="1"/>
      <w:numFmt w:val="decimal"/>
      <w:pStyle w:val="AnnexHead5"/>
      <w:lvlText w:val="%1.%2.%3.%4.%5."/>
      <w:lvlJc w:val="left"/>
      <w:pPr>
        <w:ind w:hanging="1134" w:left="1134"/>
      </w:pPr>
      <w:rPr>
        <w:rFonts w:ascii="Calibri" w:hAnsi="Calibri" w:hint="default"/>
        <w:b w:val="0"/>
        <w:i w:val="0"/>
        <w:caps/>
        <w:color w:val="00558C"/>
        <w:sz w:val="22"/>
      </w:rPr>
    </w:lvl>
    <w:lvl w:ilvl="5">
      <w:start w:val="1"/>
      <w:numFmt w:val="decimal"/>
      <w:lvlText w:val="%1.%2.%3.%4.%5.%6."/>
      <w:lvlJc w:val="left"/>
      <w:pPr>
        <w:ind w:hanging="851" w:left="851"/>
      </w:pPr>
      <w:rPr>
        <w:rFonts w:hint="default"/>
      </w:rPr>
    </w:lvl>
    <w:lvl w:ilvl="6">
      <w:start w:val="1"/>
      <w:numFmt w:val="decimal"/>
      <w:lvlText w:val="%1.%2.%3.%4.%5.%6.%7."/>
      <w:lvlJc w:val="left"/>
      <w:pPr>
        <w:ind w:hanging="851" w:left="851"/>
      </w:pPr>
      <w:rPr>
        <w:rFonts w:hint="default"/>
      </w:rPr>
    </w:lvl>
    <w:lvl w:ilvl="7">
      <w:start w:val="1"/>
      <w:numFmt w:val="decimal"/>
      <w:lvlText w:val="%1.%2.%3.%4.%5.%6.%7.%8."/>
      <w:lvlJc w:val="left"/>
      <w:pPr>
        <w:ind w:hanging="851" w:left="851"/>
      </w:pPr>
      <w:rPr>
        <w:rFonts w:hint="default"/>
      </w:rPr>
    </w:lvl>
    <w:lvl w:ilvl="8">
      <w:start w:val="1"/>
      <w:numFmt w:val="decimal"/>
      <w:lvlText w:val="%1.%2.%3.%4.%5.%6.%7.%8.%9."/>
      <w:lvlJc w:val="left"/>
      <w:pPr>
        <w:ind w:hanging="851" w:left="851"/>
      </w:pPr>
      <w:rPr>
        <w:rFonts w:hint="default"/>
      </w:rPr>
    </w:lvl>
  </w:abstractNum>
  <w:abstractNum w15:restartNumberingAfterBreak="0" w:abstractNumId="6">
    <w:nsid w:val="16102258"/>
    <w:multiLevelType w:val="multilevel"/>
    <w:tmpl w:val="5F0A5E12"/>
    <w:lvl w:ilvl="0">
      <w:start w:val="1"/>
      <w:numFmt w:val="decimal"/>
      <w:pStyle w:val="TableCaption"/>
      <w:lvlText w:val="Table %1"/>
      <w:lvlJc w:val="left"/>
      <w:pPr>
        <w:ind w:hanging="567" w:left="567"/>
      </w:pPr>
      <w:rPr>
        <w:rFonts w:ascii="Calibri" w:hAnsi="Calibri" w:hint="default"/>
        <w:b w:val="0"/>
        <w:i/>
        <w:u w:val="none"/>
      </w:rPr>
    </w:lvl>
    <w:lvl w:ilvl="1">
      <w:start w:val="1"/>
      <w:numFmt w:val="decimal"/>
      <w:lvlText w:val="%1.%2."/>
      <w:lvlJc w:val="left"/>
      <w:pPr>
        <w:ind w:hanging="432" w:left="1502"/>
      </w:pPr>
      <w:rPr>
        <w:rFonts w:hint="default"/>
      </w:rPr>
    </w:lvl>
    <w:lvl w:ilvl="2">
      <w:start w:val="1"/>
      <w:numFmt w:val="decimal"/>
      <w:lvlText w:val="%1.%2.%3."/>
      <w:lvlJc w:val="left"/>
      <w:pPr>
        <w:ind w:hanging="504" w:left="1934"/>
      </w:pPr>
      <w:rPr>
        <w:rFonts w:hint="default"/>
      </w:rPr>
    </w:lvl>
    <w:lvl w:ilvl="3">
      <w:start w:val="1"/>
      <w:numFmt w:val="decimal"/>
      <w:lvlText w:val="%1.%2.%3.%4."/>
      <w:lvlJc w:val="left"/>
      <w:pPr>
        <w:ind w:hanging="648" w:left="2438"/>
      </w:pPr>
      <w:rPr>
        <w:rFonts w:hint="default"/>
      </w:rPr>
    </w:lvl>
    <w:lvl w:ilvl="4">
      <w:start w:val="1"/>
      <w:numFmt w:val="decimal"/>
      <w:lvlText w:val="%1.%2.%3.%4.%5."/>
      <w:lvlJc w:val="left"/>
      <w:pPr>
        <w:ind w:hanging="792" w:left="2942"/>
      </w:pPr>
      <w:rPr>
        <w:rFonts w:hint="default"/>
      </w:rPr>
    </w:lvl>
    <w:lvl w:ilvl="5">
      <w:start w:val="1"/>
      <w:numFmt w:val="decimal"/>
      <w:lvlText w:val="%1.%2.%3.%4.%5.%6."/>
      <w:lvlJc w:val="left"/>
      <w:pPr>
        <w:ind w:hanging="936" w:left="3446"/>
      </w:pPr>
      <w:rPr>
        <w:rFonts w:hint="default"/>
      </w:rPr>
    </w:lvl>
    <w:lvl w:ilvl="6">
      <w:start w:val="1"/>
      <w:numFmt w:val="decimal"/>
      <w:lvlText w:val="%1.%2.%3.%4.%5.%6.%7."/>
      <w:lvlJc w:val="left"/>
      <w:pPr>
        <w:ind w:hanging="1080" w:left="3950"/>
      </w:pPr>
      <w:rPr>
        <w:rFonts w:hint="default"/>
      </w:rPr>
    </w:lvl>
    <w:lvl w:ilvl="7">
      <w:start w:val="1"/>
      <w:numFmt w:val="decimal"/>
      <w:lvlText w:val="%1.%2.%3.%4.%5.%6.%7.%8."/>
      <w:lvlJc w:val="left"/>
      <w:pPr>
        <w:ind w:hanging="1224" w:left="4454"/>
      </w:pPr>
      <w:rPr>
        <w:rFonts w:hint="default"/>
      </w:rPr>
    </w:lvl>
    <w:lvl w:ilvl="8">
      <w:start w:val="1"/>
      <w:numFmt w:val="decimal"/>
      <w:lvlText w:val="%1.%2.%3.%4.%5.%6.%7.%8.%9."/>
      <w:lvlJc w:val="left"/>
      <w:pPr>
        <w:ind w:hanging="1440" w:left="5030"/>
      </w:pPr>
      <w:rPr>
        <w:rFonts w:hint="default"/>
      </w:rPr>
    </w:lvl>
  </w:abstractNum>
  <w:abstractNum w15:restartNumberingAfterBreak="0" w:abstractNumId="7">
    <w:nsid w:val="19A1740F"/>
    <w:multiLevelType w:val="multilevel"/>
    <w:tmpl w:val="A04E49A4"/>
    <w:lvl w:ilvl="0">
      <w:start w:val="1"/>
      <w:numFmt w:val="decimal"/>
      <w:pStyle w:val="Appendix"/>
      <w:lvlText w:val="APPENDIX %1"/>
      <w:lvlJc w:val="left"/>
      <w:pPr>
        <w:ind w:hanging="1701" w:left="1701"/>
      </w:pPr>
      <w:rPr>
        <w:rFonts w:ascii="Calibri (Body)" w:hAnsi="Calibri (Body)" w:hint="default"/>
        <w:b/>
        <w:bCs w:val="0"/>
        <w:i w:val="0"/>
        <w:iCs w:val="0"/>
        <w:caps/>
        <w:smallCaps w:val="0"/>
        <w:strike w:val="0"/>
        <w:dstrike w:val="0"/>
        <w:outline w:val="0"/>
        <w:shadow w:val="0"/>
        <w:emboss w:val="0"/>
        <w:imprint w:val="0"/>
        <w:noProof w:val="0"/>
        <w:vanish w:val="0"/>
        <w:color w:val="00558C"/>
        <w:spacing w:val="0"/>
        <w:kern w:val="0"/>
        <w:position w:val="0"/>
        <w:sz w:val="28"/>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
      <w:pStyle w:val="AppendixHead1"/>
      <w:lvlText w:val="%2."/>
      <w:lvlJc w:val="left"/>
      <w:pPr>
        <w:ind w:hanging="907" w:left="907"/>
      </w:pPr>
      <w:rPr>
        <w:rFonts w:hint="default"/>
      </w:rPr>
    </w:lvl>
    <w:lvl w:ilvl="2">
      <w:start w:val="1"/>
      <w:numFmt w:val="decimal"/>
      <w:pStyle w:val="AppendixHead2"/>
      <w:lvlText w:val="%2.%3."/>
      <w:lvlJc w:val="left"/>
      <w:pPr>
        <w:ind w:hanging="1247" w:left="1247"/>
      </w:pPr>
      <w:rPr>
        <w:rFonts w:hint="default"/>
      </w:rPr>
    </w:lvl>
    <w:lvl w:ilvl="3">
      <w:start w:val="1"/>
      <w:numFmt w:val="decimal"/>
      <w:pStyle w:val="AppendixHead3"/>
      <w:lvlText w:val="%2.%3.%4."/>
      <w:lvlJc w:val="left"/>
      <w:pPr>
        <w:ind w:hanging="1588" w:left="1588"/>
      </w:pPr>
      <w:rPr>
        <w:rFonts w:hint="default"/>
      </w:rPr>
    </w:lvl>
    <w:lvl w:ilvl="4">
      <w:start w:val="1"/>
      <w:numFmt w:val="decimal"/>
      <w:pStyle w:val="AppendixHead4"/>
      <w:lvlText w:val="%2.%3.%4.%5."/>
      <w:lvlJc w:val="left"/>
      <w:pPr>
        <w:ind w:hanging="1758" w:left="1758"/>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8">
    <w:nsid w:val="1E7E01D9"/>
    <w:multiLevelType w:val="hybridMultilevel"/>
    <w:tmpl w:val="ECFE5922"/>
    <w:lvl w:ilvl="0" w:tplc="EAC2AAE0">
      <w:start w:val="1"/>
      <w:numFmt w:val="decimal"/>
      <w:pStyle w:val="Reference"/>
      <w:lvlText w:val="[%1]"/>
      <w:lvlJc w:val="left"/>
      <w:pPr>
        <w:tabs>
          <w:tab w:pos="0" w:val="num"/>
        </w:tabs>
        <w:ind w:hanging="567" w:left="567"/>
      </w:pPr>
      <w:rPr>
        <w:rFonts w:asciiTheme="minorHAnsi" w:hAnsiTheme="minorHAnsi" w:hint="default"/>
        <w:b w:val="0"/>
        <w:i w:val="0"/>
        <w:sz w:val="22"/>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9">
    <w:nsid w:val="234245C5"/>
    <w:multiLevelType w:val="multilevel"/>
    <w:tmpl w:val="F5B0E470"/>
    <w:lvl w:ilvl="0">
      <w:start w:val="1"/>
      <w:numFmt w:val="decimal"/>
      <w:pStyle w:val="ImageCaption"/>
      <w:lvlText w:val="Figur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0">
    <w:nsid w:val="254A4879"/>
    <w:multiLevelType w:val="multilevel"/>
    <w:tmpl w:val="04090023"/>
    <w:styleLink w:val="ArticleSection"/>
    <w:lvl w:ilvl="0">
      <w:start w:val="1"/>
      <w:numFmt w:val="upperRoman"/>
      <w:lvlText w:val="Article %1."/>
      <w:lvlJc w:val="left"/>
      <w:pPr>
        <w:tabs>
          <w:tab w:pos="1440" w:val="num"/>
        </w:tabs>
        <w:ind w:firstLine="0" w:left="0"/>
      </w:pPr>
    </w:lvl>
    <w:lvl w:ilvl="1">
      <w:start w:val="1"/>
      <w:numFmt w:val="decimalZero"/>
      <w:isLgl/>
      <w:lvlText w:val="Section %1.%2"/>
      <w:lvlJc w:val="left"/>
      <w:pPr>
        <w:tabs>
          <w:tab w:pos="1080" w:val="num"/>
        </w:tabs>
        <w:ind w:firstLine="0" w:left="0"/>
      </w:pPr>
    </w:lvl>
    <w:lvl w:ilvl="2">
      <w:start w:val="1"/>
      <w:numFmt w:val="lowerLetter"/>
      <w:lvlText w:val="(%3)"/>
      <w:lvlJc w:val="left"/>
      <w:pPr>
        <w:tabs>
          <w:tab w:pos="720" w:val="num"/>
        </w:tabs>
        <w:ind w:hanging="432" w:left="720"/>
      </w:pPr>
    </w:lvl>
    <w:lvl w:ilvl="3">
      <w:start w:val="1"/>
      <w:numFmt w:val="lowerRoman"/>
      <w:lvlText w:val="(%4)"/>
      <w:lvlJc w:val="right"/>
      <w:pPr>
        <w:tabs>
          <w:tab w:pos="864" w:val="num"/>
        </w:tabs>
        <w:ind w:hanging="144" w:left="864"/>
      </w:pPr>
    </w:lvl>
    <w:lvl w:ilvl="4">
      <w:start w:val="1"/>
      <w:numFmt w:val="decimal"/>
      <w:lvlText w:val="%5)"/>
      <w:lvlJc w:val="left"/>
      <w:pPr>
        <w:tabs>
          <w:tab w:pos="1008" w:val="num"/>
        </w:tabs>
        <w:ind w:hanging="432" w:left="1008"/>
      </w:pPr>
    </w:lvl>
    <w:lvl w:ilvl="5">
      <w:start w:val="1"/>
      <w:numFmt w:val="lowerLetter"/>
      <w:lvlText w:val="%6)"/>
      <w:lvlJc w:val="left"/>
      <w:pPr>
        <w:tabs>
          <w:tab w:pos="1152" w:val="num"/>
        </w:tabs>
        <w:ind w:hanging="432" w:left="1152"/>
      </w:pPr>
    </w:lvl>
    <w:lvl w:ilvl="6">
      <w:start w:val="1"/>
      <w:numFmt w:val="lowerRoman"/>
      <w:lvlText w:val="%7)"/>
      <w:lvlJc w:val="right"/>
      <w:pPr>
        <w:tabs>
          <w:tab w:pos="1296" w:val="num"/>
        </w:tabs>
        <w:ind w:hanging="288" w:left="1296"/>
      </w:pPr>
    </w:lvl>
    <w:lvl w:ilvl="7">
      <w:start w:val="1"/>
      <w:numFmt w:val="lowerLetter"/>
      <w:lvlText w:val="%8."/>
      <w:lvlJc w:val="left"/>
      <w:pPr>
        <w:tabs>
          <w:tab w:pos="1440" w:val="num"/>
        </w:tabs>
        <w:ind w:hanging="432" w:left="1440"/>
      </w:pPr>
    </w:lvl>
    <w:lvl w:ilvl="8">
      <w:start w:val="1"/>
      <w:numFmt w:val="lowerRoman"/>
      <w:lvlText w:val="%9."/>
      <w:lvlJc w:val="right"/>
      <w:pPr>
        <w:tabs>
          <w:tab w:pos="1584" w:val="num"/>
        </w:tabs>
        <w:ind w:hanging="144" w:left="1584"/>
      </w:pPr>
    </w:lvl>
  </w:abstractNum>
  <w:abstractNum w15:restartNumberingAfterBreak="0" w:abstractNumId="11">
    <w:nsid w:val="28336371"/>
    <w:multiLevelType w:val="hybridMultilevel"/>
    <w:tmpl w:val="997491D8"/>
    <w:lvl w:ilvl="0" w:tplc="930467F4">
      <w:start w:val="1"/>
      <w:numFmt w:val="bullet"/>
      <w:pStyle w:val="Tableinsetlist"/>
      <w:lvlText w:val=""/>
      <w:lvlJc w:val="left"/>
      <w:pPr>
        <w:ind w:hanging="284" w:left="397"/>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2A4E1CF1"/>
    <w:multiLevelType w:val="multilevel"/>
    <w:tmpl w:val="1E38A4A2"/>
    <w:lvl w:ilvl="0">
      <w:start w:val="1"/>
      <w:numFmt w:val="decimal"/>
      <w:pStyle w:val="AnnexTablecaption"/>
      <w:lvlText w:val="Tabl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3">
    <w:nsid w:val="2A79174A"/>
    <w:multiLevelType w:val="multilevel"/>
    <w:tmpl w:val="4A2835F0"/>
    <w:styleLink w:val="IALABulletList"/>
    <w:lvl w:ilvl="0">
      <w:start w:val="1"/>
      <w:numFmt w:val="bullet"/>
      <w:lvlText w:val=""/>
      <w:lvlJc w:val="left"/>
      <w:pPr>
        <w:ind w:hanging="480" w:left="720"/>
      </w:pPr>
      <w:rPr>
        <w:rFonts w:ascii="Symbol" w:hAnsi="Symbol" w:hint="default"/>
        <w:color w:themeColor="accent5" w:themeShade="BF" w:val="3E60A1"/>
      </w:rPr>
    </w:lvl>
    <w:lvl w:ilvl="1">
      <w:start w:val="1"/>
      <w:numFmt w:val="bullet"/>
      <w:lvlText w:val=""/>
      <w:lvlJc w:val="left"/>
      <w:pPr>
        <w:ind w:hanging="480" w:left="1440"/>
      </w:pPr>
      <w:rPr>
        <w:rFonts w:ascii="Symbol" w:hAnsi="Symbol" w:hint="default"/>
        <w:color w:themeColor="accent5" w:themeTint="99" w:val="A3B6DB"/>
      </w:rPr>
    </w:lvl>
    <w:lvl w:ilvl="2">
      <w:start w:val="1"/>
      <w:numFmt w:val="bullet"/>
      <w:lvlText w:val="o"/>
      <w:lvlJc w:val="left"/>
      <w:pPr>
        <w:ind w:hanging="480" w:left="2160"/>
      </w:pPr>
      <w:rPr>
        <w:rFonts w:ascii="Courier New" w:cs="Courier New" w:hAnsi="Courier New" w:hint="default"/>
      </w:r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4">
    <w:nsid w:val="2BDB2C74"/>
    <w:multiLevelType w:val="multilevel"/>
    <w:tmpl w:val="4B8246FA"/>
    <w:lvl w:ilvl="0">
      <w:start w:val="1"/>
      <w:numFmt w:val="decimal"/>
      <w:pStyle w:val="AnnexFigureCaption"/>
      <w:lvlText w:val="Figure %1"/>
      <w:lvlJc w:val="left"/>
      <w:pPr>
        <w:ind w:hanging="992" w:left="992"/>
      </w:pPr>
      <w:rPr>
        <w:rFonts w:asciiTheme="minorHAnsi" w:hAnsiTheme="minorHAnsi" w:hint="default"/>
        <w:b w:val="0"/>
        <w:i/>
        <w:sz w:val="22"/>
        <w:u w:val="none"/>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32547343"/>
    <w:multiLevelType w:val="multilevel"/>
    <w:tmpl w:val="0B2865BA"/>
    <w:lvl w:ilvl="0">
      <w:start w:val="1"/>
      <w:numFmt w:val="decimal"/>
      <w:pStyle w:val="Furtherreading"/>
      <w:lvlText w:val="[%1]"/>
      <w:lvlJc w:val="left"/>
      <w:pPr>
        <w:ind w:hanging="567" w:left="567"/>
      </w:pPr>
      <w:rPr>
        <w:rFonts w:hint="default"/>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6">
    <w:nsid w:val="48D554E7"/>
    <w:multiLevelType w:val="hybridMultilevel"/>
    <w:tmpl w:val="6F7ED8FE"/>
    <w:lvl w:ilvl="0" w:tplc="5A2A8644">
      <w:start w:val="1"/>
      <w:numFmt w:val="bullet"/>
      <w:pStyle w:val="Bullet1"/>
      <w:lvlText w:val=""/>
      <w:lvlJc w:val="left"/>
      <w:pPr>
        <w:ind w:hanging="360" w:left="360"/>
      </w:pPr>
      <w:rPr>
        <w:rFonts w:ascii="Symbol" w:hAnsi="Symbol" w:hint="default"/>
        <w:color w:val="00558C"/>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5B407171"/>
    <w:multiLevelType w:val="multilevel"/>
    <w:tmpl w:val="342626DA"/>
    <w:styleLink w:val="IALANumberedList"/>
    <w:lvl w:ilvl="0">
      <w:start w:val="1"/>
      <w:numFmt w:val="decimal"/>
      <w:lvlText w:val="%1"/>
      <w:lvlJc w:val="left"/>
      <w:pPr>
        <w:ind w:hanging="480" w:left="720"/>
      </w:pPr>
      <w:rPr>
        <w:rFonts w:hint="default"/>
      </w:rPr>
    </w:lvl>
    <w:lvl w:ilvl="1">
      <w:start w:val="1"/>
      <w:numFmt w:val="lowerLetter"/>
      <w:lvlText w:val="%2"/>
      <w:lvlJc w:val="left"/>
      <w:pPr>
        <w:ind w:hanging="480" w:left="1440"/>
      </w:pPr>
      <w:rPr>
        <w:rFonts w:hint="default"/>
      </w:rPr>
    </w:lvl>
    <w:lvl w:ilvl="2">
      <w:start w:val="1"/>
      <w:numFmt w:val="lowerRoman"/>
      <w:lvlText w:val="%3"/>
      <w:lvlJc w:val="left"/>
      <w:pPr>
        <w:ind w:hanging="480" w:left="2160"/>
      </w:pPr>
      <w:rPr>
        <w:rFonts w:hint="default"/>
      </w:rPr>
    </w:lvl>
    <w:lvl w:ilvl="3">
      <w:start w:val="1"/>
      <w:numFmt w:val="decimal"/>
      <w:lvlText w:val="%4."/>
      <w:lvlJc w:val="left"/>
      <w:pPr>
        <w:ind w:hanging="480" w:left="2880"/>
      </w:pPr>
      <w:rPr>
        <w:rFonts w:hint="default"/>
      </w:rPr>
    </w:lvl>
    <w:lvl w:ilvl="4">
      <w:start w:val="1"/>
      <w:numFmt w:val="decimal"/>
      <w:lvlText w:val="%5."/>
      <w:lvlJc w:val="left"/>
      <w:pPr>
        <w:ind w:hanging="480" w:left="3600"/>
      </w:pPr>
      <w:rPr>
        <w:rFonts w:hint="default"/>
      </w:rPr>
    </w:lvl>
    <w:lvl w:ilvl="5">
      <w:start w:val="1"/>
      <w:numFmt w:val="decimal"/>
      <w:lvlText w:val="%6."/>
      <w:lvlJc w:val="left"/>
      <w:pPr>
        <w:ind w:hanging="480" w:left="4320"/>
      </w:pPr>
      <w:rPr>
        <w:rFonts w:hint="default"/>
      </w:rPr>
    </w:lvl>
    <w:lvl w:ilvl="6">
      <w:start w:val="1"/>
      <w:numFmt w:val="decimal"/>
      <w:lvlText w:val="%7."/>
      <w:lvlJc w:val="left"/>
      <w:pPr>
        <w:ind w:hanging="480" w:left="5040"/>
      </w:pPr>
      <w:rPr>
        <w:rFonts w:hint="default"/>
      </w:rPr>
    </w:lvl>
    <w:lvl w:ilvl="7">
      <w:start w:val="1"/>
      <w:numFmt w:val="decimal"/>
      <w:lvlText w:val="%8."/>
      <w:lvlJc w:val="left"/>
      <w:pPr>
        <w:ind w:hanging="480" w:left="5760"/>
      </w:pPr>
      <w:rPr>
        <w:rFonts w:hint="default"/>
      </w:rPr>
    </w:lvl>
    <w:lvl w:ilvl="8">
      <w:start w:val="1"/>
      <w:numFmt w:val="decimal"/>
      <w:lvlText w:val="%9."/>
      <w:lvlJc w:val="left"/>
      <w:pPr>
        <w:ind w:hanging="480" w:left="6480"/>
      </w:pPr>
      <w:rPr>
        <w:rFonts w:hint="default"/>
      </w:rPr>
    </w:lvl>
  </w:abstractNum>
  <w:abstractNum w15:restartNumberingAfterBreak="0" w:abstractNumId="18">
    <w:nsid w:val="5EB057A3"/>
    <w:multiLevelType w:val="multilevel"/>
    <w:tmpl w:val="46686680"/>
    <w:lvl w:ilvl="0">
      <w:start w:val="1"/>
      <w:numFmt w:val="decimal"/>
      <w:pStyle w:val="Equation"/>
      <w:lvlText w:val="(%1)"/>
      <w:lvlJc w:val="left"/>
      <w:pPr>
        <w:ind w:hanging="360" w:left="360"/>
      </w:pPr>
      <w:rPr>
        <w:rFonts w:hint="default"/>
        <w:b w:val="0"/>
        <w:i w:val="0"/>
        <w:sz w:val="22"/>
        <w:u w:val="none"/>
      </w:rPr>
    </w:lvl>
    <w:lvl w:ilvl="1">
      <w:start w:val="1"/>
      <w:numFmt w:val="lowerLetter"/>
      <w:lvlText w:val="%2)"/>
      <w:lvlJc w:val="left"/>
      <w:pPr>
        <w:ind w:hanging="360" w:left="720"/>
      </w:pPr>
      <w:rPr>
        <w:rFonts w:hint="default"/>
      </w:rPr>
    </w:lvl>
    <w:lvl w:ilvl="2">
      <w:start w:val="1"/>
      <w:numFmt w:val="lowerRoman"/>
      <w:lvlText w:val="%3)"/>
      <w:lvlJc w:val="left"/>
      <w:pPr>
        <w:ind w:hanging="360" w:left="1080"/>
      </w:pPr>
      <w:rPr>
        <w:rFonts w:hint="default"/>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9">
    <w:nsid w:val="67AB4D84"/>
    <w:multiLevelType w:val="multilevel"/>
    <w:tmpl w:val="FFDC463E"/>
    <w:lvl w:ilvl="0">
      <w:start w:val="1"/>
      <w:numFmt w:val="decimal"/>
      <w:pStyle w:val="Heading1"/>
      <w:lvlText w:val="%1."/>
      <w:lvlJc w:val="left"/>
      <w:pPr>
        <w:tabs>
          <w:tab w:pos="0" w:val="num"/>
        </w:tabs>
        <w:ind w:hanging="709" w:left="709"/>
      </w:pPr>
      <w:rPr>
        <w:rFonts w:asciiTheme="minorHAnsi" w:hAnsiTheme="minorHAnsi" w:hint="default"/>
        <w:b/>
        <w:i w:val="0"/>
        <w:color w:val="00558C"/>
        <w:sz w:val="28"/>
      </w:rPr>
    </w:lvl>
    <w:lvl w:ilvl="1">
      <w:start w:val="1"/>
      <w:numFmt w:val="decimal"/>
      <w:pStyle w:val="Heading2"/>
      <w:lvlText w:val="%1.%2."/>
      <w:lvlJc w:val="left"/>
      <w:pPr>
        <w:tabs>
          <w:tab w:pos="0" w:val="num"/>
        </w:tabs>
        <w:ind w:hanging="851" w:left="851"/>
      </w:pPr>
      <w:rPr>
        <w:rFonts w:asciiTheme="minorHAnsi" w:hAnsiTheme="minorHAnsi" w:hint="default"/>
        <w:b/>
        <w:i w:val="0"/>
        <w:color w:val="00558C"/>
        <w:sz w:val="24"/>
      </w:rPr>
    </w:lvl>
    <w:lvl w:ilvl="2">
      <w:start w:val="1"/>
      <w:numFmt w:val="decimal"/>
      <w:pStyle w:val="Heading3"/>
      <w:lvlText w:val="%1.%2.%3."/>
      <w:lvlJc w:val="left"/>
      <w:pPr>
        <w:tabs>
          <w:tab w:pos="0" w:val="num"/>
        </w:tabs>
        <w:ind w:hanging="992" w:left="992"/>
      </w:pPr>
      <w:rPr>
        <w:rFonts w:asciiTheme="minorHAnsi" w:hAnsiTheme="minorHAnsi" w:hint="default"/>
        <w:b/>
        <w:i w:val="0"/>
        <w:color w:val="00558C"/>
        <w:sz w:val="22"/>
      </w:rPr>
    </w:lvl>
    <w:lvl w:ilvl="3">
      <w:start w:val="1"/>
      <w:numFmt w:val="decimal"/>
      <w:pStyle w:val="Heading4"/>
      <w:lvlText w:val="%1.%2.%3.%4."/>
      <w:lvlJc w:val="left"/>
      <w:pPr>
        <w:tabs>
          <w:tab w:pos="0" w:val="num"/>
        </w:tabs>
        <w:ind w:hanging="1134" w:left="1134"/>
      </w:pPr>
      <w:rPr>
        <w:rFonts w:asciiTheme="minorHAnsi" w:hAnsiTheme="minorHAnsi" w:hint="default"/>
        <w:b/>
        <w:i w:val="0"/>
        <w:color w:val="00558C"/>
        <w:sz w:val="22"/>
      </w:rPr>
    </w:lvl>
    <w:lvl w:ilvl="4">
      <w:start w:val="1"/>
      <w:numFmt w:val="decimal"/>
      <w:pStyle w:val="Heading5"/>
      <w:lvlText w:val="%1.%2.%3.%4.%5"/>
      <w:lvlJc w:val="left"/>
      <w:pPr>
        <w:ind w:hanging="1008" w:left="1008"/>
      </w:pPr>
      <w:rPr>
        <w:rFonts w:ascii="Calibri" w:hAnsi="Calibri" w:hint="default"/>
        <w:color w:val="00558C"/>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6C9C62AB"/>
    <w:multiLevelType w:val="multilevel"/>
    <w:tmpl w:val="5C4AF784"/>
    <w:lvl w:ilvl="0">
      <w:start w:val="1"/>
      <w:numFmt w:val="decimal"/>
      <w:lvlText w:val="%1"/>
      <w:lvlJc w:val="left"/>
      <w:pPr>
        <w:ind w:hanging="567" w:left="567"/>
      </w:pPr>
      <w:rPr>
        <w:rFonts w:asciiTheme="minorHAnsi" w:hAnsiTheme="minorHAnsi" w:hint="default"/>
        <w:b w:val="0"/>
        <w:i w:val="0"/>
        <w:sz w:val="22"/>
      </w:rPr>
    </w:lvl>
    <w:lvl w:ilvl="1">
      <w:start w:val="1"/>
      <w:numFmt w:val="lowerLetter"/>
      <w:pStyle w:val="Lista"/>
      <w:lvlText w:val="%2"/>
      <w:lvlJc w:val="left"/>
      <w:pPr>
        <w:ind w:hanging="567" w:left="1134"/>
      </w:pPr>
      <w:rPr>
        <w:rFonts w:asciiTheme="minorHAnsi" w:hAnsiTheme="minorHAnsi" w:hint="default"/>
        <w:b w:val="0"/>
        <w:i w:val="0"/>
        <w:sz w:val="22"/>
      </w:rPr>
    </w:lvl>
    <w:lvl w:ilvl="2">
      <w:start w:val="1"/>
      <w:numFmt w:val="lowerRoman"/>
      <w:pStyle w:val="Listi"/>
      <w:lvlText w:val="%3"/>
      <w:lvlJc w:val="left"/>
      <w:pPr>
        <w:ind w:hanging="567" w:left="2268"/>
      </w:pPr>
      <w:rPr>
        <w:rFonts w:asciiTheme="minorHAnsi" w:hAnsiTheme="minorHAnsi" w:hint="default"/>
        <w:b w:val="0"/>
        <w:i w:val="0"/>
        <w:sz w:val="20"/>
      </w:rPr>
    </w:lvl>
    <w:lvl w:ilvl="3">
      <w:start w:val="1"/>
      <w:numFmt w:val="decimal"/>
      <w:lvlText w:val="(%4)"/>
      <w:lvlJc w:val="left"/>
      <w:pPr>
        <w:ind w:hanging="360" w:left="2858"/>
      </w:pPr>
      <w:rPr>
        <w:rFonts w:hint="default"/>
      </w:rPr>
    </w:lvl>
    <w:lvl w:ilvl="4">
      <w:start w:val="1"/>
      <w:numFmt w:val="lowerLetter"/>
      <w:lvlText w:val="(%5)"/>
      <w:lvlJc w:val="left"/>
      <w:pPr>
        <w:ind w:hanging="360" w:left="3218"/>
      </w:pPr>
      <w:rPr>
        <w:rFonts w:hint="default"/>
      </w:rPr>
    </w:lvl>
    <w:lvl w:ilvl="5">
      <w:start w:val="1"/>
      <w:numFmt w:val="lowerRoman"/>
      <w:lvlText w:val="(%6)"/>
      <w:lvlJc w:val="left"/>
      <w:pPr>
        <w:ind w:hanging="360" w:left="3578"/>
      </w:pPr>
      <w:rPr>
        <w:rFonts w:hint="default"/>
      </w:rPr>
    </w:lvl>
    <w:lvl w:ilvl="6">
      <w:start w:val="1"/>
      <w:numFmt w:val="decimal"/>
      <w:lvlText w:val="%7."/>
      <w:lvlJc w:val="left"/>
      <w:pPr>
        <w:ind w:hanging="360" w:left="3938"/>
      </w:pPr>
      <w:rPr>
        <w:rFonts w:hint="default"/>
      </w:rPr>
    </w:lvl>
    <w:lvl w:ilvl="7">
      <w:start w:val="1"/>
      <w:numFmt w:val="lowerLetter"/>
      <w:lvlText w:val="%8."/>
      <w:lvlJc w:val="left"/>
      <w:pPr>
        <w:ind w:hanging="360" w:left="4298"/>
      </w:pPr>
      <w:rPr>
        <w:rFonts w:hint="default"/>
      </w:rPr>
    </w:lvl>
    <w:lvl w:ilvl="8">
      <w:start w:val="1"/>
      <w:numFmt w:val="lowerRoman"/>
      <w:lvlText w:val="%9."/>
      <w:lvlJc w:val="left"/>
      <w:pPr>
        <w:ind w:hanging="360" w:left="4658"/>
      </w:pPr>
      <w:rPr>
        <w:rFonts w:hint="default"/>
      </w:rPr>
    </w:lvl>
  </w:abstractNum>
  <w:abstractNum w15:restartNumberingAfterBreak="0" w:abstractNumId="21">
    <w:nsid w:val="76D64DA6"/>
    <w:multiLevelType w:val="hybridMultilevel"/>
    <w:tmpl w:val="60E6F4BE"/>
    <w:lvl w:ilvl="0" w:tplc="84F40B06">
      <w:start w:val="1"/>
      <w:numFmt w:val="bullet"/>
      <w:pStyle w:val="Bullet3"/>
      <w:lvlText w:val="o"/>
      <w:lvlJc w:val="left"/>
      <w:pPr>
        <w:ind w:hanging="360" w:left="1211"/>
      </w:pPr>
      <w:rPr>
        <w:rFonts w:ascii="Courier New" w:cs="Courier New" w:hAnsi="Courier New" w:hint="default"/>
      </w:rPr>
    </w:lvl>
    <w:lvl w:ilvl="1" w:tentative="1" w:tplc="041D0003">
      <w:start w:val="1"/>
      <w:numFmt w:val="bullet"/>
      <w:lvlText w:val="o"/>
      <w:lvlJc w:val="left"/>
      <w:pPr>
        <w:tabs>
          <w:tab w:pos="1440" w:val="num"/>
        </w:tabs>
        <w:ind w:hanging="360" w:left="1440"/>
      </w:pPr>
      <w:rPr>
        <w:rFonts w:ascii="Courier New" w:cs="Courier New" w:hAnsi="Courier New" w:hint="default"/>
      </w:rPr>
    </w:lvl>
    <w:lvl w:ilvl="2" w:tentative="1" w:tplc="041D0005">
      <w:start w:val="1"/>
      <w:numFmt w:val="bullet"/>
      <w:lvlText w:val=""/>
      <w:lvlJc w:val="left"/>
      <w:pPr>
        <w:tabs>
          <w:tab w:pos="2160" w:val="num"/>
        </w:tabs>
        <w:ind w:hanging="360" w:left="2160"/>
      </w:pPr>
      <w:rPr>
        <w:rFonts w:ascii="Wingdings" w:hAnsi="Wingdings" w:hint="default"/>
      </w:rPr>
    </w:lvl>
    <w:lvl w:ilvl="3" w:tentative="1" w:tplc="041D0001">
      <w:start w:val="1"/>
      <w:numFmt w:val="bullet"/>
      <w:lvlText w:val=""/>
      <w:lvlJc w:val="left"/>
      <w:pPr>
        <w:tabs>
          <w:tab w:pos="2880" w:val="num"/>
        </w:tabs>
        <w:ind w:hanging="360" w:left="2880"/>
      </w:pPr>
      <w:rPr>
        <w:rFonts w:ascii="Symbol" w:hAnsi="Symbol" w:hint="default"/>
      </w:rPr>
    </w:lvl>
    <w:lvl w:ilvl="4" w:tentative="1" w:tplc="041D0003">
      <w:start w:val="1"/>
      <w:numFmt w:val="bullet"/>
      <w:lvlText w:val="o"/>
      <w:lvlJc w:val="left"/>
      <w:pPr>
        <w:tabs>
          <w:tab w:pos="3600" w:val="num"/>
        </w:tabs>
        <w:ind w:hanging="360" w:left="3600"/>
      </w:pPr>
      <w:rPr>
        <w:rFonts w:ascii="Courier New" w:cs="Courier New" w:hAnsi="Courier New" w:hint="default"/>
      </w:rPr>
    </w:lvl>
    <w:lvl w:ilvl="5" w:tentative="1" w:tplc="041D0005">
      <w:start w:val="1"/>
      <w:numFmt w:val="bullet"/>
      <w:lvlText w:val=""/>
      <w:lvlJc w:val="left"/>
      <w:pPr>
        <w:tabs>
          <w:tab w:pos="4320" w:val="num"/>
        </w:tabs>
        <w:ind w:hanging="360" w:left="4320"/>
      </w:pPr>
      <w:rPr>
        <w:rFonts w:ascii="Wingdings" w:hAnsi="Wingdings" w:hint="default"/>
      </w:rPr>
    </w:lvl>
    <w:lvl w:ilvl="6" w:tentative="1" w:tplc="041D0001">
      <w:start w:val="1"/>
      <w:numFmt w:val="bullet"/>
      <w:lvlText w:val=""/>
      <w:lvlJc w:val="left"/>
      <w:pPr>
        <w:tabs>
          <w:tab w:pos="5040" w:val="num"/>
        </w:tabs>
        <w:ind w:hanging="360" w:left="5040"/>
      </w:pPr>
      <w:rPr>
        <w:rFonts w:ascii="Symbol" w:hAnsi="Symbol" w:hint="default"/>
      </w:rPr>
    </w:lvl>
    <w:lvl w:ilvl="7" w:tentative="1" w:tplc="041D0003">
      <w:start w:val="1"/>
      <w:numFmt w:val="bullet"/>
      <w:lvlText w:val="o"/>
      <w:lvlJc w:val="left"/>
      <w:pPr>
        <w:tabs>
          <w:tab w:pos="5760" w:val="num"/>
        </w:tabs>
        <w:ind w:hanging="360" w:left="5760"/>
      </w:pPr>
      <w:rPr>
        <w:rFonts w:ascii="Courier New" w:cs="Courier New" w:hAnsi="Courier New" w:hint="default"/>
      </w:rPr>
    </w:lvl>
    <w:lvl w:ilvl="8" w:tentative="1" w:tplc="041D0005">
      <w:start w:val="1"/>
      <w:numFmt w:val="bullet"/>
      <w:lvlText w:val=""/>
      <w:lvlJc w:val="left"/>
      <w:pPr>
        <w:tabs>
          <w:tab w:pos="6480" w:val="num"/>
        </w:tabs>
        <w:ind w:hanging="360" w:left="6480"/>
      </w:pPr>
      <w:rPr>
        <w:rFonts w:ascii="Wingdings" w:hAnsi="Wingdings" w:hint="default"/>
      </w:rPr>
    </w:lvl>
  </w:abstractNum>
  <w:abstractNum w15:restartNumberingAfterBreak="0" w:abstractNumId="22">
    <w:nsid w:val="77B65365"/>
    <w:multiLevelType w:val="multilevel"/>
    <w:tmpl w:val="1898C208"/>
    <w:lvl w:ilvl="0">
      <w:start w:val="1"/>
      <w:numFmt w:val="decimal"/>
      <w:pStyle w:val="List1"/>
      <w:lvlText w:val="%1"/>
      <w:lvlJc w:val="left"/>
      <w:pPr>
        <w:tabs>
          <w:tab w:pos="0" w:val="num"/>
        </w:tabs>
        <w:ind w:hanging="567" w:left="567"/>
      </w:pPr>
      <w:rPr>
        <w:rFonts w:asciiTheme="minorHAnsi" w:hAnsiTheme="minorHAnsi" w:hint="default"/>
        <w:b w:val="0"/>
        <w:i w:val="0"/>
        <w:sz w:val="22"/>
      </w:rPr>
    </w:lvl>
    <w:lvl w:ilvl="1">
      <w:start w:val="1"/>
      <w:numFmt w:val="lowerLetter"/>
      <w:lvlText w:val="%2"/>
      <w:lvlJc w:val="left"/>
      <w:pPr>
        <w:tabs>
          <w:tab w:pos="0" w:val="num"/>
        </w:tabs>
        <w:ind w:hanging="567" w:left="1134"/>
      </w:pPr>
      <w:rPr>
        <w:rFonts w:asciiTheme="minorHAnsi" w:hAnsiTheme="minorHAnsi" w:hint="default"/>
        <w:b w:val="0"/>
        <w:i w:val="0"/>
        <w:sz w:val="22"/>
      </w:rPr>
    </w:lvl>
    <w:lvl w:ilvl="2">
      <w:start w:val="1"/>
      <w:numFmt w:val="lowerRoman"/>
      <w:lvlText w:val="%3"/>
      <w:lvlJc w:val="left"/>
      <w:pPr>
        <w:ind w:firstLine="567" w:left="567"/>
      </w:pPr>
      <w:rPr>
        <w:rFonts w:asciiTheme="minorHAnsi" w:hAnsiTheme="minorHAnsi" w:hint="default"/>
        <w:b w:val="0"/>
        <w:i w:val="0"/>
        <w:sz w:val="20"/>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3">
    <w:nsid w:val="7BB11B89"/>
    <w:multiLevelType w:val="hybridMultilevel"/>
    <w:tmpl w:val="22EAEB96"/>
    <w:lvl w:ilvl="0" w:tplc="D44E2B6C">
      <w:start w:val="1"/>
      <w:numFmt w:val="bullet"/>
      <w:pStyle w:val="Bullet2"/>
      <w:lvlText w:val=""/>
      <w:lvlJc w:val="left"/>
      <w:pPr>
        <w:ind w:hanging="426" w:left="851"/>
      </w:pPr>
      <w:rPr>
        <w:rFonts w:ascii="Symbol" w:hAnsi="Symbol" w:hint="default"/>
        <w:color w:val="B2C1ED"/>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776901306" w:numId="1">
    <w:abstractNumId w:val="5"/>
  </w:num>
  <w:num w16cid:durableId="1411194377" w:numId="2">
    <w:abstractNumId w:val="11"/>
  </w:num>
  <w:num w16cid:durableId="2979000" w:numId="3">
    <w:abstractNumId w:val="6"/>
  </w:num>
  <w:num w16cid:durableId="948463710" w:numId="4">
    <w:abstractNumId w:val="10"/>
  </w:num>
  <w:num w16cid:durableId="1345281543" w:numId="5">
    <w:abstractNumId w:val="4"/>
  </w:num>
  <w:num w16cid:durableId="1607926095" w:numId="6">
    <w:abstractNumId w:val="0"/>
  </w:num>
  <w:num w16cid:durableId="803155920" w:numId="7">
    <w:abstractNumId w:val="7"/>
  </w:num>
  <w:num w16cid:durableId="360401034" w:numId="8">
    <w:abstractNumId w:val="8"/>
  </w:num>
  <w:num w16cid:durableId="1798180209" w:numId="9">
    <w:abstractNumId w:val="18"/>
  </w:num>
  <w:num w16cid:durableId="698508161" w:numId="10">
    <w:abstractNumId w:val="15"/>
  </w:num>
  <w:num w16cid:durableId="275060282" w:numId="11">
    <w:abstractNumId w:val="16"/>
  </w:num>
  <w:num w16cid:durableId="391082471" w:numId="12">
    <w:abstractNumId w:val="23"/>
  </w:num>
  <w:num w16cid:durableId="679164451" w:numId="13">
    <w:abstractNumId w:val="21"/>
  </w:num>
  <w:num w16cid:durableId="378474905" w:numId="14">
    <w:abstractNumId w:val="22"/>
  </w:num>
  <w:num w16cid:durableId="86850773" w:numId="15">
    <w:abstractNumId w:val="20"/>
  </w:num>
  <w:num w16cid:durableId="478696562" w:numId="16">
    <w:abstractNumId w:val="19"/>
  </w:num>
  <w:num w16cid:durableId="1402555476" w:numId="17">
    <w:abstractNumId w:val="14"/>
  </w:num>
  <w:num w16cid:durableId="107546910" w:numId="18">
    <w:abstractNumId w:val="12"/>
  </w:num>
  <w:num w16cid:durableId="230426246" w:numId="19">
    <w:abstractNumId w:val="9"/>
  </w:num>
  <w:num w16cid:durableId="349914664" w:numId="20">
    <w:abstractNumId w:val="13"/>
  </w:num>
  <w:num w16cid:durableId="1672485451" w:numId="21">
    <w:abstractNumId w:val="17"/>
  </w:num>
  <w:num w16cid:durableId="1052654787" w:numId="22">
    <w:abstractNumId w:val="1"/>
  </w:num>
  <w:num w16cid:durableId="1473597891" w:numId="23">
    <w:abstractNumId w:val="2"/>
  </w:num>
  <w:num w16cid:durableId="1780031048" w:numId="24">
    <w:abstractNumId w:val="2"/>
  </w:num>
  <w:num w16cid:durableId="257449629" w:numId="25">
    <w:abstractNumId w:val="2"/>
  </w:num>
  <w:num w16cid:durableId="1991521546" w:numId="26">
    <w:abstractNumId w:val="2"/>
  </w:num>
  <w:num w16cid:durableId="1301115403"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35100663" w:numId="28">
    <w:abstractNumId w:val="2"/>
  </w:num>
  <w:num w16cid:durableId="886142082" w:numId="29">
    <w:abstractNumId w:val="2"/>
  </w:num>
  <w:num w16cid:durableId="1965035246" w:numId="30">
    <w:abstractNumId w:val="2"/>
  </w:num>
  <w:num w16cid:durableId="2072606676"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417462"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149107"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45343929" w:numId="34">
    <w:abstractNumId w:val="2"/>
  </w:num>
  <w:num w16cid:durableId="1763338685" w:numId="35">
    <w:abstractNumId w:val="2"/>
  </w:num>
  <w:num w16cid:durableId="702560335" w:numId="36">
    <w:abstractNumId w:val="2"/>
  </w:num>
  <w:num w16cid:durableId="989137821" w:numId="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4757186" w:numId="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7690886"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6362503"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1" w:dllVersion="6" w:lang="en-GB" w:nlCheck="1" w:vendorID="64"/>
  <w:proofState w:grammar="clean" w:spelling="clean"/>
  <w:attachedTemplate r:id="rId1"/>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08"/>
  <w:hyphenationZone w:val="425"/>
  <w:drawingGridHorizontalSpacing w:val="90"/>
  <w:drawingGridVerticalSpacing w:val="360"/>
  <w:displayHorizontalDrawingGridEvery w:val="2"/>
  <w:displayVerticalDrawingGridEvery w:val="2"/>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0E9"/>
    <w:rsid w:val="00001616"/>
    <w:rsid w:val="0001616D"/>
    <w:rsid w:val="00016839"/>
    <w:rsid w:val="000174F9"/>
    <w:rsid w:val="000249C2"/>
    <w:rsid w:val="000258F6"/>
    <w:rsid w:val="00027B36"/>
    <w:rsid w:val="00030390"/>
    <w:rsid w:val="0003449E"/>
    <w:rsid w:val="00035E1F"/>
    <w:rsid w:val="000379A7"/>
    <w:rsid w:val="00040EB8"/>
    <w:rsid w:val="000418CA"/>
    <w:rsid w:val="0004255E"/>
    <w:rsid w:val="00044CA5"/>
    <w:rsid w:val="00050F02"/>
    <w:rsid w:val="0005129B"/>
    <w:rsid w:val="00051724"/>
    <w:rsid w:val="0005449E"/>
    <w:rsid w:val="00054C7D"/>
    <w:rsid w:val="00055938"/>
    <w:rsid w:val="00057B6D"/>
    <w:rsid w:val="00061A7B"/>
    <w:rsid w:val="00062874"/>
    <w:rsid w:val="00082C85"/>
    <w:rsid w:val="0008654C"/>
    <w:rsid w:val="000870E9"/>
    <w:rsid w:val="000904ED"/>
    <w:rsid w:val="00091545"/>
    <w:rsid w:val="0009165E"/>
    <w:rsid w:val="000A27A8"/>
    <w:rsid w:val="000A4119"/>
    <w:rsid w:val="000A49B9"/>
    <w:rsid w:val="000A59C0"/>
    <w:rsid w:val="000A78A9"/>
    <w:rsid w:val="000B1A90"/>
    <w:rsid w:val="000B2356"/>
    <w:rsid w:val="000B577B"/>
    <w:rsid w:val="000C2133"/>
    <w:rsid w:val="000C2857"/>
    <w:rsid w:val="000C711B"/>
    <w:rsid w:val="000D1024"/>
    <w:rsid w:val="000D14CE"/>
    <w:rsid w:val="000D1D15"/>
    <w:rsid w:val="000D2431"/>
    <w:rsid w:val="000D76B7"/>
    <w:rsid w:val="000E010F"/>
    <w:rsid w:val="000E0EC6"/>
    <w:rsid w:val="000E34D3"/>
    <w:rsid w:val="000E3954"/>
    <w:rsid w:val="000E3E52"/>
    <w:rsid w:val="000E677F"/>
    <w:rsid w:val="000F0F9F"/>
    <w:rsid w:val="000F22C4"/>
    <w:rsid w:val="000F3F43"/>
    <w:rsid w:val="000F58ED"/>
    <w:rsid w:val="0010529E"/>
    <w:rsid w:val="001105AF"/>
    <w:rsid w:val="00113D5B"/>
    <w:rsid w:val="00113F8F"/>
    <w:rsid w:val="0011564E"/>
    <w:rsid w:val="00116A46"/>
    <w:rsid w:val="00121616"/>
    <w:rsid w:val="00121F1B"/>
    <w:rsid w:val="001236B5"/>
    <w:rsid w:val="001349DB"/>
    <w:rsid w:val="00134B86"/>
    <w:rsid w:val="00135AEB"/>
    <w:rsid w:val="00136E58"/>
    <w:rsid w:val="00137156"/>
    <w:rsid w:val="0014060A"/>
    <w:rsid w:val="0014597C"/>
    <w:rsid w:val="00147755"/>
    <w:rsid w:val="00151BFE"/>
    <w:rsid w:val="001535C6"/>
    <w:rsid w:val="001547F9"/>
    <w:rsid w:val="001607D8"/>
    <w:rsid w:val="00161325"/>
    <w:rsid w:val="00161401"/>
    <w:rsid w:val="00162612"/>
    <w:rsid w:val="001626AB"/>
    <w:rsid w:val="001635F3"/>
    <w:rsid w:val="00173602"/>
    <w:rsid w:val="00175FC5"/>
    <w:rsid w:val="00176BB8"/>
    <w:rsid w:val="00182B9C"/>
    <w:rsid w:val="00184427"/>
    <w:rsid w:val="00186FED"/>
    <w:rsid w:val="001875B1"/>
    <w:rsid w:val="00191120"/>
    <w:rsid w:val="0019173E"/>
    <w:rsid w:val="001A2DCA"/>
    <w:rsid w:val="001A73B9"/>
    <w:rsid w:val="001B1EF6"/>
    <w:rsid w:val="001B2745"/>
    <w:rsid w:val="001B2A35"/>
    <w:rsid w:val="001B339A"/>
    <w:rsid w:val="001B60A6"/>
    <w:rsid w:val="001C2971"/>
    <w:rsid w:val="001C61B4"/>
    <w:rsid w:val="001C650B"/>
    <w:rsid w:val="001C72B5"/>
    <w:rsid w:val="001C77FB"/>
    <w:rsid w:val="001D11AC"/>
    <w:rsid w:val="001D1845"/>
    <w:rsid w:val="001D2E7A"/>
    <w:rsid w:val="001D3992"/>
    <w:rsid w:val="001D4A3E"/>
    <w:rsid w:val="001E32E5"/>
    <w:rsid w:val="001E3AEE"/>
    <w:rsid w:val="001E416D"/>
    <w:rsid w:val="001F4EF8"/>
    <w:rsid w:val="001F574E"/>
    <w:rsid w:val="001F5AB1"/>
    <w:rsid w:val="00200579"/>
    <w:rsid w:val="00201337"/>
    <w:rsid w:val="00201579"/>
    <w:rsid w:val="002022EA"/>
    <w:rsid w:val="00202CB2"/>
    <w:rsid w:val="002044E9"/>
    <w:rsid w:val="00205B17"/>
    <w:rsid w:val="00205D9B"/>
    <w:rsid w:val="002115A6"/>
    <w:rsid w:val="00213436"/>
    <w:rsid w:val="00213701"/>
    <w:rsid w:val="00214033"/>
    <w:rsid w:val="002176C4"/>
    <w:rsid w:val="002204DA"/>
    <w:rsid w:val="0022371A"/>
    <w:rsid w:val="00224DAB"/>
    <w:rsid w:val="0022582A"/>
    <w:rsid w:val="00237785"/>
    <w:rsid w:val="00237A2B"/>
    <w:rsid w:val="002406D3"/>
    <w:rsid w:val="00246546"/>
    <w:rsid w:val="002505E9"/>
    <w:rsid w:val="00251FB9"/>
    <w:rsid w:val="002520AD"/>
    <w:rsid w:val="00255FD9"/>
    <w:rsid w:val="0025660A"/>
    <w:rsid w:val="00257DF8"/>
    <w:rsid w:val="00257E4A"/>
    <w:rsid w:val="0026038D"/>
    <w:rsid w:val="002617BA"/>
    <w:rsid w:val="00262E69"/>
    <w:rsid w:val="00263D78"/>
    <w:rsid w:val="0027175D"/>
    <w:rsid w:val="002735DD"/>
    <w:rsid w:val="00274B97"/>
    <w:rsid w:val="00286250"/>
    <w:rsid w:val="00290909"/>
    <w:rsid w:val="00296AE1"/>
    <w:rsid w:val="0029793F"/>
    <w:rsid w:val="002A1C42"/>
    <w:rsid w:val="002A617C"/>
    <w:rsid w:val="002A71CF"/>
    <w:rsid w:val="002B3166"/>
    <w:rsid w:val="002B3E9D"/>
    <w:rsid w:val="002B574E"/>
    <w:rsid w:val="002C1E38"/>
    <w:rsid w:val="002C605E"/>
    <w:rsid w:val="002C77F4"/>
    <w:rsid w:val="002D0869"/>
    <w:rsid w:val="002D6A2B"/>
    <w:rsid w:val="002D78FE"/>
    <w:rsid w:val="002E4993"/>
    <w:rsid w:val="002E560E"/>
    <w:rsid w:val="002E5BAC"/>
    <w:rsid w:val="002E6010"/>
    <w:rsid w:val="002E642A"/>
    <w:rsid w:val="002E7635"/>
    <w:rsid w:val="002F2576"/>
    <w:rsid w:val="002F265A"/>
    <w:rsid w:val="002F3B40"/>
    <w:rsid w:val="002F4793"/>
    <w:rsid w:val="003032C4"/>
    <w:rsid w:val="0030413F"/>
    <w:rsid w:val="00305EFE"/>
    <w:rsid w:val="00313B4B"/>
    <w:rsid w:val="00313D13"/>
    <w:rsid w:val="00313D85"/>
    <w:rsid w:val="00315CE3"/>
    <w:rsid w:val="0031629B"/>
    <w:rsid w:val="00317F49"/>
    <w:rsid w:val="003251FE"/>
    <w:rsid w:val="00325D9A"/>
    <w:rsid w:val="00326BB4"/>
    <w:rsid w:val="003274DB"/>
    <w:rsid w:val="003276DE"/>
    <w:rsid w:val="00327FBF"/>
    <w:rsid w:val="003327BE"/>
    <w:rsid w:val="00332A7B"/>
    <w:rsid w:val="003343E0"/>
    <w:rsid w:val="00335E40"/>
    <w:rsid w:val="00344408"/>
    <w:rsid w:val="00345E37"/>
    <w:rsid w:val="00346A15"/>
    <w:rsid w:val="00346AEC"/>
    <w:rsid w:val="00347F3E"/>
    <w:rsid w:val="00350A92"/>
    <w:rsid w:val="00356472"/>
    <w:rsid w:val="003621C3"/>
    <w:rsid w:val="00362816"/>
    <w:rsid w:val="0036345C"/>
    <w:rsid w:val="0036382D"/>
    <w:rsid w:val="00380350"/>
    <w:rsid w:val="00380B4E"/>
    <w:rsid w:val="00380F88"/>
    <w:rsid w:val="003816E4"/>
    <w:rsid w:val="00381F7A"/>
    <w:rsid w:val="00382C28"/>
    <w:rsid w:val="0038597C"/>
    <w:rsid w:val="0039131E"/>
    <w:rsid w:val="003A04A6"/>
    <w:rsid w:val="003A6A32"/>
    <w:rsid w:val="003A7759"/>
    <w:rsid w:val="003A7F6E"/>
    <w:rsid w:val="003B03EA"/>
    <w:rsid w:val="003B76F0"/>
    <w:rsid w:val="003C138B"/>
    <w:rsid w:val="003C7C34"/>
    <w:rsid w:val="003D0F37"/>
    <w:rsid w:val="003D2A7A"/>
    <w:rsid w:val="003D3B40"/>
    <w:rsid w:val="003D5150"/>
    <w:rsid w:val="003D6614"/>
    <w:rsid w:val="003E1065"/>
    <w:rsid w:val="003F1C3A"/>
    <w:rsid w:val="003F1F36"/>
    <w:rsid w:val="003F4DE4"/>
    <w:rsid w:val="003F70D2"/>
    <w:rsid w:val="00414698"/>
    <w:rsid w:val="00415649"/>
    <w:rsid w:val="0042565E"/>
    <w:rsid w:val="00432C05"/>
    <w:rsid w:val="00440379"/>
    <w:rsid w:val="00441393"/>
    <w:rsid w:val="004441F8"/>
    <w:rsid w:val="00447CF0"/>
    <w:rsid w:val="0045038A"/>
    <w:rsid w:val="00452FA5"/>
    <w:rsid w:val="00456DE1"/>
    <w:rsid w:val="00456F10"/>
    <w:rsid w:val="00460D62"/>
    <w:rsid w:val="00461DDC"/>
    <w:rsid w:val="00462095"/>
    <w:rsid w:val="00463B48"/>
    <w:rsid w:val="0046464D"/>
    <w:rsid w:val="00474746"/>
    <w:rsid w:val="00476942"/>
    <w:rsid w:val="00477D62"/>
    <w:rsid w:val="00481C27"/>
    <w:rsid w:val="004871A2"/>
    <w:rsid w:val="004908B8"/>
    <w:rsid w:val="00492A8D"/>
    <w:rsid w:val="00493B3C"/>
    <w:rsid w:val="004944C8"/>
    <w:rsid w:val="00495DDA"/>
    <w:rsid w:val="004A0EBF"/>
    <w:rsid w:val="004A3751"/>
    <w:rsid w:val="004A4EC4"/>
    <w:rsid w:val="004B65D9"/>
    <w:rsid w:val="004B744B"/>
    <w:rsid w:val="004B7810"/>
    <w:rsid w:val="004C0C7E"/>
    <w:rsid w:val="004C0E4B"/>
    <w:rsid w:val="004D4109"/>
    <w:rsid w:val="004D6C87"/>
    <w:rsid w:val="004E0BBB"/>
    <w:rsid w:val="004E1D57"/>
    <w:rsid w:val="004E2F16"/>
    <w:rsid w:val="004F26FF"/>
    <w:rsid w:val="004F2AA4"/>
    <w:rsid w:val="004F4AAE"/>
    <w:rsid w:val="004F5930"/>
    <w:rsid w:val="004F6196"/>
    <w:rsid w:val="00501E6E"/>
    <w:rsid w:val="00503044"/>
    <w:rsid w:val="005051B1"/>
    <w:rsid w:val="005222AF"/>
    <w:rsid w:val="00523666"/>
    <w:rsid w:val="00525922"/>
    <w:rsid w:val="00526234"/>
    <w:rsid w:val="00534F34"/>
    <w:rsid w:val="0053692E"/>
    <w:rsid w:val="00536C1B"/>
    <w:rsid w:val="005378A6"/>
    <w:rsid w:val="00540D36"/>
    <w:rsid w:val="00541ED1"/>
    <w:rsid w:val="00547837"/>
    <w:rsid w:val="00551C89"/>
    <w:rsid w:val="00553815"/>
    <w:rsid w:val="00553FE0"/>
    <w:rsid w:val="00557434"/>
    <w:rsid w:val="00561ACA"/>
    <w:rsid w:val="00562B0A"/>
    <w:rsid w:val="00563D55"/>
    <w:rsid w:val="00574ADC"/>
    <w:rsid w:val="005805D2"/>
    <w:rsid w:val="00581239"/>
    <w:rsid w:val="00586C48"/>
    <w:rsid w:val="00586C66"/>
    <w:rsid w:val="00593EFC"/>
    <w:rsid w:val="00595415"/>
    <w:rsid w:val="00597652"/>
    <w:rsid w:val="005A0703"/>
    <w:rsid w:val="005A080B"/>
    <w:rsid w:val="005B12A5"/>
    <w:rsid w:val="005C161A"/>
    <w:rsid w:val="005C1BCB"/>
    <w:rsid w:val="005C2312"/>
    <w:rsid w:val="005C4735"/>
    <w:rsid w:val="005C5C63"/>
    <w:rsid w:val="005D03E9"/>
    <w:rsid w:val="005D2839"/>
    <w:rsid w:val="005D304B"/>
    <w:rsid w:val="005D329D"/>
    <w:rsid w:val="005D3920"/>
    <w:rsid w:val="005D6E5D"/>
    <w:rsid w:val="005E091A"/>
    <w:rsid w:val="005E1F90"/>
    <w:rsid w:val="005E3989"/>
    <w:rsid w:val="005E4659"/>
    <w:rsid w:val="005E55DC"/>
    <w:rsid w:val="005E5AB7"/>
    <w:rsid w:val="005E657A"/>
    <w:rsid w:val="005E7063"/>
    <w:rsid w:val="005F1314"/>
    <w:rsid w:val="005F1386"/>
    <w:rsid w:val="005F17C2"/>
    <w:rsid w:val="005F4BA4"/>
    <w:rsid w:val="005F7025"/>
    <w:rsid w:val="00600C2B"/>
    <w:rsid w:val="00606A1F"/>
    <w:rsid w:val="00611BF0"/>
    <w:rsid w:val="006127AC"/>
    <w:rsid w:val="00622C26"/>
    <w:rsid w:val="006326F0"/>
    <w:rsid w:val="00634A78"/>
    <w:rsid w:val="00641794"/>
    <w:rsid w:val="00642025"/>
    <w:rsid w:val="00642ECC"/>
    <w:rsid w:val="00646AFD"/>
    <w:rsid w:val="00646E87"/>
    <w:rsid w:val="0065107F"/>
    <w:rsid w:val="00661946"/>
    <w:rsid w:val="00661BCD"/>
    <w:rsid w:val="00664D43"/>
    <w:rsid w:val="00666061"/>
    <w:rsid w:val="00666380"/>
    <w:rsid w:val="00667424"/>
    <w:rsid w:val="0066759C"/>
    <w:rsid w:val="00667792"/>
    <w:rsid w:val="00671677"/>
    <w:rsid w:val="006744D8"/>
    <w:rsid w:val="006750F2"/>
    <w:rsid w:val="006752D6"/>
    <w:rsid w:val="00675E02"/>
    <w:rsid w:val="0068553C"/>
    <w:rsid w:val="00685F34"/>
    <w:rsid w:val="00693B1F"/>
    <w:rsid w:val="00695656"/>
    <w:rsid w:val="006975A8"/>
    <w:rsid w:val="006A1012"/>
    <w:rsid w:val="006A7DF5"/>
    <w:rsid w:val="006B54CC"/>
    <w:rsid w:val="006C1376"/>
    <w:rsid w:val="006C25B9"/>
    <w:rsid w:val="006C48F9"/>
    <w:rsid w:val="006C75B6"/>
    <w:rsid w:val="006D1175"/>
    <w:rsid w:val="006E0E7D"/>
    <w:rsid w:val="006E10BF"/>
    <w:rsid w:val="006E363C"/>
    <w:rsid w:val="006F1C14"/>
    <w:rsid w:val="006F4B80"/>
    <w:rsid w:val="006F7B98"/>
    <w:rsid w:val="00703A6A"/>
    <w:rsid w:val="00722236"/>
    <w:rsid w:val="00723824"/>
    <w:rsid w:val="00724387"/>
    <w:rsid w:val="00725CCA"/>
    <w:rsid w:val="0072737A"/>
    <w:rsid w:val="007311E7"/>
    <w:rsid w:val="00731DEE"/>
    <w:rsid w:val="007338DE"/>
    <w:rsid w:val="00734BC6"/>
    <w:rsid w:val="0074084C"/>
    <w:rsid w:val="007541D3"/>
    <w:rsid w:val="00755B47"/>
    <w:rsid w:val="007577D7"/>
    <w:rsid w:val="00760004"/>
    <w:rsid w:val="007715E8"/>
    <w:rsid w:val="00773A35"/>
    <w:rsid w:val="00776004"/>
    <w:rsid w:val="00777956"/>
    <w:rsid w:val="007811C4"/>
    <w:rsid w:val="0078486B"/>
    <w:rsid w:val="00785A39"/>
    <w:rsid w:val="00787D8A"/>
    <w:rsid w:val="00790277"/>
    <w:rsid w:val="00791EBC"/>
    <w:rsid w:val="00793577"/>
    <w:rsid w:val="00795637"/>
    <w:rsid w:val="007A446A"/>
    <w:rsid w:val="007A4FEF"/>
    <w:rsid w:val="007A53A6"/>
    <w:rsid w:val="007A559B"/>
    <w:rsid w:val="007A6159"/>
    <w:rsid w:val="007B27E9"/>
    <w:rsid w:val="007B2C5B"/>
    <w:rsid w:val="007B2D11"/>
    <w:rsid w:val="007B4994"/>
    <w:rsid w:val="007B6700"/>
    <w:rsid w:val="007B6A93"/>
    <w:rsid w:val="007B7377"/>
    <w:rsid w:val="007B7BEC"/>
    <w:rsid w:val="007C25BB"/>
    <w:rsid w:val="007D1805"/>
    <w:rsid w:val="007D2107"/>
    <w:rsid w:val="007D3A42"/>
    <w:rsid w:val="007D5895"/>
    <w:rsid w:val="007D77AB"/>
    <w:rsid w:val="007E28D0"/>
    <w:rsid w:val="007E2FC2"/>
    <w:rsid w:val="007E30DF"/>
    <w:rsid w:val="007F2C43"/>
    <w:rsid w:val="007F7544"/>
    <w:rsid w:val="00800995"/>
    <w:rsid w:val="00804736"/>
    <w:rsid w:val="0080602A"/>
    <w:rsid w:val="008069C5"/>
    <w:rsid w:val="0081117E"/>
    <w:rsid w:val="00816F79"/>
    <w:rsid w:val="008172F8"/>
    <w:rsid w:val="00820C2C"/>
    <w:rsid w:val="00827301"/>
    <w:rsid w:val="008310C9"/>
    <w:rsid w:val="008326B2"/>
    <w:rsid w:val="00833936"/>
    <w:rsid w:val="00834150"/>
    <w:rsid w:val="008357F2"/>
    <w:rsid w:val="00835EA0"/>
    <w:rsid w:val="0084098D"/>
    <w:rsid w:val="008416E0"/>
    <w:rsid w:val="00841E7A"/>
    <w:rsid w:val="00842B85"/>
    <w:rsid w:val="00843CED"/>
    <w:rsid w:val="00844B35"/>
    <w:rsid w:val="00845D8A"/>
    <w:rsid w:val="00846831"/>
    <w:rsid w:val="00846D0C"/>
    <w:rsid w:val="00847B32"/>
    <w:rsid w:val="00854BCE"/>
    <w:rsid w:val="00857346"/>
    <w:rsid w:val="008603E0"/>
    <w:rsid w:val="00865532"/>
    <w:rsid w:val="00867686"/>
    <w:rsid w:val="008737D3"/>
    <w:rsid w:val="00874179"/>
    <w:rsid w:val="008747E0"/>
    <w:rsid w:val="00876841"/>
    <w:rsid w:val="00882B3C"/>
    <w:rsid w:val="00886C21"/>
    <w:rsid w:val="0088783D"/>
    <w:rsid w:val="00893988"/>
    <w:rsid w:val="008972C3"/>
    <w:rsid w:val="00897C4A"/>
    <w:rsid w:val="008A28D9"/>
    <w:rsid w:val="008A30BA"/>
    <w:rsid w:val="008A52DC"/>
    <w:rsid w:val="008A5435"/>
    <w:rsid w:val="008B62E0"/>
    <w:rsid w:val="008C2A0C"/>
    <w:rsid w:val="008C33B5"/>
    <w:rsid w:val="008C3A72"/>
    <w:rsid w:val="008C46F4"/>
    <w:rsid w:val="008C478E"/>
    <w:rsid w:val="008C4A94"/>
    <w:rsid w:val="008C6969"/>
    <w:rsid w:val="008D3046"/>
    <w:rsid w:val="008D45D2"/>
    <w:rsid w:val="008D483C"/>
    <w:rsid w:val="008D5CCD"/>
    <w:rsid w:val="008E1D70"/>
    <w:rsid w:val="008E1F69"/>
    <w:rsid w:val="008E76B1"/>
    <w:rsid w:val="008F34F4"/>
    <w:rsid w:val="008F38BB"/>
    <w:rsid w:val="008F57D8"/>
    <w:rsid w:val="009005D6"/>
    <w:rsid w:val="00902834"/>
    <w:rsid w:val="009110DD"/>
    <w:rsid w:val="00913056"/>
    <w:rsid w:val="00914E26"/>
    <w:rsid w:val="0091590F"/>
    <w:rsid w:val="009217F2"/>
    <w:rsid w:val="00923B4D"/>
    <w:rsid w:val="0092540C"/>
    <w:rsid w:val="00925B39"/>
    <w:rsid w:val="00925E0F"/>
    <w:rsid w:val="00931A57"/>
    <w:rsid w:val="00933EE0"/>
    <w:rsid w:val="0093492E"/>
    <w:rsid w:val="00937BF0"/>
    <w:rsid w:val="009414E6"/>
    <w:rsid w:val="00947A3F"/>
    <w:rsid w:val="00950555"/>
    <w:rsid w:val="00950B15"/>
    <w:rsid w:val="0095450F"/>
    <w:rsid w:val="00956901"/>
    <w:rsid w:val="0096203C"/>
    <w:rsid w:val="00962EC1"/>
    <w:rsid w:val="009630F5"/>
    <w:rsid w:val="009656B9"/>
    <w:rsid w:val="0096631C"/>
    <w:rsid w:val="00967DD9"/>
    <w:rsid w:val="00971591"/>
    <w:rsid w:val="009727CB"/>
    <w:rsid w:val="00974564"/>
    <w:rsid w:val="00974B53"/>
    <w:rsid w:val="00974E99"/>
    <w:rsid w:val="009764FA"/>
    <w:rsid w:val="00980192"/>
    <w:rsid w:val="00980799"/>
    <w:rsid w:val="009812B5"/>
    <w:rsid w:val="00982A22"/>
    <w:rsid w:val="009830CC"/>
    <w:rsid w:val="00983287"/>
    <w:rsid w:val="00994D97"/>
    <w:rsid w:val="0099752C"/>
    <w:rsid w:val="009A07B7"/>
    <w:rsid w:val="009B0C65"/>
    <w:rsid w:val="009B1545"/>
    <w:rsid w:val="009B372E"/>
    <w:rsid w:val="009B5023"/>
    <w:rsid w:val="009B6582"/>
    <w:rsid w:val="009B785E"/>
    <w:rsid w:val="009C1908"/>
    <w:rsid w:val="009C26F8"/>
    <w:rsid w:val="009C387B"/>
    <w:rsid w:val="009C4AA9"/>
    <w:rsid w:val="009C609E"/>
    <w:rsid w:val="009C6984"/>
    <w:rsid w:val="009D25B8"/>
    <w:rsid w:val="009D26AB"/>
    <w:rsid w:val="009D6B98"/>
    <w:rsid w:val="009E075B"/>
    <w:rsid w:val="009E16EC"/>
    <w:rsid w:val="009E1F25"/>
    <w:rsid w:val="009E42A7"/>
    <w:rsid w:val="009E433C"/>
    <w:rsid w:val="009E4A4D"/>
    <w:rsid w:val="009E6578"/>
    <w:rsid w:val="009F081F"/>
    <w:rsid w:val="009F4A19"/>
    <w:rsid w:val="00A06654"/>
    <w:rsid w:val="00A06A0E"/>
    <w:rsid w:val="00A06A3D"/>
    <w:rsid w:val="00A07CE4"/>
    <w:rsid w:val="00A10EBA"/>
    <w:rsid w:val="00A11128"/>
    <w:rsid w:val="00A13E56"/>
    <w:rsid w:val="00A13FDB"/>
    <w:rsid w:val="00A15050"/>
    <w:rsid w:val="00A179F2"/>
    <w:rsid w:val="00A227BF"/>
    <w:rsid w:val="00A23CAC"/>
    <w:rsid w:val="00A24838"/>
    <w:rsid w:val="00A2743E"/>
    <w:rsid w:val="00A3074A"/>
    <w:rsid w:val="00A30C33"/>
    <w:rsid w:val="00A37755"/>
    <w:rsid w:val="00A4308C"/>
    <w:rsid w:val="00A43432"/>
    <w:rsid w:val="00A44836"/>
    <w:rsid w:val="00A44DD0"/>
    <w:rsid w:val="00A524B5"/>
    <w:rsid w:val="00A53E1D"/>
    <w:rsid w:val="00A549B3"/>
    <w:rsid w:val="00A56184"/>
    <w:rsid w:val="00A66081"/>
    <w:rsid w:val="00A67954"/>
    <w:rsid w:val="00A72893"/>
    <w:rsid w:val="00A72ED7"/>
    <w:rsid w:val="00A800A9"/>
    <w:rsid w:val="00A8083F"/>
    <w:rsid w:val="00A83FF2"/>
    <w:rsid w:val="00A86343"/>
    <w:rsid w:val="00A87080"/>
    <w:rsid w:val="00A90AAC"/>
    <w:rsid w:val="00A90D86"/>
    <w:rsid w:val="00A91DBA"/>
    <w:rsid w:val="00A95240"/>
    <w:rsid w:val="00A97900"/>
    <w:rsid w:val="00AA1B91"/>
    <w:rsid w:val="00AA1D7A"/>
    <w:rsid w:val="00AA3E01"/>
    <w:rsid w:val="00AB0BFA"/>
    <w:rsid w:val="00AB2C66"/>
    <w:rsid w:val="00AB4ABA"/>
    <w:rsid w:val="00AB5C42"/>
    <w:rsid w:val="00AB76B7"/>
    <w:rsid w:val="00AC33A2"/>
    <w:rsid w:val="00AC3FFB"/>
    <w:rsid w:val="00AC583D"/>
    <w:rsid w:val="00AD12E6"/>
    <w:rsid w:val="00AD38F7"/>
    <w:rsid w:val="00AE65F1"/>
    <w:rsid w:val="00AE6BB4"/>
    <w:rsid w:val="00AE74AD"/>
    <w:rsid w:val="00AF159C"/>
    <w:rsid w:val="00B007F2"/>
    <w:rsid w:val="00B01873"/>
    <w:rsid w:val="00B0572F"/>
    <w:rsid w:val="00B074AB"/>
    <w:rsid w:val="00B07717"/>
    <w:rsid w:val="00B13AC5"/>
    <w:rsid w:val="00B16334"/>
    <w:rsid w:val="00B17253"/>
    <w:rsid w:val="00B250D6"/>
    <w:rsid w:val="00B2583D"/>
    <w:rsid w:val="00B26A2D"/>
    <w:rsid w:val="00B31A41"/>
    <w:rsid w:val="00B40199"/>
    <w:rsid w:val="00B453D3"/>
    <w:rsid w:val="00B45400"/>
    <w:rsid w:val="00B46B94"/>
    <w:rsid w:val="00B502FF"/>
    <w:rsid w:val="00B50B90"/>
    <w:rsid w:val="00B50E28"/>
    <w:rsid w:val="00B55ACF"/>
    <w:rsid w:val="00B56A75"/>
    <w:rsid w:val="00B6066D"/>
    <w:rsid w:val="00B621CA"/>
    <w:rsid w:val="00B643DF"/>
    <w:rsid w:val="00B65300"/>
    <w:rsid w:val="00B658B7"/>
    <w:rsid w:val="00B67422"/>
    <w:rsid w:val="00B70796"/>
    <w:rsid w:val="00B70BD4"/>
    <w:rsid w:val="00B712CA"/>
    <w:rsid w:val="00B73463"/>
    <w:rsid w:val="00B75110"/>
    <w:rsid w:val="00B90123"/>
    <w:rsid w:val="00B9016D"/>
    <w:rsid w:val="00B92476"/>
    <w:rsid w:val="00B971C2"/>
    <w:rsid w:val="00BA0F98"/>
    <w:rsid w:val="00BA1517"/>
    <w:rsid w:val="00BA1C02"/>
    <w:rsid w:val="00BA4E39"/>
    <w:rsid w:val="00BA67FD"/>
    <w:rsid w:val="00BA7C48"/>
    <w:rsid w:val="00BC251F"/>
    <w:rsid w:val="00BC27F6"/>
    <w:rsid w:val="00BC39F4"/>
    <w:rsid w:val="00BC7FE0"/>
    <w:rsid w:val="00BD150C"/>
    <w:rsid w:val="00BD1587"/>
    <w:rsid w:val="00BD6A20"/>
    <w:rsid w:val="00BD7EE1"/>
    <w:rsid w:val="00BE390F"/>
    <w:rsid w:val="00BE5568"/>
    <w:rsid w:val="00BE5764"/>
    <w:rsid w:val="00BF1358"/>
    <w:rsid w:val="00C0106D"/>
    <w:rsid w:val="00C130C5"/>
    <w:rsid w:val="00C133BE"/>
    <w:rsid w:val="00C1400A"/>
    <w:rsid w:val="00C21A1B"/>
    <w:rsid w:val="00C222B4"/>
    <w:rsid w:val="00C262E4"/>
    <w:rsid w:val="00C33E20"/>
    <w:rsid w:val="00C35CF6"/>
    <w:rsid w:val="00C36EDB"/>
    <w:rsid w:val="00C3725B"/>
    <w:rsid w:val="00C401B7"/>
    <w:rsid w:val="00C41823"/>
    <w:rsid w:val="00C473B5"/>
    <w:rsid w:val="00C522BE"/>
    <w:rsid w:val="00C52413"/>
    <w:rsid w:val="00C533EC"/>
    <w:rsid w:val="00C5470E"/>
    <w:rsid w:val="00C55EFB"/>
    <w:rsid w:val="00C56585"/>
    <w:rsid w:val="00C56B3F"/>
    <w:rsid w:val="00C62DF5"/>
    <w:rsid w:val="00C65492"/>
    <w:rsid w:val="00C65C4C"/>
    <w:rsid w:val="00C67C67"/>
    <w:rsid w:val="00C7022C"/>
    <w:rsid w:val="00C71032"/>
    <w:rsid w:val="00C716E5"/>
    <w:rsid w:val="00C76A4E"/>
    <w:rsid w:val="00C773D9"/>
    <w:rsid w:val="00C80307"/>
    <w:rsid w:val="00C80ACE"/>
    <w:rsid w:val="00C80B0C"/>
    <w:rsid w:val="00C81162"/>
    <w:rsid w:val="00C82EC7"/>
    <w:rsid w:val="00C83258"/>
    <w:rsid w:val="00C83666"/>
    <w:rsid w:val="00C843AC"/>
    <w:rsid w:val="00C870B5"/>
    <w:rsid w:val="00C907DF"/>
    <w:rsid w:val="00C91630"/>
    <w:rsid w:val="00C94BC1"/>
    <w:rsid w:val="00C9558A"/>
    <w:rsid w:val="00C966EB"/>
    <w:rsid w:val="00CA004F"/>
    <w:rsid w:val="00CA04B1"/>
    <w:rsid w:val="00CA2DFC"/>
    <w:rsid w:val="00CA4EC9"/>
    <w:rsid w:val="00CA66CE"/>
    <w:rsid w:val="00CB03D4"/>
    <w:rsid w:val="00CB0617"/>
    <w:rsid w:val="00CB137B"/>
    <w:rsid w:val="00CB1D11"/>
    <w:rsid w:val="00CB24F6"/>
    <w:rsid w:val="00CB59F3"/>
    <w:rsid w:val="00CB7D0F"/>
    <w:rsid w:val="00CC35EF"/>
    <w:rsid w:val="00CC5048"/>
    <w:rsid w:val="00CC6246"/>
    <w:rsid w:val="00CD0232"/>
    <w:rsid w:val="00CE0421"/>
    <w:rsid w:val="00CE5E46"/>
    <w:rsid w:val="00CE6A04"/>
    <w:rsid w:val="00CF10E3"/>
    <w:rsid w:val="00CF49CC"/>
    <w:rsid w:val="00D03A27"/>
    <w:rsid w:val="00D04F0B"/>
    <w:rsid w:val="00D120AF"/>
    <w:rsid w:val="00D1463A"/>
    <w:rsid w:val="00D15F11"/>
    <w:rsid w:val="00D252C9"/>
    <w:rsid w:val="00D270FA"/>
    <w:rsid w:val="00D32DDF"/>
    <w:rsid w:val="00D36206"/>
    <w:rsid w:val="00D36E93"/>
    <w:rsid w:val="00D3700C"/>
    <w:rsid w:val="00D41940"/>
    <w:rsid w:val="00D55D67"/>
    <w:rsid w:val="00D603BF"/>
    <w:rsid w:val="00D638E0"/>
    <w:rsid w:val="00D653B1"/>
    <w:rsid w:val="00D656A2"/>
    <w:rsid w:val="00D740A5"/>
    <w:rsid w:val="00D74AE1"/>
    <w:rsid w:val="00D75D42"/>
    <w:rsid w:val="00D80A15"/>
    <w:rsid w:val="00D80B20"/>
    <w:rsid w:val="00D850A3"/>
    <w:rsid w:val="00D865A8"/>
    <w:rsid w:val="00D9012A"/>
    <w:rsid w:val="00D92C2D"/>
    <w:rsid w:val="00D9361E"/>
    <w:rsid w:val="00D94F38"/>
    <w:rsid w:val="00D96F91"/>
    <w:rsid w:val="00DA005A"/>
    <w:rsid w:val="00DA17CD"/>
    <w:rsid w:val="00DB1238"/>
    <w:rsid w:val="00DB25B3"/>
    <w:rsid w:val="00DC1C10"/>
    <w:rsid w:val="00DC6F92"/>
    <w:rsid w:val="00DD60F2"/>
    <w:rsid w:val="00DD69FB"/>
    <w:rsid w:val="00DE0893"/>
    <w:rsid w:val="00DE2494"/>
    <w:rsid w:val="00DE2814"/>
    <w:rsid w:val="00DE6796"/>
    <w:rsid w:val="00DF41B2"/>
    <w:rsid w:val="00DF47E2"/>
    <w:rsid w:val="00DF76E9"/>
    <w:rsid w:val="00E01272"/>
    <w:rsid w:val="00E03067"/>
    <w:rsid w:val="00E03814"/>
    <w:rsid w:val="00E03846"/>
    <w:rsid w:val="00E03A07"/>
    <w:rsid w:val="00E06421"/>
    <w:rsid w:val="00E07227"/>
    <w:rsid w:val="00E10BDB"/>
    <w:rsid w:val="00E13CC9"/>
    <w:rsid w:val="00E16EB4"/>
    <w:rsid w:val="00E17839"/>
    <w:rsid w:val="00E20A7D"/>
    <w:rsid w:val="00E21A27"/>
    <w:rsid w:val="00E22643"/>
    <w:rsid w:val="00E27A2F"/>
    <w:rsid w:val="00E30A98"/>
    <w:rsid w:val="00E42A94"/>
    <w:rsid w:val="00E45876"/>
    <w:rsid w:val="00E458BF"/>
    <w:rsid w:val="00E47285"/>
    <w:rsid w:val="00E476C7"/>
    <w:rsid w:val="00E5035D"/>
    <w:rsid w:val="00E51C33"/>
    <w:rsid w:val="00E54676"/>
    <w:rsid w:val="00E54AD5"/>
    <w:rsid w:val="00E54BFB"/>
    <w:rsid w:val="00E54CD7"/>
    <w:rsid w:val="00E706E7"/>
    <w:rsid w:val="00E76B2C"/>
    <w:rsid w:val="00E77587"/>
    <w:rsid w:val="00E818AD"/>
    <w:rsid w:val="00E84229"/>
    <w:rsid w:val="00E843F0"/>
    <w:rsid w:val="00E84965"/>
    <w:rsid w:val="00E86147"/>
    <w:rsid w:val="00E877DC"/>
    <w:rsid w:val="00E90E4E"/>
    <w:rsid w:val="00E9391E"/>
    <w:rsid w:val="00EA1052"/>
    <w:rsid w:val="00EA218F"/>
    <w:rsid w:val="00EA4F29"/>
    <w:rsid w:val="00EA5B27"/>
    <w:rsid w:val="00EA5F83"/>
    <w:rsid w:val="00EA6F9D"/>
    <w:rsid w:val="00EB2273"/>
    <w:rsid w:val="00EB6C62"/>
    <w:rsid w:val="00EB6F3C"/>
    <w:rsid w:val="00EB7C6F"/>
    <w:rsid w:val="00EC0CF9"/>
    <w:rsid w:val="00EC1E2C"/>
    <w:rsid w:val="00EC254E"/>
    <w:rsid w:val="00EC2B9A"/>
    <w:rsid w:val="00EC3723"/>
    <w:rsid w:val="00EC568A"/>
    <w:rsid w:val="00EC7C87"/>
    <w:rsid w:val="00ED030E"/>
    <w:rsid w:val="00ED2672"/>
    <w:rsid w:val="00ED2A8D"/>
    <w:rsid w:val="00ED3784"/>
    <w:rsid w:val="00ED4450"/>
    <w:rsid w:val="00ED7692"/>
    <w:rsid w:val="00EE2455"/>
    <w:rsid w:val="00EE2F17"/>
    <w:rsid w:val="00EE54CB"/>
    <w:rsid w:val="00EE6424"/>
    <w:rsid w:val="00EF1936"/>
    <w:rsid w:val="00EF1C54"/>
    <w:rsid w:val="00EF404B"/>
    <w:rsid w:val="00EF65E5"/>
    <w:rsid w:val="00F00376"/>
    <w:rsid w:val="00F01F0C"/>
    <w:rsid w:val="00F02A5A"/>
    <w:rsid w:val="00F06ECB"/>
    <w:rsid w:val="00F1078D"/>
    <w:rsid w:val="00F11368"/>
    <w:rsid w:val="00F11764"/>
    <w:rsid w:val="00F118B2"/>
    <w:rsid w:val="00F157E2"/>
    <w:rsid w:val="00F16C7D"/>
    <w:rsid w:val="00F203BE"/>
    <w:rsid w:val="00F21960"/>
    <w:rsid w:val="00F219A9"/>
    <w:rsid w:val="00F23723"/>
    <w:rsid w:val="00F2525D"/>
    <w:rsid w:val="00F259E2"/>
    <w:rsid w:val="00F30739"/>
    <w:rsid w:val="00F346A3"/>
    <w:rsid w:val="00F404B9"/>
    <w:rsid w:val="00F40DC3"/>
    <w:rsid w:val="00F41F0B"/>
    <w:rsid w:val="00F50222"/>
    <w:rsid w:val="00F52277"/>
    <w:rsid w:val="00F527AC"/>
    <w:rsid w:val="00F5503F"/>
    <w:rsid w:val="00F55AD7"/>
    <w:rsid w:val="00F61D83"/>
    <w:rsid w:val="00F628DA"/>
    <w:rsid w:val="00F636EF"/>
    <w:rsid w:val="00F64BE0"/>
    <w:rsid w:val="00F65DD1"/>
    <w:rsid w:val="00F707B3"/>
    <w:rsid w:val="00F71135"/>
    <w:rsid w:val="00F730DC"/>
    <w:rsid w:val="00F741EE"/>
    <w:rsid w:val="00F74309"/>
    <w:rsid w:val="00F828E7"/>
    <w:rsid w:val="00F82C35"/>
    <w:rsid w:val="00F83068"/>
    <w:rsid w:val="00F830EC"/>
    <w:rsid w:val="00F85647"/>
    <w:rsid w:val="00F90461"/>
    <w:rsid w:val="00F91B03"/>
    <w:rsid w:val="00FA06B2"/>
    <w:rsid w:val="00FA370D"/>
    <w:rsid w:val="00FA5F89"/>
    <w:rsid w:val="00FA66F1"/>
    <w:rsid w:val="00FB1198"/>
    <w:rsid w:val="00FB5308"/>
    <w:rsid w:val="00FB5647"/>
    <w:rsid w:val="00FC378B"/>
    <w:rsid w:val="00FC3977"/>
    <w:rsid w:val="00FD0C30"/>
    <w:rsid w:val="00FD20C1"/>
    <w:rsid w:val="00FD2566"/>
    <w:rsid w:val="00FD25C7"/>
    <w:rsid w:val="00FD2F16"/>
    <w:rsid w:val="00FD2F54"/>
    <w:rsid w:val="00FD3A31"/>
    <w:rsid w:val="00FD6065"/>
    <w:rsid w:val="00FE1D34"/>
    <w:rsid w:val="00FE244F"/>
    <w:rsid w:val="00FE2A6F"/>
    <w:rsid w:val="00FF2C98"/>
    <w:rsid w:val="00FF418D"/>
    <w:rsid w:val="00FF6538"/>
  </w:rsids>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6" w:defLockedState="0" w:defQFormat="0" w:defSemiHidden="0" w:defUIPriority="99" w:defUnhideWhenUsed="0">
    <w:lsdException w:name="Normal" w:uiPriority="0"/>
    <w:lsdException w:name="heading 1" w:qFormat="1" w:uiPriority="0"/>
    <w:lsdException w:name="heading 2" w:qFormat="1" w:uiPriority="0"/>
    <w:lsdException w:name="heading 3" w:qFormat="1" w:uiPriority="0"/>
    <w:lsdException w:name="heading 4" w:qFormat="1" w:semiHidden="1" w:uiPriority="0"/>
    <w:lsdException w:name="heading 5" w:qFormat="1" w:semiHidden="1" w:uiPriority="0"/>
    <w:lsdException w:name="heading 6" w:semiHidden="1" w:uiPriority="0"/>
    <w:lsdException w:name="heading 7" w:semiHidden="1" w:uiPriority="0" w:unhideWhenUsed="1"/>
    <w:lsdException w:name="heading 8" w:semiHidden="1" w:uiPriority="0" w:unhideWhenUsed="1"/>
    <w:lsdException w:name="heading 9" w:semiHidden="1" w:uiPriority="0"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qFormat="1" w:semiHidden="1" w:uiPriority="9"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lsdException w:name="table of figures"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lsdException w:name="List 2" w:semiHidden="1" w:uiPriority="0"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lsdException w:name="Date" w:qFormat="1" w:semiHidden="1" w:uiPriority="0"/>
    <w:lsdException w:name="Body Text First Indent" w:semiHidden="1" w:uiPriority="0"/>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qFormat="1" w:semiHidden="1" w:uiPriority="9" w:unhideWhenUsed="1"/>
    <w:lsdException w:name="Hyperlink" w:qFormat="1" w:semiHidden="1" w:unhideWhenUsed="1"/>
    <w:lsdException w:name="FollowedHyperlink" w:semiHidden="1" w:uiPriority="0" w:unhideWhenUsed="1"/>
    <w:lsdException w:name="Strong" w:uiPriority="22"/>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0"/>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661BCD"/>
    <w:pPr>
      <w:spacing w:after="120" w:line="216" w:lineRule="atLeast"/>
    </w:pPr>
    <w:rPr>
      <w:lang w:val="en-GB"/>
    </w:rPr>
  </w:style>
  <w:style w:styleId="Heading1" w:type="paragraph">
    <w:name w:val="heading 1"/>
    <w:next w:val="Heading1separationline"/>
    <w:link w:val="Heading1Char"/>
    <w:qFormat/>
    <w:rsid w:val="00937BF0"/>
    <w:pPr>
      <w:keepNext/>
      <w:keepLines/>
      <w:numPr>
        <w:numId w:val="16"/>
      </w:numPr>
      <w:spacing w:before="240" w:line="240" w:lineRule="atLeast"/>
      <w:outlineLvl w:val="0"/>
    </w:pPr>
    <w:rPr>
      <w:rFonts w:asciiTheme="majorHAnsi" w:cstheme="majorBidi" w:eastAsiaTheme="majorEastAsia" w:hAnsiTheme="majorHAnsi"/>
      <w:b/>
      <w:bCs/>
      <w:caps/>
      <w:color w:themeColor="accent1" w:val="00558C"/>
      <w:sz w:val="28"/>
      <w:szCs w:val="24"/>
      <w:lang w:val="en-GB"/>
    </w:rPr>
  </w:style>
  <w:style w:styleId="Heading2" w:type="paragraph">
    <w:name w:val="heading 2"/>
    <w:basedOn w:val="Heading1"/>
    <w:next w:val="Heading2separationline"/>
    <w:link w:val="Heading2Char"/>
    <w:qFormat/>
    <w:rsid w:val="00A95240"/>
    <w:pPr>
      <w:numPr>
        <w:ilvl w:val="1"/>
      </w:numPr>
      <w:ind w:right="709"/>
      <w:outlineLvl w:val="1"/>
    </w:pPr>
    <w:rPr>
      <w:bCs w:val="0"/>
      <w:sz w:val="24"/>
    </w:rPr>
  </w:style>
  <w:style w:styleId="Heading3" w:type="paragraph">
    <w:name w:val="heading 3"/>
    <w:basedOn w:val="Heading2"/>
    <w:next w:val="BodyText"/>
    <w:link w:val="Heading3Char"/>
    <w:qFormat/>
    <w:rsid w:val="00937BF0"/>
    <w:pPr>
      <w:numPr>
        <w:ilvl w:val="2"/>
      </w:numPr>
      <w:spacing w:after="120" w:before="120"/>
      <w:ind w:right="851"/>
      <w:outlineLvl w:val="2"/>
    </w:pPr>
    <w:rPr>
      <w:bCs/>
      <w:caps w:val="0"/>
      <w:smallCaps/>
    </w:rPr>
  </w:style>
  <w:style w:styleId="Heading4" w:type="paragraph">
    <w:name w:val="heading 4"/>
    <w:basedOn w:val="Heading3"/>
    <w:next w:val="BodyText"/>
    <w:link w:val="Heading4Char"/>
    <w:qFormat/>
    <w:rsid w:val="000418CA"/>
    <w:pPr>
      <w:numPr>
        <w:ilvl w:val="3"/>
      </w:numPr>
      <w:ind w:right="992"/>
      <w:outlineLvl w:val="3"/>
    </w:pPr>
    <w:rPr>
      <w:bCs w:val="0"/>
      <w:iCs/>
      <w:smallCaps w:val="0"/>
      <w:sz w:val="22"/>
    </w:rPr>
  </w:style>
  <w:style w:styleId="Heading5" w:type="paragraph">
    <w:name w:val="heading 5"/>
    <w:basedOn w:val="Heading4"/>
    <w:next w:val="Normal"/>
    <w:link w:val="Heading5Char"/>
    <w:qFormat/>
    <w:rsid w:val="000418CA"/>
    <w:pPr>
      <w:numPr>
        <w:ilvl w:val="4"/>
      </w:numPr>
      <w:spacing w:before="200"/>
      <w:ind w:hanging="1701" w:left="1701"/>
      <w:outlineLvl w:val="4"/>
    </w:pPr>
    <w:rPr>
      <w:b w:val="0"/>
    </w:rPr>
  </w:style>
  <w:style w:styleId="Heading6" w:type="paragraph">
    <w:name w:val="heading 6"/>
    <w:basedOn w:val="Normal"/>
    <w:next w:val="Normal"/>
    <w:link w:val="Heading6Char"/>
    <w:rsid w:val="00CF49CC"/>
    <w:pPr>
      <w:keepNext/>
      <w:keepLines/>
      <w:spacing w:before="200"/>
      <w:outlineLvl w:val="5"/>
    </w:pPr>
    <w:rPr>
      <w:rFonts w:asciiTheme="majorHAnsi" w:cstheme="majorBidi" w:eastAsiaTheme="majorEastAsia" w:hAnsiTheme="majorHAnsi"/>
      <w:i/>
      <w:iCs/>
      <w:color w:themeColor="accent1" w:themeShade="7F" w:val="002A45"/>
    </w:rPr>
  </w:style>
  <w:style w:styleId="Heading7" w:type="paragraph">
    <w:name w:val="heading 7"/>
    <w:basedOn w:val="Normal"/>
    <w:next w:val="Normal"/>
    <w:link w:val="Heading7Char"/>
    <w:rsid w:val="00CF49CC"/>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rsid w:val="00CF49CC"/>
    <w:pPr>
      <w:keepNext/>
      <w:keepLines/>
      <w:spacing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rsid w:val="00CF49CC"/>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link w:val="HeaderChar"/>
    <w:rsid w:val="00380350"/>
    <w:pPr>
      <w:spacing w:after="0" w:line="240" w:lineRule="exact"/>
    </w:pPr>
    <w:rPr>
      <w:sz w:val="20"/>
      <w:lang w:val="en-GB"/>
    </w:rPr>
  </w:style>
  <w:style w:customStyle="1" w:styleId="HeaderChar" w:type="character">
    <w:name w:val="Header Char"/>
    <w:basedOn w:val="DefaultParagraphFont"/>
    <w:link w:val="Header"/>
    <w:rsid w:val="00380350"/>
    <w:rPr>
      <w:sz w:val="20"/>
      <w:lang w:val="en-GB"/>
    </w:rPr>
  </w:style>
  <w:style w:styleId="Footer" w:type="paragraph">
    <w:name w:val="footer"/>
    <w:link w:val="FooterChar"/>
    <w:rsid w:val="00CF49CC"/>
    <w:pPr>
      <w:spacing w:after="0" w:line="240" w:lineRule="exact"/>
    </w:pPr>
    <w:rPr>
      <w:sz w:val="20"/>
      <w:lang w:val="en-GB"/>
    </w:rPr>
  </w:style>
  <w:style w:customStyle="1" w:styleId="FooterChar" w:type="character">
    <w:name w:val="Footer Char"/>
    <w:basedOn w:val="DefaultParagraphFont"/>
    <w:link w:val="Footer"/>
    <w:rsid w:val="00CF49CC"/>
    <w:rPr>
      <w:sz w:val="20"/>
      <w:lang w:val="en-GB"/>
    </w:rPr>
  </w:style>
  <w:style w:styleId="BalloonText" w:type="paragraph">
    <w:name w:val="Balloon Text"/>
    <w:basedOn w:val="Normal"/>
    <w:link w:val="BalloonTextChar"/>
    <w:rsid w:val="00EB6F3C"/>
    <w:pPr>
      <w:spacing w:line="240" w:lineRule="auto"/>
    </w:pPr>
    <w:rPr>
      <w:rFonts w:ascii="Tahoma" w:cs="Tahoma" w:hAnsi="Tahoma"/>
      <w:sz w:val="16"/>
      <w:szCs w:val="16"/>
    </w:rPr>
  </w:style>
  <w:style w:customStyle="1" w:styleId="BalloonTextChar" w:type="character">
    <w:name w:val="Balloon Text Char"/>
    <w:basedOn w:val="DefaultParagraphFont"/>
    <w:link w:val="BalloonText"/>
    <w:rsid w:val="00EB6F3C"/>
    <w:rPr>
      <w:rFonts w:ascii="Tahoma" w:cs="Tahoma" w:hAnsi="Tahoma"/>
      <w:sz w:val="16"/>
      <w:szCs w:val="16"/>
      <w:lang w:val="en-US"/>
    </w:rPr>
  </w:style>
  <w:style w:styleId="TableGrid" w:type="table">
    <w:name w:val="Table Grid"/>
    <w:basedOn w:val="TableNormal"/>
    <w:uiPriority w:val="59"/>
    <w:rsid w:val="004D6C8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style>
  <w:style w:customStyle="1" w:styleId="Documenttype" w:type="paragraph">
    <w:name w:val="Document type"/>
    <w:basedOn w:val="Normal"/>
    <w:rsid w:val="00380350"/>
    <w:pPr>
      <w:spacing w:line="500" w:lineRule="exact"/>
      <w:ind w:left="907" w:right="907"/>
    </w:pPr>
    <w:rPr>
      <w:b/>
      <w:caps/>
      <w:color w:themeColor="background1" w:val="FFFFFF"/>
      <w:sz w:val="50"/>
      <w:szCs w:val="50"/>
    </w:rPr>
  </w:style>
  <w:style w:customStyle="1" w:styleId="Heading1Char" w:type="character">
    <w:name w:val="Heading 1 Char"/>
    <w:basedOn w:val="DefaultParagraphFont"/>
    <w:link w:val="Heading1"/>
    <w:rsid w:val="00937BF0"/>
    <w:rPr>
      <w:rFonts w:asciiTheme="majorHAnsi" w:cstheme="majorBidi" w:eastAsiaTheme="majorEastAsia" w:hAnsiTheme="majorHAnsi"/>
      <w:b/>
      <w:bCs/>
      <w:caps/>
      <w:color w:themeColor="accent1" w:val="00558C"/>
      <w:sz w:val="28"/>
      <w:szCs w:val="24"/>
      <w:lang w:val="en-GB"/>
    </w:rPr>
  </w:style>
  <w:style w:customStyle="1" w:styleId="Heading2Char" w:type="character">
    <w:name w:val="Heading 2 Char"/>
    <w:basedOn w:val="DefaultParagraphFont"/>
    <w:link w:val="Heading2"/>
    <w:rsid w:val="00A95240"/>
    <w:rPr>
      <w:rFonts w:asciiTheme="majorHAnsi" w:cstheme="majorBidi" w:eastAsiaTheme="majorEastAsia" w:hAnsiTheme="majorHAnsi"/>
      <w:b/>
      <w:caps/>
      <w:color w:themeColor="accent1" w:val="00558C"/>
      <w:sz w:val="24"/>
      <w:szCs w:val="24"/>
      <w:lang w:val="en-GB"/>
    </w:rPr>
  </w:style>
  <w:style w:customStyle="1" w:styleId="Heading3Char" w:type="character">
    <w:name w:val="Heading 3 Char"/>
    <w:basedOn w:val="DefaultParagraphFont"/>
    <w:link w:val="Heading3"/>
    <w:rsid w:val="00937BF0"/>
    <w:rPr>
      <w:rFonts w:asciiTheme="majorHAnsi" w:cstheme="majorBidi" w:eastAsiaTheme="majorEastAsia" w:hAnsiTheme="majorHAnsi"/>
      <w:b/>
      <w:bCs/>
      <w:smallCaps/>
      <w:color w:themeColor="accent1" w:val="00558C"/>
      <w:sz w:val="24"/>
      <w:szCs w:val="24"/>
      <w:lang w:val="en-GB"/>
    </w:rPr>
  </w:style>
  <w:style w:styleId="List" w:type="paragraph">
    <w:name w:val="List"/>
    <w:basedOn w:val="Normal"/>
    <w:uiPriority w:val="99"/>
    <w:unhideWhenUsed/>
    <w:rsid w:val="00CC6246"/>
    <w:pPr>
      <w:ind w:hanging="360" w:left="360"/>
      <w:contextualSpacing/>
    </w:pPr>
  </w:style>
  <w:style w:customStyle="1" w:styleId="Heading4Char" w:type="character">
    <w:name w:val="Heading 4 Char"/>
    <w:basedOn w:val="DefaultParagraphFont"/>
    <w:link w:val="Heading4"/>
    <w:rsid w:val="000418CA"/>
    <w:rPr>
      <w:rFonts w:asciiTheme="majorHAnsi" w:cstheme="majorBidi" w:eastAsiaTheme="majorEastAsia" w:hAnsiTheme="majorHAnsi"/>
      <w:b/>
      <w:iCs/>
      <w:color w:val="00558C"/>
      <w:szCs w:val="24"/>
      <w:lang w:val="en-GB"/>
    </w:rPr>
  </w:style>
  <w:style w:customStyle="1" w:styleId="Heading5Char" w:type="character">
    <w:name w:val="Heading 5 Char"/>
    <w:basedOn w:val="DefaultParagraphFont"/>
    <w:link w:val="Heading5"/>
    <w:rsid w:val="000418CA"/>
    <w:rPr>
      <w:rFonts w:asciiTheme="majorHAnsi" w:cstheme="majorBidi" w:eastAsiaTheme="majorEastAsia" w:hAnsiTheme="majorHAnsi"/>
      <w:iCs/>
      <w:color w:val="00558C"/>
      <w:szCs w:val="24"/>
      <w:lang w:val="en-GB"/>
    </w:rPr>
  </w:style>
  <w:style w:customStyle="1" w:styleId="Heading6Char" w:type="character">
    <w:name w:val="Heading 6 Char"/>
    <w:basedOn w:val="DefaultParagraphFont"/>
    <w:link w:val="Heading6"/>
    <w:rsid w:val="00CF49CC"/>
    <w:rPr>
      <w:rFonts w:asciiTheme="majorHAnsi" w:cstheme="majorBidi" w:eastAsiaTheme="majorEastAsia" w:hAnsiTheme="majorHAnsi"/>
      <w:i/>
      <w:iCs/>
      <w:color w:themeColor="accent1" w:themeShade="7F" w:val="002A45"/>
      <w:sz w:val="18"/>
      <w:lang w:val="en-GB"/>
    </w:rPr>
  </w:style>
  <w:style w:customStyle="1" w:styleId="Heading7Char" w:type="character">
    <w:name w:val="Heading 7 Char"/>
    <w:basedOn w:val="DefaultParagraphFont"/>
    <w:link w:val="Heading7"/>
    <w:rsid w:val="00CF49CC"/>
    <w:rPr>
      <w:rFonts w:asciiTheme="majorHAnsi" w:cstheme="majorBidi" w:eastAsiaTheme="majorEastAsia" w:hAnsiTheme="majorHAnsi"/>
      <w:i/>
      <w:iCs/>
      <w:color w:themeColor="text1" w:themeTint="BF" w:val="404040"/>
      <w:sz w:val="18"/>
      <w:lang w:val="en-GB"/>
    </w:rPr>
  </w:style>
  <w:style w:customStyle="1" w:styleId="Heading8Char" w:type="character">
    <w:name w:val="Heading 8 Char"/>
    <w:basedOn w:val="DefaultParagraphFont"/>
    <w:link w:val="Heading8"/>
    <w:rsid w:val="00CF49CC"/>
    <w:rPr>
      <w:rFonts w:asciiTheme="majorHAnsi" w:cstheme="majorBidi" w:eastAsiaTheme="majorEastAsia" w:hAnsiTheme="majorHAnsi"/>
      <w:color w:themeColor="text1" w:themeTint="BF" w:val="404040"/>
      <w:sz w:val="20"/>
      <w:szCs w:val="20"/>
      <w:lang w:val="en-GB"/>
    </w:rPr>
  </w:style>
  <w:style w:customStyle="1" w:styleId="Heading9Char" w:type="character">
    <w:name w:val="Heading 9 Char"/>
    <w:basedOn w:val="DefaultParagraphFont"/>
    <w:link w:val="Heading9"/>
    <w:rsid w:val="00CF49CC"/>
    <w:rPr>
      <w:rFonts w:asciiTheme="majorHAnsi" w:cstheme="majorBidi" w:eastAsiaTheme="majorEastAsia" w:hAnsiTheme="majorHAnsi"/>
      <w:i/>
      <w:iCs/>
      <w:color w:themeColor="text1" w:themeTint="BF" w:val="404040"/>
      <w:sz w:val="20"/>
      <w:szCs w:val="20"/>
      <w:lang w:val="en-GB"/>
    </w:rPr>
  </w:style>
  <w:style w:customStyle="1" w:styleId="Bullet1" w:type="paragraph">
    <w:name w:val="Bullet 1"/>
    <w:basedOn w:val="Normal"/>
    <w:qFormat/>
    <w:rsid w:val="008310C9"/>
    <w:pPr>
      <w:numPr>
        <w:numId w:val="11"/>
      </w:numPr>
      <w:ind w:hanging="425" w:left="992"/>
    </w:pPr>
    <w:rPr>
      <w:color w:themeColor="text1" w:val="000000"/>
    </w:rPr>
  </w:style>
  <w:style w:customStyle="1" w:styleId="Bullet2" w:type="paragraph">
    <w:name w:val="Bullet 2"/>
    <w:basedOn w:val="Normal"/>
    <w:link w:val="Bullet2Char"/>
    <w:qFormat/>
    <w:rsid w:val="000B1A90"/>
    <w:pPr>
      <w:numPr>
        <w:numId w:val="12"/>
      </w:numPr>
      <w:ind w:hanging="425" w:left="1417"/>
    </w:pPr>
    <w:rPr>
      <w:color w:themeColor="text1" w:val="000000"/>
    </w:rPr>
  </w:style>
  <w:style w:customStyle="1" w:styleId="Heading1separationline" w:type="paragraph">
    <w:name w:val="Heading 1 separation line"/>
    <w:basedOn w:val="Normal"/>
    <w:next w:val="BodyText"/>
    <w:rsid w:val="00AB76B7"/>
    <w:pPr>
      <w:pBdr>
        <w:bottom w:color="00558C" w:space="1" w:sz="8" w:themeColor="accent1" w:val="single"/>
      </w:pBdr>
      <w:spacing w:line="90" w:lineRule="exact"/>
      <w:ind w:right="8789"/>
    </w:pPr>
    <w:rPr>
      <w:color w:themeColor="text1" w:val="000000"/>
    </w:rPr>
  </w:style>
  <w:style w:customStyle="1" w:styleId="Heading2separationline" w:type="paragraph">
    <w:name w:val="Heading 2 separation line"/>
    <w:basedOn w:val="Normal"/>
    <w:next w:val="BodyText"/>
    <w:rsid w:val="00B73463"/>
    <w:pPr>
      <w:pBdr>
        <w:bottom w:color="575756" w:space="1" w:sz="4" w:val="single"/>
      </w:pBdr>
      <w:spacing w:after="60" w:line="110" w:lineRule="exact"/>
      <w:ind w:right="8787"/>
    </w:pPr>
    <w:rPr>
      <w:color w:themeColor="text1" w:val="000000"/>
    </w:rPr>
  </w:style>
  <w:style w:customStyle="1" w:styleId="PageNumber1" w:type="paragraph">
    <w:name w:val="Page Number1"/>
    <w:basedOn w:val="Normal"/>
    <w:rsid w:val="00441393"/>
    <w:pPr>
      <w:spacing w:line="180" w:lineRule="exact"/>
      <w:jc w:val="right"/>
    </w:pPr>
    <w:rPr>
      <w:color w:themeColor="accent1" w:val="00558C"/>
    </w:rPr>
  </w:style>
  <w:style w:customStyle="1" w:styleId="Editionnumber" w:type="paragraph">
    <w:name w:val="Edition number"/>
    <w:basedOn w:val="Normal"/>
    <w:rsid w:val="004E0BBB"/>
    <w:rPr>
      <w:b/>
      <w:color w:themeColor="accent1" w:val="00558C"/>
      <w:sz w:val="50"/>
      <w:szCs w:val="50"/>
    </w:rPr>
  </w:style>
  <w:style w:customStyle="1" w:styleId="Editionnumber-footer" w:type="paragraph">
    <w:name w:val="Edition number - footer"/>
    <w:basedOn w:val="Footer"/>
    <w:next w:val="NoSpacing"/>
    <w:rsid w:val="00380350"/>
    <w:pPr>
      <w:framePr w:hAnchor="margin" w:hSpace="142" w:wrap="around" w:xAlign="center" w:yAlign="bottom"/>
      <w:spacing w:before="40" w:line="180" w:lineRule="exact"/>
      <w:suppressOverlap/>
    </w:pPr>
    <w:rPr>
      <w:b/>
      <w:color w:themeColor="accent1" w:val="00558C"/>
      <w:sz w:val="15"/>
      <w:szCs w:val="15"/>
    </w:rPr>
  </w:style>
  <w:style w:customStyle="1" w:styleId="Contents" w:type="paragraph">
    <w:name w:val="Contents"/>
    <w:basedOn w:val="Header"/>
    <w:rsid w:val="00441393"/>
    <w:pPr>
      <w:pBdr>
        <w:bottom w:color="00558C" w:space="12" w:sz="8" w:themeColor="accent1" w:val="single"/>
      </w:pBdr>
      <w:spacing w:before="100" w:line="560" w:lineRule="exact"/>
    </w:pPr>
    <w:rPr>
      <w:b/>
      <w:caps/>
      <w:color w:themeColor="accent2" w:val="009FE3"/>
      <w:sz w:val="56"/>
      <w:szCs w:val="56"/>
    </w:rPr>
  </w:style>
  <w:style w:styleId="TOC1" w:type="paragraph">
    <w:name w:val="toc 1"/>
    <w:basedOn w:val="Normal"/>
    <w:next w:val="Normal"/>
    <w:uiPriority w:val="39"/>
    <w:rsid w:val="000D76B7"/>
    <w:pPr>
      <w:tabs>
        <w:tab w:leader="dot" w:pos="9781" w:val="right"/>
      </w:tabs>
      <w:spacing w:after="40" w:line="300" w:lineRule="atLeast"/>
      <w:ind w:hanging="425" w:left="425" w:right="425"/>
    </w:pPr>
    <w:rPr>
      <w:b/>
      <w:caps/>
      <w:noProof/>
      <w:color w:themeColor="accent1" w:val="00558C"/>
    </w:rPr>
  </w:style>
  <w:style w:styleId="TOC2" w:type="paragraph">
    <w:name w:val="toc 2"/>
    <w:basedOn w:val="Normal"/>
    <w:next w:val="Normal"/>
    <w:autoRedefine/>
    <w:uiPriority w:val="39"/>
    <w:rsid w:val="00A72893"/>
    <w:pPr>
      <w:tabs>
        <w:tab w:leader="dot" w:pos="9781" w:val="right"/>
      </w:tabs>
      <w:spacing w:after="40" w:line="300" w:lineRule="atLeast"/>
      <w:ind w:hanging="709" w:left="709" w:right="425"/>
    </w:pPr>
    <w:rPr>
      <w:noProof/>
      <w:color w:themeColor="accent1" w:val="00558C"/>
    </w:rPr>
  </w:style>
  <w:style w:styleId="Hyperlink" w:type="character">
    <w:name w:val="Hyperlink"/>
    <w:basedOn w:val="DefaultParagraphFont"/>
    <w:uiPriority w:val="99"/>
    <w:unhideWhenUsed/>
    <w:qFormat/>
    <w:rsid w:val="001B2745"/>
    <w:rPr>
      <w:color w:themeColor="accent1" w:val="00558C"/>
      <w:u w:val="single"/>
    </w:rPr>
  </w:style>
  <w:style w:styleId="ListNumber3" w:type="paragraph">
    <w:name w:val="List Number 3"/>
    <w:basedOn w:val="Normal"/>
    <w:uiPriority w:val="99"/>
    <w:unhideWhenUsed/>
    <w:rsid w:val="00F90461"/>
    <w:pPr>
      <w:contextualSpacing/>
    </w:pPr>
  </w:style>
  <w:style w:styleId="TableofFigures" w:type="paragraph">
    <w:name w:val="table of figures"/>
    <w:basedOn w:val="Normal"/>
    <w:next w:val="Normal"/>
    <w:uiPriority w:val="99"/>
    <w:rsid w:val="0080602A"/>
    <w:pPr>
      <w:tabs>
        <w:tab w:leader="dot" w:pos="9781" w:val="right"/>
      </w:tabs>
      <w:spacing w:after="60"/>
      <w:ind w:hanging="1276" w:left="1276" w:right="425"/>
    </w:pPr>
    <w:rPr>
      <w:i/>
      <w:color w:val="00558C"/>
    </w:rPr>
  </w:style>
  <w:style w:customStyle="1" w:styleId="Tabletext" w:type="paragraph">
    <w:name w:val="Table text"/>
    <w:basedOn w:val="Normal"/>
    <w:qFormat/>
    <w:rsid w:val="00414698"/>
    <w:pPr>
      <w:spacing w:after="60" w:before="60"/>
      <w:ind w:left="113" w:right="113"/>
    </w:pPr>
    <w:rPr>
      <w:color w:themeColor="text1" w:val="000000"/>
      <w:sz w:val="20"/>
    </w:rPr>
  </w:style>
  <w:style w:customStyle="1" w:styleId="Doicumentrevisiontabletitle" w:type="paragraph">
    <w:name w:val="Doicument revision table title"/>
    <w:basedOn w:val="Tabletext"/>
    <w:rsid w:val="00051724"/>
    <w:rPr>
      <w:b/>
      <w:color w:val="00558C"/>
    </w:rPr>
  </w:style>
  <w:style w:styleId="MediumShading1" w:type="table">
    <w:name w:val="Medium Shading 1"/>
    <w:basedOn w:val="TableNormal"/>
    <w:uiPriority w:val="63"/>
    <w:rsid w:val="0052623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blStylePr w:type="firstRow">
      <w:pPr>
        <w:spacing w:after="0" w:before="0" w:line="240" w:lineRule="auto"/>
      </w:pPr>
      <w:rPr>
        <w:b/>
        <w:bCs/>
        <w:color w:themeColor="background1" w:val="FFFFFF"/>
      </w:rPr>
      <w:tblPr/>
      <w:tcPr>
        <w:tcBorders>
          <w:top w:color="575756" w:space="0" w:sz="8" w:val="single"/>
          <w:left w:color="575756" w:space="0" w:sz="8" w:val="single"/>
          <w:bottom w:color="575756" w:space="0" w:sz="8" w:val="single"/>
          <w:right w:color="575756" w:space="0" w:sz="8" w:val="single"/>
          <w:insideH w:val="nil"/>
          <w:insideV w:color="575756" w:space="0" w:sz="8" w:val="single"/>
        </w:tcBorders>
        <w:shd w:color="auto" w:fill="009FE3" w:themeFill="accent2"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top w:color="575756" w:space="0" w:sz="8" w:val="single"/>
          <w:left w:color="575756" w:space="0" w:sz="8" w:val="single"/>
          <w:bottom w:color="575756" w:space="0" w:sz="8" w:val="single"/>
          <w:right w:color="575756" w:space="0" w:sz="8" w:val="single"/>
          <w:insideH w:val="nil"/>
          <w:insideV w:color="575756" w:space="0" w:sz="8" w:val="single"/>
          <w:tl2br w:val="nil"/>
          <w:tr2bl w:val="nil"/>
        </w:tcBorders>
      </w:tcPr>
    </w:tblStylePr>
    <w:tblStylePr w:type="band2Horz">
      <w:tblPr/>
      <w:tcPr>
        <w:tcBorders>
          <w:top w:color="575756" w:space="0" w:sz="8" w:val="single"/>
          <w:left w:color="575756" w:space="0" w:sz="8" w:val="single"/>
          <w:bottom w:color="575756" w:space="0" w:sz="8" w:val="single"/>
          <w:right w:color="575756" w:space="0" w:sz="8" w:val="single"/>
          <w:insideH w:val="nil"/>
          <w:insideV w:color="575756" w:space="0" w:sz="8" w:val="single"/>
          <w:tl2br w:val="nil"/>
          <w:tr2bl w:val="nil"/>
        </w:tcBorders>
        <w:shd w:color="auto" w:fill="C6EDFF" w:themeFill="accent2" w:themeFillTint="33" w:val="clear"/>
      </w:tcPr>
    </w:tblStylePr>
  </w:style>
  <w:style w:styleId="Caption" w:type="paragraph">
    <w:name w:val="caption"/>
    <w:basedOn w:val="Normal"/>
    <w:next w:val="Normal"/>
    <w:uiPriority w:val="35"/>
    <w:rsid w:val="008C33B5"/>
    <w:rPr>
      <w:b/>
      <w:bCs/>
      <w:i/>
      <w:color w:val="575756"/>
      <w:u w:val="single"/>
    </w:rPr>
  </w:style>
  <w:style w:styleId="TOC3" w:type="paragraph">
    <w:name w:val="toc 3"/>
    <w:basedOn w:val="Normal"/>
    <w:next w:val="Normal"/>
    <w:uiPriority w:val="39"/>
    <w:unhideWhenUsed/>
    <w:rsid w:val="001E32E5"/>
    <w:pPr>
      <w:tabs>
        <w:tab w:leader="dot" w:pos="9781" w:val="right"/>
      </w:tabs>
      <w:spacing w:after="60"/>
      <w:ind w:hanging="709" w:left="1134"/>
    </w:pPr>
    <w:rPr>
      <w:color w:val="00558C"/>
    </w:rPr>
  </w:style>
  <w:style w:customStyle="1" w:styleId="Listatext" w:type="paragraph">
    <w:name w:val="List a text"/>
    <w:basedOn w:val="Normal"/>
    <w:qFormat/>
    <w:rsid w:val="008310C9"/>
    <w:pPr>
      <w:ind w:left="1134"/>
    </w:pPr>
  </w:style>
  <w:style w:customStyle="1" w:styleId="Bullet2Char" w:type="character">
    <w:name w:val="Bullet 2 Char"/>
    <w:basedOn w:val="DefaultParagraphFont"/>
    <w:link w:val="Bullet2"/>
    <w:rsid w:val="000B1A90"/>
    <w:rPr>
      <w:color w:themeColor="text1" w:val="000000"/>
      <w:lang w:val="en-GB"/>
    </w:rPr>
  </w:style>
  <w:style w:customStyle="1" w:styleId="AppendixHead2" w:type="paragraph">
    <w:name w:val="Appendix Head 2"/>
    <w:basedOn w:val="Appendix"/>
    <w:next w:val="Heading2separationline"/>
    <w:qFormat/>
    <w:rsid w:val="00586C66"/>
    <w:pPr>
      <w:numPr>
        <w:ilvl w:val="2"/>
      </w:numPr>
      <w:spacing w:after="120"/>
    </w:pPr>
    <w:rPr>
      <w:rFonts w:cs="Arial"/>
      <w:sz w:val="24"/>
      <w:lang w:eastAsia="en-GB"/>
    </w:rPr>
  </w:style>
  <w:style w:customStyle="1" w:styleId="AppendixHead3" w:type="paragraph">
    <w:name w:val="Appendix Head 3"/>
    <w:basedOn w:val="Normal"/>
    <w:next w:val="BodyText"/>
    <w:qFormat/>
    <w:rsid w:val="00E5035D"/>
    <w:pPr>
      <w:numPr>
        <w:ilvl w:val="3"/>
        <w:numId w:val="7"/>
      </w:numPr>
      <w:spacing w:before="120" w:line="240" w:lineRule="auto"/>
    </w:pPr>
    <w:rPr>
      <w:rFonts w:cs="Arial" w:eastAsia="Calibri"/>
      <w:b/>
      <w:smallCaps/>
      <w:color w:val="00558C"/>
      <w:sz w:val="24"/>
      <w:lang w:eastAsia="en-GB"/>
    </w:rPr>
  </w:style>
  <w:style w:customStyle="1" w:styleId="AppendixHead4" w:type="paragraph">
    <w:name w:val="Appendix Head 4"/>
    <w:basedOn w:val="AppendixHead3"/>
    <w:next w:val="BodyText"/>
    <w:qFormat/>
    <w:rsid w:val="00E5035D"/>
    <w:pPr>
      <w:numPr>
        <w:ilvl w:val="4"/>
      </w:numPr>
    </w:pPr>
    <w:rPr>
      <w:smallCaps w:val="0"/>
      <w:sz w:val="22"/>
    </w:rPr>
  </w:style>
  <w:style w:customStyle="1" w:styleId="AppendixHead5" w:type="paragraph">
    <w:name w:val="Appendix Head 5"/>
    <w:basedOn w:val="AppendixHead4"/>
    <w:next w:val="BodyText"/>
    <w:qFormat/>
    <w:rsid w:val="00A90AAC"/>
    <w:pPr>
      <w:ind w:hanging="1701" w:left="1701"/>
    </w:pPr>
    <w:rPr>
      <w:b w:val="0"/>
    </w:rPr>
  </w:style>
  <w:style w:customStyle="1" w:styleId="Annex" w:type="paragraph">
    <w:name w:val="Annex"/>
    <w:next w:val="BodyText"/>
    <w:link w:val="AnnexChar"/>
    <w:qFormat/>
    <w:rsid w:val="00E5035D"/>
    <w:pPr>
      <w:numPr>
        <w:numId w:val="1"/>
      </w:numPr>
      <w:spacing w:after="360"/>
    </w:pPr>
    <w:rPr>
      <w:b/>
      <w:caps/>
      <w:color w:val="00558C"/>
      <w:sz w:val="28"/>
      <w:lang w:val="en-GB"/>
    </w:rPr>
  </w:style>
  <w:style w:customStyle="1" w:styleId="AnnexChar" w:type="character">
    <w:name w:val="Annex Char"/>
    <w:basedOn w:val="DefaultParagraphFont"/>
    <w:link w:val="Annex"/>
    <w:rsid w:val="00E5035D"/>
    <w:rPr>
      <w:b/>
      <w:caps/>
      <w:color w:val="00558C"/>
      <w:sz w:val="28"/>
      <w:lang w:val="en-GB"/>
    </w:rPr>
  </w:style>
  <w:style w:customStyle="1" w:styleId="AnnexHead2" w:type="paragraph">
    <w:name w:val="Annex Head 2"/>
    <w:basedOn w:val="Annex"/>
    <w:next w:val="Heading1separationline"/>
    <w:qFormat/>
    <w:rsid w:val="00E5035D"/>
    <w:pPr>
      <w:numPr>
        <w:ilvl w:val="1"/>
      </w:numPr>
      <w:spacing w:after="120" w:before="120" w:line="240" w:lineRule="auto"/>
    </w:pPr>
    <w:rPr>
      <w:rFonts w:cs="Calibri" w:eastAsia="Calibri"/>
      <w:bCs/>
      <w:sz w:val="24"/>
      <w:lang w:eastAsia="en-GB"/>
    </w:rPr>
  </w:style>
  <w:style w:customStyle="1" w:styleId="AnnexHead3" w:type="paragraph">
    <w:name w:val="Annex Head 3"/>
    <w:basedOn w:val="AnnexHead2"/>
    <w:next w:val="Heading2separationline"/>
    <w:qFormat/>
    <w:rsid w:val="000418CA"/>
    <w:pPr>
      <w:numPr>
        <w:ilvl w:val="2"/>
      </w:numPr>
    </w:pPr>
    <w:rPr>
      <w:caps w:val="0"/>
      <w:smallCaps/>
    </w:rPr>
  </w:style>
  <w:style w:styleId="BodyText" w:type="paragraph">
    <w:name w:val="Body Text"/>
    <w:basedOn w:val="Normal"/>
    <w:link w:val="BodyTextChar"/>
    <w:unhideWhenUsed/>
    <w:qFormat/>
    <w:rsid w:val="00820C2C"/>
    <w:pPr>
      <w:jc w:val="both"/>
    </w:pPr>
  </w:style>
  <w:style w:customStyle="1" w:styleId="BodyTextChar" w:type="character">
    <w:name w:val="Body Text Char"/>
    <w:basedOn w:val="DefaultParagraphFont"/>
    <w:link w:val="BodyText"/>
    <w:rsid w:val="00820C2C"/>
    <w:rPr>
      <w:lang w:val="en-GB"/>
    </w:rPr>
  </w:style>
  <w:style w:customStyle="1" w:styleId="AnnexHead4" w:type="paragraph">
    <w:name w:val="Annex Head 4"/>
    <w:basedOn w:val="AnnexHead3"/>
    <w:next w:val="BodyText"/>
    <w:qFormat/>
    <w:rsid w:val="000418CA"/>
    <w:pPr>
      <w:numPr>
        <w:ilvl w:val="3"/>
      </w:numPr>
    </w:pPr>
    <w:rPr>
      <w:smallCaps w:val="0"/>
      <w:sz w:val="22"/>
    </w:rPr>
  </w:style>
  <w:style w:customStyle="1" w:styleId="AnnexHead5" w:type="paragraph">
    <w:name w:val="Annex Head 5"/>
    <w:basedOn w:val="Normal"/>
    <w:next w:val="BodyText"/>
    <w:qFormat/>
    <w:rsid w:val="000418CA"/>
    <w:pPr>
      <w:numPr>
        <w:ilvl w:val="4"/>
        <w:numId w:val="1"/>
      </w:numPr>
      <w:spacing w:before="120" w:line="240" w:lineRule="auto"/>
      <w:ind w:hanging="1701" w:left="1701"/>
    </w:pPr>
    <w:rPr>
      <w:rFonts w:cs="Calibri" w:eastAsia="Calibri"/>
      <w:color w:val="00558C"/>
      <w:lang w:eastAsia="en-GB"/>
    </w:rPr>
  </w:style>
  <w:style w:styleId="CommentReference" w:type="character">
    <w:name w:val="annotation reference"/>
    <w:basedOn w:val="DefaultParagraphFont"/>
    <w:unhideWhenUsed/>
    <w:rsid w:val="00380350"/>
    <w:rPr>
      <w:noProof w:val="0"/>
      <w:sz w:val="18"/>
      <w:szCs w:val="18"/>
      <w:lang w:val="en-GB"/>
    </w:rPr>
  </w:style>
  <w:style w:styleId="CommentText" w:type="paragraph">
    <w:name w:val="annotation text"/>
    <w:basedOn w:val="Normal"/>
    <w:link w:val="CommentTextChar"/>
    <w:unhideWhenUsed/>
    <w:rsid w:val="00380350"/>
    <w:pPr>
      <w:spacing w:line="240" w:lineRule="auto"/>
    </w:pPr>
    <w:rPr>
      <w:sz w:val="24"/>
      <w:szCs w:val="24"/>
    </w:rPr>
  </w:style>
  <w:style w:customStyle="1" w:styleId="CommentTextChar" w:type="character">
    <w:name w:val="Comment Text Char"/>
    <w:basedOn w:val="DefaultParagraphFont"/>
    <w:link w:val="CommentText"/>
    <w:rsid w:val="00380350"/>
    <w:rPr>
      <w:sz w:val="24"/>
      <w:szCs w:val="24"/>
      <w:lang w:val="en-GB"/>
    </w:rPr>
  </w:style>
  <w:style w:styleId="CommentSubject" w:type="paragraph">
    <w:name w:val="annotation subject"/>
    <w:basedOn w:val="CommentText"/>
    <w:next w:val="CommentText"/>
    <w:link w:val="CommentSubjectChar"/>
    <w:unhideWhenUsed/>
    <w:rsid w:val="00B70BD4"/>
    <w:rPr>
      <w:b/>
      <w:bCs/>
      <w:sz w:val="20"/>
      <w:szCs w:val="20"/>
    </w:rPr>
  </w:style>
  <w:style w:customStyle="1" w:styleId="CommentSubjectChar" w:type="character">
    <w:name w:val="Comment Subject Char"/>
    <w:basedOn w:val="CommentTextChar"/>
    <w:link w:val="CommentSubject"/>
    <w:rsid w:val="00B70BD4"/>
    <w:rPr>
      <w:b/>
      <w:bCs/>
      <w:sz w:val="20"/>
      <w:szCs w:val="20"/>
      <w:lang w:val="en-US"/>
    </w:rPr>
  </w:style>
  <w:style w:styleId="BodyTextIndent3" w:type="paragraph">
    <w:name w:val="Body Text Indent 3"/>
    <w:basedOn w:val="Normal"/>
    <w:link w:val="BodyTextIndent3Char"/>
    <w:semiHidden/>
    <w:unhideWhenUsed/>
    <w:rsid w:val="00CF49CC"/>
    <w:pPr>
      <w:ind w:left="360"/>
    </w:pPr>
    <w:rPr>
      <w:sz w:val="16"/>
      <w:szCs w:val="16"/>
    </w:rPr>
  </w:style>
  <w:style w:customStyle="1" w:styleId="BodyTextIndent3Char" w:type="character">
    <w:name w:val="Body Text Indent 3 Char"/>
    <w:basedOn w:val="DefaultParagraphFont"/>
    <w:link w:val="BodyTextIndent3"/>
    <w:semiHidden/>
    <w:rsid w:val="00CF49CC"/>
    <w:rPr>
      <w:sz w:val="16"/>
      <w:szCs w:val="16"/>
      <w:lang w:val="en-GB"/>
    </w:rPr>
  </w:style>
  <w:style w:customStyle="1" w:styleId="InsetList" w:type="paragraph">
    <w:name w:val="Inset List"/>
    <w:basedOn w:val="Normal"/>
    <w:qFormat/>
    <w:rsid w:val="006E10BF"/>
    <w:pPr>
      <w:numPr>
        <w:numId w:val="5"/>
      </w:numPr>
      <w:jc w:val="both"/>
    </w:pPr>
  </w:style>
  <w:style w:customStyle="1" w:styleId="ListofFigures" w:type="paragraph">
    <w:name w:val="List of Figures"/>
    <w:basedOn w:val="Normal"/>
    <w:next w:val="Normal"/>
    <w:rsid w:val="00CF49CC"/>
    <w:pPr>
      <w:spacing w:after="240" w:line="480" w:lineRule="atLeast"/>
    </w:pPr>
    <w:rPr>
      <w:b/>
      <w:color w:themeColor="accent2" w:val="009FE3"/>
      <w:sz w:val="40"/>
      <w:szCs w:val="40"/>
    </w:rPr>
  </w:style>
  <w:style w:customStyle="1" w:styleId="TableCaption" w:type="paragraph">
    <w:name w:val="Table Caption"/>
    <w:basedOn w:val="Caption"/>
    <w:next w:val="BodyText"/>
    <w:qFormat/>
    <w:rsid w:val="001105AF"/>
    <w:pPr>
      <w:keepNext/>
      <w:numPr>
        <w:numId w:val="3"/>
      </w:numPr>
      <w:tabs>
        <w:tab w:pos="851" w:val="left"/>
      </w:tabs>
      <w:spacing w:after="240" w:before="240"/>
      <w:jc w:val="center"/>
    </w:pPr>
    <w:rPr>
      <w:b w:val="0"/>
      <w:u w:val="none"/>
    </w:rPr>
  </w:style>
  <w:style w:styleId="ListNumber" w:type="paragraph">
    <w:name w:val="List Number"/>
    <w:basedOn w:val="Normal"/>
    <w:semiHidden/>
    <w:rsid w:val="006E10BF"/>
    <w:pPr>
      <w:numPr>
        <w:numId w:val="6"/>
      </w:numPr>
      <w:contextualSpacing/>
    </w:pPr>
  </w:style>
  <w:style w:styleId="TOC4" w:type="paragraph">
    <w:name w:val="toc 4"/>
    <w:basedOn w:val="Normal"/>
    <w:next w:val="Normal"/>
    <w:autoRedefine/>
    <w:uiPriority w:val="39"/>
    <w:unhideWhenUsed/>
    <w:rsid w:val="00CD0232"/>
    <w:pPr>
      <w:tabs>
        <w:tab w:leader="dot" w:pos="9781" w:val="right"/>
        <w:tab w:leader="dot" w:pos="10195" w:val="right"/>
      </w:tabs>
      <w:ind w:hanging="1418" w:left="1418" w:right="425"/>
    </w:pPr>
    <w:rPr>
      <w:b/>
      <w:caps/>
      <w:color w:val="00558C"/>
    </w:rPr>
  </w:style>
  <w:style w:styleId="FootnoteText" w:type="paragraph">
    <w:name w:val="footnote text"/>
    <w:basedOn w:val="Normal"/>
    <w:link w:val="FootnoteTextChar"/>
    <w:uiPriority w:val="9"/>
    <w:unhideWhenUsed/>
    <w:qFormat/>
    <w:rsid w:val="00332A7B"/>
    <w:pPr>
      <w:tabs>
        <w:tab w:pos="425" w:val="left"/>
      </w:tabs>
      <w:spacing w:line="240" w:lineRule="auto"/>
      <w:ind w:hanging="425" w:left="425"/>
    </w:pPr>
    <w:rPr>
      <w:szCs w:val="24"/>
      <w:vertAlign w:val="superscript"/>
    </w:rPr>
  </w:style>
  <w:style w:customStyle="1" w:styleId="FootnoteTextChar" w:type="character">
    <w:name w:val="Footnote Text Char"/>
    <w:basedOn w:val="DefaultParagraphFont"/>
    <w:link w:val="FootnoteText"/>
    <w:uiPriority w:val="9"/>
    <w:rsid w:val="00332A7B"/>
    <w:rPr>
      <w:sz w:val="18"/>
      <w:szCs w:val="24"/>
      <w:vertAlign w:val="superscript"/>
      <w:lang w:val="en-GB"/>
    </w:rPr>
  </w:style>
  <w:style w:styleId="FootnoteReference" w:type="character">
    <w:name w:val="footnote reference"/>
    <w:rsid w:val="00DD69FB"/>
    <w:rPr>
      <w:rFonts w:asciiTheme="minorHAnsi" w:hAnsiTheme="minorHAnsi"/>
      <w:sz w:val="20"/>
      <w:vertAlign w:val="superscript"/>
    </w:rPr>
  </w:style>
  <w:style w:styleId="PageNumber" w:type="character">
    <w:name w:val="page number"/>
    <w:rsid w:val="006C48F9"/>
    <w:rPr>
      <w:rFonts w:asciiTheme="minorHAnsi" w:hAnsiTheme="minorHAnsi"/>
      <w:sz w:val="15"/>
    </w:rPr>
  </w:style>
  <w:style w:customStyle="1" w:styleId="Footereditionno" w:type="paragraph">
    <w:name w:val="Footer edition no."/>
    <w:basedOn w:val="Normal"/>
    <w:rsid w:val="00F74309"/>
    <w:pPr>
      <w:tabs>
        <w:tab w:pos="10206" w:val="right"/>
      </w:tabs>
    </w:pPr>
    <w:rPr>
      <w:b/>
      <w:color w:val="00558C"/>
      <w:sz w:val="15"/>
    </w:rPr>
  </w:style>
  <w:style w:customStyle="1" w:styleId="Lista" w:type="paragraph">
    <w:name w:val="List a"/>
    <w:basedOn w:val="Normal"/>
    <w:qFormat/>
    <w:rsid w:val="008310C9"/>
    <w:pPr>
      <w:numPr>
        <w:ilvl w:val="1"/>
        <w:numId w:val="15"/>
      </w:numPr>
      <w:spacing w:line="240" w:lineRule="auto"/>
      <w:jc w:val="both"/>
    </w:pPr>
    <w:rPr>
      <w:rFonts w:cs="Times New Roman" w:eastAsia="Times New Roman"/>
      <w:szCs w:val="20"/>
      <w:lang w:eastAsia="en-GB"/>
    </w:rPr>
  </w:style>
  <w:style w:styleId="ArticleSection" w:type="numbering">
    <w:name w:val="Outline List 3"/>
    <w:basedOn w:val="NoList"/>
    <w:rsid w:val="006E10BF"/>
    <w:pPr>
      <w:numPr>
        <w:numId w:val="4"/>
      </w:numPr>
    </w:pPr>
  </w:style>
  <w:style w:styleId="TOC5" w:type="paragraph">
    <w:name w:val="toc 5"/>
    <w:basedOn w:val="Normal"/>
    <w:next w:val="Normal"/>
    <w:autoRedefine/>
    <w:uiPriority w:val="39"/>
    <w:rsid w:val="00CD0232"/>
    <w:pPr>
      <w:tabs>
        <w:tab w:leader="dot" w:pos="9781" w:val="right"/>
        <w:tab w:leader="dot" w:pos="10206" w:val="right"/>
      </w:tabs>
      <w:spacing w:after="60" w:before="60" w:line="240" w:lineRule="auto"/>
      <w:ind w:hanging="1418" w:left="1418" w:right="425"/>
    </w:pPr>
    <w:rPr>
      <w:rFonts w:cs="Times New Roman" w:eastAsia="Times New Roman"/>
      <w:b/>
      <w:caps/>
      <w:color w:val="00558C"/>
      <w:szCs w:val="20"/>
    </w:rPr>
  </w:style>
  <w:style w:styleId="TOC6" w:type="paragraph">
    <w:name w:val="toc 6"/>
    <w:basedOn w:val="Normal"/>
    <w:next w:val="Normal"/>
    <w:autoRedefine/>
    <w:rsid w:val="00CF49CC"/>
    <w:pPr>
      <w:spacing w:line="240" w:lineRule="auto"/>
      <w:ind w:left="960"/>
    </w:pPr>
    <w:rPr>
      <w:rFonts w:ascii="Arial" w:cs="Times New Roman" w:eastAsia="Times New Roman" w:hAnsi="Arial"/>
      <w:sz w:val="20"/>
      <w:szCs w:val="20"/>
    </w:rPr>
  </w:style>
  <w:style w:styleId="TOC7" w:type="paragraph">
    <w:name w:val="toc 7"/>
    <w:basedOn w:val="Normal"/>
    <w:next w:val="Normal"/>
    <w:autoRedefine/>
    <w:rsid w:val="00CF49CC"/>
    <w:pPr>
      <w:spacing w:line="240" w:lineRule="auto"/>
      <w:ind w:left="1200"/>
    </w:pPr>
    <w:rPr>
      <w:rFonts w:ascii="Arial" w:cs="Times New Roman" w:eastAsia="Times New Roman" w:hAnsi="Arial"/>
      <w:sz w:val="20"/>
      <w:szCs w:val="20"/>
    </w:rPr>
  </w:style>
  <w:style w:styleId="TOC8" w:type="paragraph">
    <w:name w:val="toc 8"/>
    <w:basedOn w:val="Normal"/>
    <w:next w:val="Normal"/>
    <w:autoRedefine/>
    <w:rsid w:val="00CF49CC"/>
    <w:pPr>
      <w:spacing w:line="240" w:lineRule="auto"/>
      <w:ind w:left="1440"/>
    </w:pPr>
    <w:rPr>
      <w:rFonts w:ascii="Arial" w:cs="Times New Roman" w:eastAsia="Times New Roman" w:hAnsi="Arial"/>
      <w:sz w:val="20"/>
      <w:szCs w:val="20"/>
    </w:rPr>
  </w:style>
  <w:style w:styleId="TOC9" w:type="paragraph">
    <w:name w:val="toc 9"/>
    <w:basedOn w:val="Normal"/>
    <w:next w:val="Normal"/>
    <w:autoRedefine/>
    <w:rsid w:val="00CF49CC"/>
    <w:pPr>
      <w:spacing w:line="240" w:lineRule="auto"/>
      <w:ind w:left="1680"/>
    </w:pPr>
    <w:rPr>
      <w:rFonts w:ascii="Arial" w:cs="Times New Roman" w:eastAsia="Times New Roman" w:hAnsi="Arial"/>
      <w:sz w:val="20"/>
      <w:szCs w:val="20"/>
    </w:rPr>
  </w:style>
  <w:style w:customStyle="1" w:styleId="Listi" w:type="paragraph">
    <w:name w:val="List i"/>
    <w:basedOn w:val="Listitext"/>
    <w:qFormat/>
    <w:rsid w:val="00FF418D"/>
    <w:pPr>
      <w:numPr>
        <w:ilvl w:val="2"/>
        <w:numId w:val="15"/>
      </w:numPr>
      <w:ind w:hanging="425" w:left="1701"/>
    </w:pPr>
  </w:style>
  <w:style w:customStyle="1" w:styleId="Listitext" w:type="paragraph">
    <w:name w:val="List i text"/>
    <w:basedOn w:val="Normal"/>
    <w:qFormat/>
    <w:rsid w:val="00FF418D"/>
    <w:pPr>
      <w:ind w:hanging="567" w:left="2268"/>
    </w:pPr>
    <w:rPr>
      <w:sz w:val="20"/>
    </w:rPr>
  </w:style>
  <w:style w:customStyle="1" w:styleId="Bullet1text" w:type="paragraph">
    <w:name w:val="Bullet 1 text"/>
    <w:basedOn w:val="Normal"/>
    <w:qFormat/>
    <w:rsid w:val="008310C9"/>
    <w:pPr>
      <w:suppressAutoHyphens/>
      <w:spacing w:line="240" w:lineRule="auto"/>
      <w:ind w:left="992"/>
      <w:jc w:val="both"/>
    </w:pPr>
    <w:rPr>
      <w:rFonts w:cs="Times New Roman" w:eastAsia="Times New Roman"/>
      <w:szCs w:val="20"/>
      <w:lang w:eastAsia="en-GB"/>
    </w:rPr>
  </w:style>
  <w:style w:customStyle="1" w:styleId="Bullet2text" w:type="paragraph">
    <w:name w:val="Bullet 2 text"/>
    <w:basedOn w:val="Normal"/>
    <w:qFormat/>
    <w:rsid w:val="008310C9"/>
    <w:pPr>
      <w:suppressAutoHyphens/>
      <w:spacing w:line="240" w:lineRule="auto"/>
      <w:ind w:hanging="425" w:left="1701"/>
      <w:jc w:val="both"/>
    </w:pPr>
    <w:rPr>
      <w:rFonts w:cs="Times New Roman" w:eastAsia="Times New Roman"/>
      <w:szCs w:val="20"/>
      <w:lang w:eastAsia="en-GB"/>
    </w:rPr>
  </w:style>
  <w:style w:customStyle="1" w:styleId="Bullet3" w:type="paragraph">
    <w:name w:val="Bullet 3"/>
    <w:basedOn w:val="Normal"/>
    <w:qFormat/>
    <w:rsid w:val="008310C9"/>
    <w:pPr>
      <w:numPr>
        <w:numId w:val="13"/>
      </w:numPr>
      <w:spacing w:line="240" w:lineRule="auto"/>
      <w:ind w:hanging="425" w:left="1701"/>
    </w:pPr>
    <w:rPr>
      <w:rFonts w:cs="Times New Roman" w:eastAsia="Times New Roman"/>
      <w:sz w:val="20"/>
      <w:szCs w:val="20"/>
      <w:lang w:eastAsia="en-GB"/>
    </w:rPr>
  </w:style>
  <w:style w:customStyle="1" w:styleId="Bullet3text" w:type="paragraph">
    <w:name w:val="Bullet 3 text"/>
    <w:basedOn w:val="Normal"/>
    <w:qFormat/>
    <w:rsid w:val="008310C9"/>
    <w:pPr>
      <w:suppressAutoHyphens/>
      <w:spacing w:line="240" w:lineRule="auto"/>
      <w:ind w:left="1701"/>
    </w:pPr>
    <w:rPr>
      <w:rFonts w:cs="Times New Roman" w:eastAsia="Times New Roman"/>
      <w:sz w:val="20"/>
      <w:szCs w:val="20"/>
      <w:lang w:eastAsia="en-GB"/>
    </w:rPr>
  </w:style>
  <w:style w:customStyle="1" w:styleId="List1" w:type="paragraph">
    <w:name w:val="List 1"/>
    <w:basedOn w:val="Normal"/>
    <w:qFormat/>
    <w:rsid w:val="008310C9"/>
    <w:pPr>
      <w:numPr>
        <w:numId w:val="14"/>
      </w:numPr>
      <w:spacing w:line="240" w:lineRule="auto"/>
      <w:jc w:val="both"/>
    </w:pPr>
    <w:rPr>
      <w:rFonts w:cs="Times New Roman" w:eastAsia="Times New Roman"/>
      <w:szCs w:val="20"/>
      <w:lang w:eastAsia="en-GB"/>
    </w:rPr>
  </w:style>
  <w:style w:customStyle="1" w:styleId="List1text" w:type="paragraph">
    <w:name w:val="List 1 text"/>
    <w:basedOn w:val="Normal"/>
    <w:qFormat/>
    <w:rsid w:val="008310C9"/>
    <w:pPr>
      <w:spacing w:line="240" w:lineRule="auto"/>
      <w:ind w:left="567"/>
      <w:jc w:val="both"/>
    </w:pPr>
    <w:rPr>
      <w:rFonts w:cs="Times New Roman" w:eastAsia="Times New Roman"/>
      <w:szCs w:val="20"/>
      <w:lang w:eastAsia="en-GB"/>
    </w:rPr>
  </w:style>
  <w:style w:styleId="DocumentMap" w:type="paragraph">
    <w:name w:val="Document Map"/>
    <w:basedOn w:val="Normal"/>
    <w:link w:val="DocumentMapChar"/>
    <w:rsid w:val="008972C3"/>
    <w:pPr>
      <w:shd w:color="auto" w:fill="000080" w:val="clear"/>
      <w:spacing w:line="240" w:lineRule="auto"/>
    </w:pPr>
    <w:rPr>
      <w:rFonts w:ascii="Tahoma" w:cs="Times New Roman" w:eastAsia="Times New Roman" w:hAnsi="Tahoma"/>
      <w:sz w:val="20"/>
      <w:szCs w:val="24"/>
      <w:lang w:eastAsia="de-DE" w:val="de-DE"/>
    </w:rPr>
  </w:style>
  <w:style w:customStyle="1" w:styleId="DocumentMapChar" w:type="character">
    <w:name w:val="Document Map Char"/>
    <w:basedOn w:val="DefaultParagraphFont"/>
    <w:link w:val="DocumentMap"/>
    <w:rsid w:val="008972C3"/>
    <w:rPr>
      <w:rFonts w:ascii="Tahoma" w:cs="Times New Roman" w:eastAsia="Times New Roman" w:hAnsi="Tahoma"/>
      <w:sz w:val="20"/>
      <w:szCs w:val="24"/>
      <w:shd w:color="auto" w:fill="000080" w:val="clear"/>
      <w:lang w:eastAsia="de-DE" w:val="de-DE"/>
    </w:rPr>
  </w:style>
  <w:style w:styleId="FollowedHyperlink" w:type="character">
    <w:name w:val="FollowedHyperlink"/>
    <w:rsid w:val="008972C3"/>
    <w:rPr>
      <w:color w:val="800080"/>
      <w:u w:val="single"/>
    </w:rPr>
  </w:style>
  <w:style w:styleId="NormalWeb" w:type="paragraph">
    <w:name w:val="Normal (Web)"/>
    <w:basedOn w:val="Normal"/>
    <w:uiPriority w:val="99"/>
    <w:rsid w:val="00CF49CC"/>
    <w:pPr>
      <w:spacing w:line="240" w:lineRule="auto"/>
    </w:pPr>
    <w:rPr>
      <w:rFonts w:ascii="Arial" w:cs="Times New Roman" w:eastAsia="Times New Roman" w:hAnsi="Arial"/>
      <w:szCs w:val="24"/>
    </w:rPr>
  </w:style>
  <w:style w:customStyle="1" w:styleId="TableofTables" w:type="paragraph">
    <w:name w:val="Table of Tables"/>
    <w:basedOn w:val="TableofFigures"/>
    <w:rsid w:val="00257E4A"/>
    <w:pPr>
      <w:tabs>
        <w:tab w:pos="1134" w:val="left"/>
        <w:tab w:pos="9781" w:val="right"/>
      </w:tabs>
    </w:pPr>
  </w:style>
  <w:style w:styleId="Emphasis" w:type="character">
    <w:name w:val="Emphasis"/>
    <w:rsid w:val="008972C3"/>
    <w:rPr>
      <w:i/>
      <w:iCs/>
    </w:rPr>
  </w:style>
  <w:style w:styleId="HTMLCite" w:type="character">
    <w:name w:val="HTML Cite"/>
    <w:rsid w:val="008972C3"/>
    <w:rPr>
      <w:i/>
      <w:iCs/>
    </w:rPr>
  </w:style>
  <w:style w:customStyle="1" w:styleId="Default" w:type="paragraph">
    <w:name w:val="Default"/>
    <w:rsid w:val="00380350"/>
    <w:pPr>
      <w:autoSpaceDE w:val="0"/>
      <w:autoSpaceDN w:val="0"/>
      <w:adjustRightInd w:val="0"/>
      <w:spacing w:after="0" w:line="240" w:lineRule="auto"/>
    </w:pPr>
    <w:rPr>
      <w:rFonts w:ascii="Arial" w:cs="Arial" w:eastAsia="Times New Roman" w:hAnsi="Arial"/>
      <w:color w:val="000000"/>
      <w:sz w:val="24"/>
      <w:szCs w:val="24"/>
      <w:lang w:eastAsia="en-GB" w:val="en-GB"/>
    </w:rPr>
  </w:style>
  <w:style w:customStyle="1" w:styleId="TableGrid1" w:type="table">
    <w:name w:val="Table Grid1"/>
    <w:basedOn w:val="TableNormal"/>
    <w:next w:val="TableGrid"/>
    <w:uiPriority w:val="59"/>
    <w:rsid w:val="008972C3"/>
    <w:pPr>
      <w:spacing w:after="0" w:line="240" w:lineRule="auto"/>
    </w:pPr>
    <w:rPr>
      <w:lang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OCHeading" w:type="paragraph">
    <w:name w:val="TOC Heading"/>
    <w:basedOn w:val="Heading1"/>
    <w:next w:val="Normal"/>
    <w:uiPriority w:val="39"/>
    <w:unhideWhenUsed/>
    <w:rsid w:val="008972C3"/>
    <w:pPr>
      <w:numPr>
        <w:numId w:val="0"/>
      </w:numPr>
      <w:spacing w:before="480" w:line="276" w:lineRule="auto"/>
      <w:outlineLvl w:val="9"/>
    </w:pPr>
    <w:rPr>
      <w:caps w:val="0"/>
      <w:color w:themeColor="accent1" w:themeShade="BF" w:val="003F68"/>
      <w:szCs w:val="28"/>
      <w:lang w:val="sv-SE"/>
    </w:rPr>
  </w:style>
  <w:style w:customStyle="1" w:styleId="Tableinsetlist" w:type="paragraph">
    <w:name w:val="Table inset list"/>
    <w:basedOn w:val="InsetList"/>
    <w:rsid w:val="004D6C87"/>
    <w:pPr>
      <w:numPr>
        <w:numId w:val="2"/>
      </w:numPr>
      <w:spacing w:before="120"/>
      <w:contextualSpacing/>
    </w:pPr>
    <w:rPr>
      <w:sz w:val="20"/>
    </w:rPr>
  </w:style>
  <w:style w:customStyle="1" w:styleId="Textedesaisie" w:type="paragraph">
    <w:name w:val="Texte de saisie"/>
    <w:basedOn w:val="Normal"/>
    <w:link w:val="TextedesaisieCar"/>
    <w:rsid w:val="00EA4F29"/>
    <w:rPr>
      <w:color w:themeColor="text1" w:val="000000"/>
    </w:rPr>
  </w:style>
  <w:style w:customStyle="1" w:styleId="TextedesaisieCar" w:type="character">
    <w:name w:val="Texte de saisie Car"/>
    <w:basedOn w:val="DefaultParagraphFont"/>
    <w:link w:val="Textedesaisie"/>
    <w:rsid w:val="00EA4F29"/>
    <w:rPr>
      <w:color w:themeColor="text1" w:val="000000"/>
      <w:lang w:val="en-GB"/>
    </w:rPr>
  </w:style>
  <w:style w:customStyle="1" w:styleId="AnnexTablecaption" w:type="paragraph">
    <w:name w:val="Annex Table caption"/>
    <w:basedOn w:val="BodyText"/>
    <w:qFormat/>
    <w:rsid w:val="002176C4"/>
    <w:pPr>
      <w:numPr>
        <w:numId w:val="18"/>
      </w:numPr>
      <w:jc w:val="center"/>
    </w:pPr>
    <w:rPr>
      <w:i/>
      <w:color w:val="00558C"/>
      <w:lang w:eastAsia="en-GB"/>
    </w:rPr>
  </w:style>
  <w:style w:customStyle="1" w:styleId="ImageCaption" w:type="paragraph">
    <w:name w:val="Image Caption"/>
    <w:basedOn w:val="Caption"/>
    <w:next w:val="BodyText"/>
    <w:qFormat/>
    <w:rsid w:val="00833936"/>
    <w:pPr>
      <w:numPr>
        <w:numId w:val="19"/>
      </w:numPr>
      <w:spacing w:after="240" w:before="240"/>
      <w:jc w:val="center"/>
    </w:pPr>
    <w:rPr>
      <w:b w:val="0"/>
      <w:u w:val="none"/>
    </w:rPr>
  </w:style>
  <w:style w:styleId="NoSpacing" w:type="paragraph">
    <w:name w:val="No Spacing"/>
    <w:uiPriority w:val="1"/>
    <w:rsid w:val="00C55EFB"/>
    <w:pPr>
      <w:spacing w:after="0" w:line="240" w:lineRule="auto"/>
    </w:pPr>
    <w:rPr>
      <w:sz w:val="18"/>
      <w:lang w:val="en-GB"/>
    </w:rPr>
  </w:style>
  <w:style w:customStyle="1" w:styleId="Abbreviations" w:type="paragraph">
    <w:name w:val="Abbreviations"/>
    <w:basedOn w:val="Normal"/>
    <w:qFormat/>
    <w:rsid w:val="000B577B"/>
    <w:pPr>
      <w:spacing w:after="60"/>
      <w:ind w:hanging="1418" w:left="1418"/>
    </w:pPr>
  </w:style>
  <w:style w:customStyle="1" w:styleId="Tableheading" w:type="paragraph">
    <w:name w:val="Table heading"/>
    <w:basedOn w:val="Normal"/>
    <w:qFormat/>
    <w:rsid w:val="00983287"/>
    <w:pPr>
      <w:spacing w:after="60" w:before="60"/>
      <w:ind w:left="113" w:right="113"/>
      <w:jc w:val="center"/>
    </w:pPr>
    <w:rPr>
      <w:b/>
      <w:color w:val="00558C"/>
      <w:sz w:val="20"/>
      <w:lang w:val="en-US"/>
    </w:rPr>
  </w:style>
  <w:style w:customStyle="1" w:styleId="Appendix" w:type="paragraph">
    <w:name w:val="Appendix"/>
    <w:next w:val="BodyText"/>
    <w:qFormat/>
    <w:rsid w:val="00E5035D"/>
    <w:pPr>
      <w:numPr>
        <w:numId w:val="7"/>
      </w:numPr>
      <w:spacing w:after="240" w:before="120" w:line="240" w:lineRule="auto"/>
    </w:pPr>
    <w:rPr>
      <w:rFonts w:asciiTheme="majorHAnsi" w:cs="Calibri" w:eastAsia="Calibri" w:hAnsiTheme="majorHAnsi"/>
      <w:b/>
      <w:bCs/>
      <w:caps/>
      <w:color w:val="00558C"/>
      <w:sz w:val="28"/>
      <w:szCs w:val="28"/>
      <w:lang w:val="en-GB"/>
    </w:rPr>
  </w:style>
  <w:style w:customStyle="1" w:styleId="Footerlandscape" w:type="paragraph">
    <w:name w:val="Footer landscape"/>
    <w:basedOn w:val="Normal"/>
    <w:rsid w:val="00C716E5"/>
    <w:pPr>
      <w:pBdr>
        <w:top w:color="auto" w:space="1" w:sz="4" w:val="single"/>
      </w:pBdr>
      <w:tabs>
        <w:tab w:pos="15309" w:val="right"/>
      </w:tabs>
      <w:adjustRightInd w:val="0"/>
    </w:pPr>
    <w:rPr>
      <w:b/>
      <w:color w:val="00558C"/>
      <w:sz w:val="15"/>
    </w:rPr>
  </w:style>
  <w:style w:customStyle="1" w:styleId="Documentnumber" w:type="paragraph">
    <w:name w:val="Document number"/>
    <w:basedOn w:val="Normal"/>
    <w:next w:val="Normal"/>
    <w:rsid w:val="0026038D"/>
    <w:rPr>
      <w:caps/>
      <w:color w:val="00558C"/>
      <w:sz w:val="50"/>
    </w:rPr>
  </w:style>
  <w:style w:customStyle="1" w:styleId="Documentdate" w:type="paragraph">
    <w:name w:val="Document date"/>
    <w:basedOn w:val="Normal"/>
    <w:rsid w:val="004E0BBB"/>
    <w:rPr>
      <w:b/>
      <w:color w:val="00558C"/>
      <w:sz w:val="28"/>
    </w:rPr>
  </w:style>
  <w:style w:customStyle="1" w:styleId="Footerportrait" w:type="paragraph">
    <w:name w:val="Footer portrait"/>
    <w:basedOn w:val="Normal"/>
    <w:rsid w:val="00C716E5"/>
    <w:pPr>
      <w:pBdr>
        <w:top w:color="auto" w:space="1" w:sz="4" w:val="single"/>
      </w:pBdr>
      <w:tabs>
        <w:tab w:pos="10206" w:val="right"/>
      </w:tabs>
    </w:pPr>
    <w:rPr>
      <w:b/>
      <w:noProof/>
      <w:color w:val="00558C"/>
      <w:sz w:val="15"/>
      <w:lang w:val="en-US"/>
    </w:rPr>
  </w:style>
  <w:style w:customStyle="1" w:styleId="Documentname" w:type="paragraph">
    <w:name w:val="Document name"/>
    <w:basedOn w:val="Documenttype"/>
    <w:rsid w:val="00E21A27"/>
    <w:pPr>
      <w:ind w:left="0" w:right="0"/>
    </w:pPr>
    <w:rPr>
      <w:b w:val="0"/>
      <w:color w:val="00558C"/>
    </w:rPr>
  </w:style>
  <w:style w:styleId="PlaceholderText" w:type="character">
    <w:name w:val="Placeholder Text"/>
    <w:basedOn w:val="DefaultParagraphFont"/>
    <w:uiPriority w:val="99"/>
    <w:semiHidden/>
    <w:rsid w:val="00B643DF"/>
    <w:rPr>
      <w:color w:val="808080"/>
    </w:rPr>
  </w:style>
  <w:style w:customStyle="1" w:styleId="Style1" w:type="paragraph">
    <w:name w:val="Style1"/>
    <w:basedOn w:val="Tableheading"/>
    <w:rsid w:val="00982A22"/>
  </w:style>
  <w:style w:customStyle="1" w:styleId="Style2" w:type="paragraph">
    <w:name w:val="Style2"/>
    <w:basedOn w:val="TOC3"/>
    <w:autoRedefine/>
    <w:rsid w:val="009E433C"/>
    <w:pPr>
      <w:tabs>
        <w:tab w:pos="1985" w:val="left"/>
        <w:tab w:pos="10195" w:val="right"/>
      </w:tabs>
    </w:pPr>
    <w:rPr>
      <w:rFonts w:eastAsiaTheme="minorEastAsia"/>
      <w:noProof/>
      <w:sz w:val="24"/>
      <w:szCs w:val="24"/>
      <w:lang w:val="en-US"/>
    </w:rPr>
  </w:style>
  <w:style w:customStyle="1" w:styleId="Headingseparationline-landscape" w:type="paragraph">
    <w:name w:val="Heading separation line - landscape"/>
    <w:basedOn w:val="Heading1separationline"/>
    <w:rsid w:val="00AB76B7"/>
    <w:pPr>
      <w:ind w:right="14317"/>
    </w:pPr>
  </w:style>
  <w:style w:styleId="Title" w:type="paragraph">
    <w:name w:val="Title"/>
    <w:basedOn w:val="Normal"/>
    <w:link w:val="TitleChar"/>
    <w:qFormat/>
    <w:rsid w:val="00FD20C1"/>
    <w:pPr>
      <w:spacing w:after="60" w:before="180" w:line="240" w:lineRule="auto"/>
      <w:jc w:val="center"/>
      <w:outlineLvl w:val="0"/>
    </w:pPr>
    <w:rPr>
      <w:rFonts w:asciiTheme="majorHAnsi" w:cstheme="majorBidi" w:eastAsiaTheme="majorEastAsia" w:hAnsiTheme="majorHAnsi"/>
      <w:b/>
      <w:bCs/>
      <w:caps/>
      <w:color w:val="00558C"/>
      <w:sz w:val="32"/>
      <w:szCs w:val="24"/>
    </w:rPr>
  </w:style>
  <w:style w:customStyle="1" w:styleId="TitleChar" w:type="character">
    <w:name w:val="Title Char"/>
    <w:basedOn w:val="DefaultParagraphFont"/>
    <w:link w:val="Title"/>
    <w:rsid w:val="00FD20C1"/>
    <w:rPr>
      <w:rFonts w:asciiTheme="majorHAnsi" w:cstheme="majorBidi" w:eastAsiaTheme="majorEastAsia" w:hAnsiTheme="majorHAnsi"/>
      <w:b/>
      <w:bCs/>
      <w:caps/>
      <w:color w:val="00558C"/>
      <w:sz w:val="32"/>
      <w:szCs w:val="24"/>
      <w:lang w:val="en-GB"/>
    </w:rPr>
  </w:style>
  <w:style w:styleId="Revision" w:type="paragraph">
    <w:name w:val="Revision"/>
    <w:hidden/>
    <w:uiPriority w:val="99"/>
    <w:semiHidden/>
    <w:rsid w:val="00B250D6"/>
    <w:pPr>
      <w:spacing w:after="0" w:line="240" w:lineRule="auto"/>
    </w:pPr>
    <w:rPr>
      <w:sz w:val="18"/>
      <w:lang w:val="en-GB"/>
    </w:rPr>
  </w:style>
  <w:style w:customStyle="1" w:styleId="Referencetext" w:type="paragraph">
    <w:name w:val="Reference text"/>
    <w:basedOn w:val="Normal"/>
    <w:autoRedefine/>
    <w:rsid w:val="00CB7D0F"/>
    <w:pPr>
      <w:tabs>
        <w:tab w:pos="567" w:val="left"/>
      </w:tabs>
      <w:spacing w:line="240" w:lineRule="auto"/>
      <w:ind w:hanging="567" w:left="1134"/>
    </w:pPr>
    <w:rPr>
      <w:rFonts w:ascii="Calibri" w:cs="Arial" w:eastAsia="Times New Roman" w:hAnsi="Calibri"/>
      <w:szCs w:val="20"/>
      <w:lang w:eastAsia="en-GB"/>
    </w:rPr>
  </w:style>
  <w:style w:customStyle="1" w:styleId="preface6" w:type="paragraph">
    <w:name w:val="preface 6"/>
    <w:basedOn w:val="Heading6"/>
    <w:rsid w:val="00062874"/>
    <w:pPr>
      <w:keepNext w:val="0"/>
      <w:suppressLineNumbers/>
      <w:tabs>
        <w:tab w:pos="1151" w:val="num"/>
      </w:tabs>
      <w:spacing w:before="120" w:line="240" w:lineRule="auto"/>
      <w:ind w:hanging="431" w:left="1151"/>
      <w:jc w:val="both"/>
    </w:pPr>
    <w:rPr>
      <w:rFonts w:ascii="Times New Roman" w:cs="Times New Roman" w:eastAsia="Times New Roman" w:hAnsi="Times New Roman"/>
      <w:iCs w:val="0"/>
      <w:color w:val="auto"/>
      <w:sz w:val="24"/>
      <w:szCs w:val="20"/>
      <w:lang w:eastAsia="en-AU"/>
    </w:rPr>
  </w:style>
  <w:style w:customStyle="1" w:styleId="MRN" w:type="paragraph">
    <w:name w:val="MRN"/>
    <w:basedOn w:val="Normal"/>
    <w:link w:val="MRNChar"/>
    <w:rsid w:val="00E86147"/>
    <w:rPr>
      <w:b/>
      <w:color w:val="00558C"/>
      <w:sz w:val="28"/>
    </w:rPr>
  </w:style>
  <w:style w:customStyle="1" w:styleId="MRNChar" w:type="character">
    <w:name w:val="MRN Char"/>
    <w:basedOn w:val="DefaultParagraphFont"/>
    <w:link w:val="MRN"/>
    <w:rsid w:val="00E86147"/>
    <w:rPr>
      <w:b/>
      <w:color w:val="00558C"/>
      <w:sz w:val="28"/>
      <w:lang w:val="en-GB"/>
    </w:rPr>
  </w:style>
  <w:style w:customStyle="1" w:styleId="Revokes" w:type="paragraph">
    <w:name w:val="Revokes"/>
    <w:basedOn w:val="Documentdate"/>
    <w:link w:val="RevokesChar"/>
    <w:rsid w:val="003F70D2"/>
    <w:rPr>
      <w:i/>
    </w:rPr>
  </w:style>
  <w:style w:customStyle="1" w:styleId="RevokesChar" w:type="character">
    <w:name w:val="Revokes Char"/>
    <w:basedOn w:val="DefaultParagraphFont"/>
    <w:link w:val="Revokes"/>
    <w:rsid w:val="003F70D2"/>
    <w:rPr>
      <w:b/>
      <w:i/>
      <w:color w:val="00558C"/>
      <w:sz w:val="28"/>
      <w:lang w:val="en-GB"/>
    </w:rPr>
  </w:style>
  <w:style w:customStyle="1" w:styleId="Reference" w:type="paragraph">
    <w:name w:val="Reference"/>
    <w:basedOn w:val="Normal"/>
    <w:qFormat/>
    <w:rsid w:val="00CF10E3"/>
    <w:pPr>
      <w:numPr>
        <w:numId w:val="8"/>
      </w:numPr>
      <w:spacing w:after="60" w:before="120" w:line="240" w:lineRule="auto"/>
      <w:jc w:val="both"/>
    </w:pPr>
    <w:rPr>
      <w:rFonts w:cs="Times New Roman" w:eastAsia="Times New Roman"/>
      <w:szCs w:val="20"/>
    </w:rPr>
  </w:style>
  <w:style w:customStyle="1" w:styleId="Equation" w:type="paragraph">
    <w:name w:val="Equation"/>
    <w:basedOn w:val="BodyText"/>
    <w:next w:val="BodyText"/>
    <w:link w:val="EquationChar"/>
    <w:qFormat/>
    <w:rsid w:val="00835EA0"/>
    <w:pPr>
      <w:numPr>
        <w:numId w:val="9"/>
      </w:numPr>
      <w:spacing w:before="60"/>
      <w:jc w:val="right"/>
    </w:pPr>
  </w:style>
  <w:style w:customStyle="1" w:styleId="EquationChar" w:type="character">
    <w:name w:val="Equation Char"/>
    <w:basedOn w:val="BodyTextChar"/>
    <w:link w:val="Equation"/>
    <w:rsid w:val="00835EA0"/>
    <w:rPr>
      <w:lang w:val="en-GB"/>
    </w:rPr>
  </w:style>
  <w:style w:customStyle="1" w:styleId="Furtherreading" w:type="paragraph">
    <w:name w:val="Further reading"/>
    <w:basedOn w:val="BodyText"/>
    <w:link w:val="FurtherreadingChar"/>
    <w:qFormat/>
    <w:rsid w:val="0022582A"/>
    <w:pPr>
      <w:numPr>
        <w:numId w:val="10"/>
      </w:numPr>
      <w:spacing w:before="60"/>
    </w:pPr>
  </w:style>
  <w:style w:customStyle="1" w:styleId="FurtherreadingChar" w:type="character">
    <w:name w:val="Further reading Char"/>
    <w:basedOn w:val="BodyTextChar"/>
    <w:link w:val="Furtherreading"/>
    <w:rsid w:val="0022582A"/>
    <w:rPr>
      <w:lang w:val="en-GB"/>
    </w:rPr>
  </w:style>
  <w:style w:customStyle="1" w:styleId="Documentrevisiontabletitle" w:type="paragraph">
    <w:name w:val="Document revision table title"/>
    <w:basedOn w:val="Normal"/>
    <w:rsid w:val="005D3920"/>
    <w:pPr>
      <w:spacing w:after="60" w:before="60"/>
      <w:ind w:left="113" w:right="113"/>
    </w:pPr>
    <w:rPr>
      <w:b/>
      <w:color w:val="00558C"/>
      <w:sz w:val="20"/>
    </w:rPr>
  </w:style>
  <w:style w:customStyle="1" w:styleId="AnnexFigureCaption" w:type="paragraph">
    <w:name w:val="Annex Figure Caption"/>
    <w:basedOn w:val="BodyText"/>
    <w:link w:val="AnnexFigureCaptionChar"/>
    <w:qFormat/>
    <w:rsid w:val="002176C4"/>
    <w:pPr>
      <w:numPr>
        <w:numId w:val="17"/>
      </w:numPr>
      <w:jc w:val="center"/>
    </w:pPr>
    <w:rPr>
      <w:i/>
      <w:color w:val="00558C"/>
      <w:lang w:eastAsia="en-GB"/>
    </w:rPr>
  </w:style>
  <w:style w:customStyle="1" w:styleId="AnnexFigureCaptionChar" w:type="character">
    <w:name w:val="Annex Figure Caption Char"/>
    <w:basedOn w:val="BodyTextChar"/>
    <w:link w:val="AnnexFigureCaption"/>
    <w:rsid w:val="002176C4"/>
    <w:rPr>
      <w:i/>
      <w:color w:val="00558C"/>
      <w:lang w:eastAsia="en-GB" w:val="en-GB"/>
    </w:rPr>
  </w:style>
  <w:style w:styleId="Index1" w:type="paragraph">
    <w:name w:val="index 1"/>
    <w:basedOn w:val="Normal"/>
    <w:next w:val="Normal"/>
    <w:autoRedefine/>
    <w:semiHidden/>
    <w:unhideWhenUsed/>
    <w:rsid w:val="00326BB4"/>
    <w:pPr>
      <w:spacing w:line="240" w:lineRule="auto"/>
      <w:ind w:hanging="180" w:left="180"/>
    </w:pPr>
  </w:style>
  <w:style w:customStyle="1" w:styleId="AppendixHead1" w:type="paragraph">
    <w:name w:val="Appendix Head 1"/>
    <w:basedOn w:val="Normal"/>
    <w:next w:val="Heading1separationline"/>
    <w:qFormat/>
    <w:rsid w:val="008603E0"/>
    <w:pPr>
      <w:numPr>
        <w:ilvl w:val="1"/>
        <w:numId w:val="7"/>
      </w:numPr>
      <w:spacing w:before="120" w:line="240" w:lineRule="auto"/>
    </w:pPr>
    <w:rPr>
      <w:rFonts w:cs="Arial" w:eastAsia="Calibri"/>
      <w:b/>
      <w:caps/>
      <w:color w:val="00558C"/>
      <w:sz w:val="28"/>
      <w:lang w:eastAsia="en-GB"/>
    </w:rPr>
  </w:style>
  <w:style w:customStyle="1" w:styleId="EmphasisParagraph" w:type="paragraph">
    <w:name w:val="Emphasis Paragraph"/>
    <w:basedOn w:val="BodyText"/>
    <w:next w:val="BodyText"/>
    <w:link w:val="EmphasisParagraphChar"/>
    <w:rsid w:val="00202CB2"/>
    <w:pPr>
      <w:ind w:left="425" w:right="709"/>
    </w:pPr>
    <w:rPr>
      <w:i/>
    </w:rPr>
  </w:style>
  <w:style w:customStyle="1" w:styleId="EmphasisParagraphChar" w:type="character">
    <w:name w:val="Emphasis Paragraph Char"/>
    <w:basedOn w:val="BodyTextChar"/>
    <w:link w:val="EmphasisParagraph"/>
    <w:rsid w:val="00202CB2"/>
    <w:rPr>
      <w:i/>
      <w:lang w:val="en-GB"/>
    </w:rPr>
  </w:style>
  <w:style w:customStyle="1" w:styleId="Quotationparagraph" w:type="paragraph">
    <w:name w:val="Quotation paragraph"/>
    <w:basedOn w:val="BodyText"/>
    <w:link w:val="QuotationparagraphChar"/>
    <w:qFormat/>
    <w:rsid w:val="00A800A9"/>
    <w:pPr>
      <w:suppressAutoHyphens/>
      <w:ind w:left="567" w:right="707"/>
    </w:pPr>
  </w:style>
  <w:style w:customStyle="1" w:styleId="QuotationparagraphChar" w:type="character">
    <w:name w:val="Quotation paragraph Char"/>
    <w:basedOn w:val="BodyTextChar"/>
    <w:link w:val="Quotationparagraph"/>
    <w:rsid w:val="00A800A9"/>
    <w:rPr>
      <w:lang w:val="en-GB"/>
    </w:rPr>
  </w:style>
  <w:style w:customStyle="1" w:styleId="SourceCode" w:type="paragraph">
    <w:name w:val="Source Code"/>
    <w:basedOn w:val="Normal"/>
    <w:rsid w:val="00F219A9"/>
    <w:pPr>
      <w:wordWrap w:val="0"/>
    </w:pPr>
    <w:rPr>
      <w:rFonts w:ascii="Consolas" w:hAnsi="Consolas"/>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customStyle="1" w:styleId="FirstParagraph" w:type="paragraph">
    <w:name w:val="First Paragraph"/>
    <w:basedOn w:val="BodyText"/>
    <w:next w:val="BodyText"/>
    <w:link w:val="FirstParagraphChar"/>
    <w:qFormat/>
    <w:rsid w:val="00E45876"/>
  </w:style>
  <w:style w:customStyle="1" w:styleId="FirstParagraphChar" w:type="character">
    <w:name w:val="First Paragraph Char"/>
    <w:basedOn w:val="BodyTextChar"/>
    <w:link w:val="FirstParagraph"/>
    <w:rsid w:val="00E45876"/>
    <w:rPr>
      <w:lang w:val="en-GB"/>
    </w:rPr>
  </w:style>
  <w:style w:customStyle="1" w:styleId="Compact" w:type="paragraph">
    <w:name w:val="Compact"/>
    <w:basedOn w:val="BodyText"/>
    <w:link w:val="CompactChar"/>
    <w:qFormat/>
    <w:rsid w:val="006D1175"/>
    <w:pPr>
      <w:spacing w:after="36" w:before="36" w:line="240" w:lineRule="auto"/>
      <w:jc w:val="left"/>
    </w:pPr>
    <w:rPr>
      <w:sz w:val="20"/>
      <w:szCs w:val="24"/>
      <w:lang w:val="en-US"/>
    </w:rPr>
  </w:style>
  <w:style w:styleId="Subtitle" w:type="paragraph">
    <w:name w:val="Subtitle"/>
    <w:basedOn w:val="Title"/>
    <w:next w:val="BodyText"/>
    <w:link w:val="SubtitleChar"/>
    <w:qFormat/>
    <w:rsid w:val="001B2745"/>
    <w:pPr>
      <w:keepNext/>
      <w:keepLines/>
      <w:spacing w:after="240" w:before="240"/>
      <w:outlineLvl w:val="9"/>
    </w:pPr>
    <w:rPr>
      <w:caps w:val="0"/>
      <w:color w:themeColor="accent1" w:themeShade="B5" w:val="003B63"/>
      <w:sz w:val="30"/>
      <w:szCs w:val="30"/>
      <w:lang w:val="en-US"/>
    </w:rPr>
  </w:style>
  <w:style w:customStyle="1" w:styleId="SubtitleChar" w:type="character">
    <w:name w:val="Subtitle Char"/>
    <w:basedOn w:val="DefaultParagraphFont"/>
    <w:link w:val="Subtitle"/>
    <w:rsid w:val="001B2745"/>
    <w:rPr>
      <w:rFonts w:asciiTheme="majorHAnsi" w:cstheme="majorBidi" w:eastAsiaTheme="majorEastAsia" w:hAnsiTheme="majorHAnsi"/>
      <w:b/>
      <w:bCs/>
      <w:color w:themeColor="accent1" w:themeShade="B5" w:val="003B63"/>
      <w:sz w:val="30"/>
      <w:szCs w:val="30"/>
      <w:lang w:val="en-US"/>
    </w:rPr>
  </w:style>
  <w:style w:customStyle="1" w:styleId="Author" w:type="paragraph">
    <w:name w:val="Author"/>
    <w:next w:val="BodyText"/>
    <w:qFormat/>
    <w:rsid w:val="001B2745"/>
    <w:pPr>
      <w:keepNext/>
      <w:keepLines/>
      <w:spacing w:line="240" w:lineRule="auto"/>
      <w:jc w:val="center"/>
    </w:pPr>
    <w:rPr>
      <w:sz w:val="24"/>
      <w:szCs w:val="24"/>
      <w:lang w:val="en-US"/>
    </w:rPr>
  </w:style>
  <w:style w:styleId="Date" w:type="paragraph">
    <w:name w:val="Date"/>
    <w:next w:val="BodyText"/>
    <w:link w:val="DateChar"/>
    <w:qFormat/>
    <w:rsid w:val="001B2745"/>
    <w:pPr>
      <w:keepNext/>
      <w:keepLines/>
      <w:spacing w:line="240" w:lineRule="auto"/>
      <w:jc w:val="center"/>
    </w:pPr>
    <w:rPr>
      <w:sz w:val="24"/>
      <w:szCs w:val="24"/>
      <w:lang w:val="en-US"/>
    </w:rPr>
  </w:style>
  <w:style w:customStyle="1" w:styleId="DateChar" w:type="character">
    <w:name w:val="Date Char"/>
    <w:basedOn w:val="DefaultParagraphFont"/>
    <w:link w:val="Date"/>
    <w:rsid w:val="001B2745"/>
    <w:rPr>
      <w:sz w:val="24"/>
      <w:szCs w:val="24"/>
      <w:lang w:val="en-US"/>
    </w:rPr>
  </w:style>
  <w:style w:customStyle="1" w:styleId="Abstract" w:type="paragraph">
    <w:name w:val="Abstract"/>
    <w:basedOn w:val="Normal"/>
    <w:next w:val="BodyText"/>
    <w:qFormat/>
    <w:rsid w:val="001B2745"/>
    <w:pPr>
      <w:keepNext/>
      <w:keepLines/>
      <w:spacing w:after="300" w:before="100" w:line="240" w:lineRule="auto"/>
    </w:pPr>
    <w:rPr>
      <w:sz w:val="20"/>
      <w:szCs w:val="20"/>
      <w:lang w:val="en-US"/>
    </w:rPr>
  </w:style>
  <w:style w:styleId="BlockText" w:type="paragraph">
    <w:name w:val="Block Text"/>
    <w:basedOn w:val="BodyText"/>
    <w:next w:val="BodyText"/>
    <w:uiPriority w:val="9"/>
    <w:unhideWhenUsed/>
    <w:qFormat/>
    <w:rsid w:val="00897C4A"/>
    <w:pPr>
      <w:spacing w:after="100" w:before="100" w:line="240" w:lineRule="auto"/>
      <w:ind w:left="482" w:right="482"/>
      <w:jc w:val="left"/>
    </w:pPr>
    <w:rPr>
      <w:szCs w:val="24"/>
      <w:lang w:val="en-US"/>
    </w:rPr>
  </w:style>
  <w:style w:customStyle="1" w:styleId="Table" w:type="table">
    <w:name w:val="Table"/>
    <w:unhideWhenUsed/>
    <w:qFormat/>
    <w:rsid w:val="00F830EC"/>
    <w:pPr>
      <w:spacing w:after="120" w:line="240" w:lineRule="auto"/>
    </w:pPr>
    <w:rPr>
      <w:sz w:val="24"/>
      <w:szCs w:val="24"/>
      <w:lang w:eastAsia="en-GB" w:val="en-US"/>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blStylePr w:type="firstRow">
      <w:rPr>
        <w:b/>
        <w:color w:themeColor="accent1" w:val="00558C"/>
      </w:rPr>
    </w:tblStylePr>
    <w:tblStylePr w:type="lastRow">
      <w:pPr>
        <w:wordWrap/>
        <w:spacing w:afterLines="0"/>
      </w:pPr>
    </w:tblStylePr>
  </w:style>
  <w:style w:customStyle="1" w:styleId="DefinitionTerm" w:type="paragraph">
    <w:name w:val="Definition Term"/>
    <w:basedOn w:val="Normal"/>
    <w:next w:val="Definition"/>
    <w:rsid w:val="005E55DC"/>
    <w:pPr>
      <w:keepNext/>
      <w:keepLines/>
      <w:spacing w:after="0" w:line="240" w:lineRule="auto"/>
    </w:pPr>
    <w:rPr>
      <w:b/>
      <w:szCs w:val="24"/>
      <w:lang w:val="en-US"/>
    </w:rPr>
  </w:style>
  <w:style w:customStyle="1" w:styleId="Definition" w:type="paragraph">
    <w:name w:val="Definition"/>
    <w:basedOn w:val="Normal"/>
    <w:rsid w:val="005E55DC"/>
    <w:pPr>
      <w:spacing w:after="200" w:line="240" w:lineRule="auto"/>
    </w:pPr>
    <w:rPr>
      <w:szCs w:val="24"/>
      <w:lang w:val="en-US"/>
    </w:rPr>
  </w:style>
  <w:style w:customStyle="1" w:styleId="VerbatimChar" w:type="character">
    <w:name w:val="Verbatim Char"/>
    <w:basedOn w:val="DefaultParagraphFont"/>
    <w:qFormat/>
    <w:rsid w:val="00562B0A"/>
    <w:rPr>
      <w:rFonts w:ascii="Consolas" w:hAnsi="Consolas"/>
      <w:sz w:val="20"/>
    </w:rPr>
  </w:style>
  <w:style w:customStyle="1" w:styleId="Figurecaption" w:type="paragraph">
    <w:name w:val="Figure caption"/>
    <w:basedOn w:val="Caption"/>
    <w:next w:val="BodyText"/>
    <w:qFormat/>
    <w:rsid w:val="00833936"/>
    <w:pPr>
      <w:spacing w:after="240" w:before="240"/>
      <w:ind w:hanging="992" w:left="992"/>
      <w:jc w:val="center"/>
    </w:pPr>
    <w:rPr>
      <w:b w:val="0"/>
      <w:u w:val="none"/>
    </w:rPr>
  </w:style>
  <w:style w:customStyle="1" w:styleId="CaptionedFigure" w:type="paragraph">
    <w:name w:val="Captioned Figure"/>
    <w:basedOn w:val="Normal"/>
    <w:next w:val="Figurecaption"/>
    <w:qFormat/>
    <w:rsid w:val="005D2839"/>
    <w:pPr>
      <w:keepNext/>
      <w:jc w:val="center"/>
    </w:pPr>
  </w:style>
  <w:style w:customStyle="1" w:styleId="IALABulletList" w:type="numbering">
    <w:name w:val="IALA_Bullet_List"/>
    <w:uiPriority w:val="99"/>
    <w:rsid w:val="00661BCD"/>
    <w:pPr>
      <w:numPr>
        <w:numId w:val="20"/>
      </w:numPr>
    </w:pPr>
  </w:style>
  <w:style w:customStyle="1" w:styleId="IALANumberedList" w:type="numbering">
    <w:name w:val="IALA_Numbered_List"/>
    <w:uiPriority w:val="99"/>
    <w:rsid w:val="007A559B"/>
    <w:pPr>
      <w:numPr>
        <w:numId w:val="21"/>
      </w:numPr>
    </w:pPr>
  </w:style>
  <w:style w:customStyle="1" w:styleId="CompactStrong" w:type="paragraph">
    <w:name w:val="Compact Strong"/>
    <w:basedOn w:val="Compact"/>
    <w:next w:val="Compact"/>
    <w:link w:val="CompactStrongChar"/>
    <w:qFormat/>
    <w:rsid w:val="008C478E"/>
    <w:rPr>
      <w:b/>
    </w:rPr>
  </w:style>
  <w:style w:customStyle="1" w:styleId="CompactChar" w:type="character">
    <w:name w:val="Compact Char"/>
    <w:basedOn w:val="BodyTextChar"/>
    <w:link w:val="Compact"/>
    <w:rsid w:val="008C478E"/>
    <w:rPr>
      <w:sz w:val="20"/>
      <w:szCs w:val="24"/>
      <w:lang w:val="en-US"/>
    </w:rPr>
  </w:style>
  <w:style w:customStyle="1" w:styleId="CompactStrongChar" w:type="character">
    <w:name w:val="Compact Strong Char"/>
    <w:basedOn w:val="CompactChar"/>
    <w:link w:val="CompactStrong"/>
    <w:rsid w:val="008C478E"/>
    <w:rPr>
      <w:b/>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66" Target="numbering.xml" /><Relationship Type="http://schemas.openxmlformats.org/officeDocument/2006/relationships/styles" Id="rId65" Target="styles.xml" /><Relationship Type="http://schemas.openxmlformats.org/officeDocument/2006/relationships/settings" Id="rId64" Target="settings.xml" /><Relationship Type="http://schemas.openxmlformats.org/officeDocument/2006/relationships/webSettings" Id="rId63" Target="webSettings.xml" /><Relationship Type="http://schemas.openxmlformats.org/officeDocument/2006/relationships/fontTable" Id="rId62" Target="fontTable.xml" /><Relationship Type="http://schemas.openxmlformats.org/officeDocument/2006/relationships/theme" Id="rId61" Target="theme/theme1.xml" /><Relationship Type="http://schemas.openxmlformats.org/officeDocument/2006/relationships/footnotes" Id="rId60" Target="footnotes.xml" /><Relationship Type="http://schemas.openxmlformats.org/officeDocument/2006/relationships/comments" Id="rId59" Target="comments.xml" /><Relationship Id="rId34" Target="media/image1.png" Type="http://schemas.openxmlformats.org/officeDocument/2006/relationships/image" /><Relationship Id="rId55" Target="header2.xml" Type="http://schemas.openxmlformats.org/officeDocument/2006/relationships/header" /><Relationship Id="rId58" Target="footer2.xml" Type="http://schemas.openxmlformats.org/officeDocument/2006/relationships/footer" /><Relationship Id="rId56" Target="footer1.xml" Type="http://schemas.openxmlformats.org/officeDocument/2006/relationships/footer" /><Relationship Id="rId54" Target="header1.xml" Type="http://schemas.openxmlformats.org/officeDocument/2006/relationships/header" /><Relationship Id="rId57" Target="header3.xml" Type="http://schemas.openxmlformats.org/officeDocument/2006/relationships/header" /><Relationship Type="http://schemas.openxmlformats.org/officeDocument/2006/relationships/image" Id="rId74" Target="media/rId74.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125" Target="media/rId125.png" /><Relationship Type="http://schemas.openxmlformats.org/officeDocument/2006/relationships/image" Id="rId154" Target="media/rId154.png" /><Relationship Type="http://schemas.openxmlformats.org/officeDocument/2006/relationships/image" Id="rId94" Target="media/rId94.png" /><Relationship Type="http://schemas.openxmlformats.org/officeDocument/2006/relationships/image" Id="rId116" Target="media/rId116.png" /><Relationship Type="http://schemas.openxmlformats.org/officeDocument/2006/relationships/image" Id="rId143" Target="media/rId143.png" /><Relationship Type="http://schemas.openxmlformats.org/officeDocument/2006/relationships/image" Id="rId134" Target="media/rId134.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9" Target="media/rId169.png" /><Relationship Type="http://schemas.openxmlformats.org/officeDocument/2006/relationships/hyperlink" Id="rId183" Target="https://iho.int/uploads/user/pubs/standards/s-100/S-100_5.2.0_Final_Clean.pdf" TargetMode="External" /><Relationship Type="http://schemas.openxmlformats.org/officeDocument/2006/relationships/hyperlink" Id="rId181" Target="https://webstore.iec.ch/en/publication/64543" TargetMode="External" /><Relationship Type="http://schemas.openxmlformats.org/officeDocument/2006/relationships/hyperlink" Id="rId175" Target="https://www.iala.int/product/g1128/" TargetMode="External" /><Relationship Type="http://schemas.openxmlformats.org/officeDocument/2006/relationships/hyperlink" Id="rId185" Target="https://www.iala.int/product/g1157/" TargetMode="External" /><Relationship Type="http://schemas.openxmlformats.org/officeDocument/2006/relationships/hyperlink" Id="rId178" Target="https://www.iala.int/product/gXXXX/" TargetMode="External" /></Relationships>
</file>

<file path=word/_rels/footnotes.xml.rels><?xml version="1.0" encoding="UTF-8"?><Relationships xmlns="http://schemas.openxmlformats.org/package/2006/relationships"><Relationship Type="http://schemas.openxmlformats.org/officeDocument/2006/relationships/hyperlink" Id="rId183" Target="https://iho.int/uploads/user/pubs/standards/s-100/S-100_5.2.0_Final_Clean.pdf" TargetMode="External" /><Relationship Type="http://schemas.openxmlformats.org/officeDocument/2006/relationships/hyperlink" Id="rId181" Target="https://webstore.iec.ch/en/publication/64543" TargetMode="External" /><Relationship Type="http://schemas.openxmlformats.org/officeDocument/2006/relationships/hyperlink" Id="rId175" Target="https://www.iala.int/product/g1128/" TargetMode="External" /><Relationship Type="http://schemas.openxmlformats.org/officeDocument/2006/relationships/hyperlink" Id="rId185" Target="https://www.iala.int/product/g1157/" TargetMode="External" /><Relationship Type="http://schemas.openxmlformats.org/officeDocument/2006/relationships/hyperlink" Id="rId178" Target="https://www.iala.int/product/gXXXX/"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_Documents\Download\Gxxxx%20Template%20for%20IALA%20Guidelines%20Ed%202.1%20August%202021.dotm" TargetMode="External"/></Relationships>
</file>

<file path=word/theme/theme1.xml><?xml version="1.0" encoding="utf-8"?>
<a:theme xmlns:a="http://schemas.openxmlformats.org/drawingml/2006/main" name="Thème Office">
  <a:themeElements>
    <a:clrScheme name="IALA PPT">
      <a:dk1>
        <a:sysClr val="windowText" lastClr="000000"/>
      </a:dk1>
      <a:lt1>
        <a:sysClr val="window" lastClr="FFFFFF"/>
      </a:lt1>
      <a:dk2>
        <a:srgbClr val="3AAA35"/>
      </a:dk2>
      <a:lt2>
        <a:srgbClr val="E94E1B"/>
      </a:lt2>
      <a:accent1>
        <a:srgbClr val="00558C"/>
      </a:accent1>
      <a:accent2>
        <a:srgbClr val="009FE3"/>
      </a:accent2>
      <a:accent3>
        <a:srgbClr val="00B0A9"/>
      </a:accent3>
      <a:accent4>
        <a:srgbClr val="00BCD0"/>
      </a:accent4>
      <a:accent5>
        <a:srgbClr val="6787C4"/>
      </a:accent5>
      <a:accent6>
        <a:srgbClr val="99509A"/>
      </a:accent6>
      <a:hlink>
        <a:srgbClr val="000000"/>
      </a:hlink>
      <a:folHlink>
        <a:srgbClr val="9D9D9C"/>
      </a:folHlink>
    </a:clrScheme>
    <a:fontScheme name="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Gxxxx Template for IALA Guidelines Ed 2.1 August 2021</Template>
  <TotalTime>3</TotalTime>
  <Pages>10</Pages>
  <Words>2636</Words>
  <Characters>13994</Characters>
  <Application>Microsoft Office Word</Application>
  <DocSecurity>0</DocSecurity>
  <Lines>397</Lines>
  <Paragraphs>253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IALA Guideline on VDES Authentication Techniques</vt:lpstr>
      <vt:lpstr>IALA Guideline 1115</vt:lpstr>
    </vt:vector>
  </TitlesOfParts>
  <Manager>IALA</Manager>
  <Company>IALA</Company>
  <LinksUpToDate>false</LinksUpToDate>
  <CharactersWithSpaces>16575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Aids to Navigation (AtoN) Service Specification</dc:title>
  <dc:creator/>
  <cp:keywords/>
  <dcterms:created xsi:type="dcterms:W3CDTF">2026-10-05T11:29:55Z</dcterms:created>
  <dcterms:modified xsi:type="dcterms:W3CDTF">2026-10-05T11:29:55Z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resources/ieee-with-url.csl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subtitle">
    <vt:lpwstr>Service Specification for the Enhanced AtoN Information for AtoN Authorities</vt:lpwstr>
  </property>
  <property fmtid="{D5CDD505-2E9C-101B-9397-08002B2CF9AE}" pid="67" name="tableEqns">
    <vt:lpwstr>False</vt:lpwstr>
  </property>
  <property fmtid="{D5CDD505-2E9C-101B-9397-08002B2CF9AE}" pid="68" name="tableTemplate">
    <vt:lpwstr>t</vt:lpwstr>
  </property>
  <property fmtid="{D5CDD505-2E9C-101B-9397-08002B2CF9AE}" pid="69" name="tableTitle">
    <vt:lpwstr>Table</vt:lpwstr>
  </property>
  <property fmtid="{D5CDD505-2E9C-101B-9397-08002B2CF9AE}" pid="70" name="tblLabels">
    <vt:lpwstr>arabic</vt:lpwstr>
  </property>
  <property fmtid="{D5CDD505-2E9C-101B-9397-08002B2CF9AE}" pid="71" name="tblPrefix">
    <vt:lpwstr/>
  </property>
  <property fmtid="{D5CDD505-2E9C-101B-9397-08002B2CF9AE}" pid="72" name="tblPrefixTemplate">
    <vt:lpwstr>p i</vt:lpwstr>
  </property>
  <property fmtid="{D5CDD505-2E9C-101B-9397-08002B2CF9AE}" pid="73" name="titleDelim">
    <vt:lpwstr>:</vt:lpwstr>
  </property>
</Properties>
</file>