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4412" w14:textId="77777777" w:rsidR="00EF0E3E" w:rsidRDefault="00EF0E3E"/>
    <w:tbl>
      <w:tblPr>
        <w:tblStyle w:val="TableGrid"/>
        <w:tblW w:w="5979" w:type="pct"/>
        <w:tblInd w:w="-8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186"/>
      </w:tblGrid>
      <w:tr w:rsidR="00EF0E3E" w14:paraId="7AF2C239" w14:textId="77777777">
        <w:trPr>
          <w:trHeight w:hRule="exact" w:val="2948"/>
        </w:trPr>
        <w:tc>
          <w:tcPr>
            <w:tcW w:w="11186" w:type="dxa"/>
          </w:tcPr>
          <w:p w14:paraId="11B2299A" w14:textId="77777777" w:rsidR="00EF0E3E" w:rsidRDefault="00000000">
            <w:pPr>
              <w:pStyle w:val="Documenttype"/>
            </w:pPr>
            <w:r>
              <w:t xml:space="preserve">IALA </w:t>
            </w:r>
            <w:r>
              <w:rPr>
                <w:lang w:val="en"/>
              </w:rPr>
              <w:t>Guideline</w:t>
            </w:r>
          </w:p>
        </w:tc>
      </w:tr>
    </w:tbl>
    <w:p w14:paraId="4E11F746" w14:textId="77777777" w:rsidR="00EF0E3E" w:rsidRDefault="00EF0E3E">
      <w:pPr>
        <w:spacing w:after="0"/>
        <w:rPr>
          <w:sz w:val="18"/>
          <w:szCs w:val="18"/>
        </w:rPr>
      </w:pPr>
    </w:p>
    <w:p w14:paraId="224807EE" w14:textId="77777777" w:rsidR="00EF0E3E" w:rsidRDefault="00EF0E3E">
      <w:pPr>
        <w:spacing w:after="0"/>
        <w:rPr>
          <w:sz w:val="18"/>
          <w:szCs w:val="18"/>
        </w:rPr>
      </w:pPr>
    </w:p>
    <w:p w14:paraId="40650496" w14:textId="2CE283C9" w:rsidR="00EF0E3E" w:rsidRDefault="00000000">
      <w:pPr>
        <w:pStyle w:val="Documentnumber"/>
        <w:spacing w:after="0" w:line="220" w:lineRule="atLeast"/>
      </w:pPr>
      <w:r>
        <w:t>SS</w:t>
      </w:r>
      <w:r w:rsidR="00711102">
        <w:t>XXXX</w:t>
      </w:r>
    </w:p>
    <w:p w14:paraId="7E6DC122" w14:textId="77777777" w:rsidR="00EF0E3E" w:rsidRDefault="00000000">
      <w:pPr>
        <w:pStyle w:val="Documentname"/>
        <w:spacing w:after="0" w:line="220" w:lineRule="atLeast"/>
        <w:rPr>
          <w:lang w:val="en"/>
        </w:rPr>
      </w:pPr>
      <w:r>
        <w:rPr>
          <w:lang w:val="en"/>
        </w:rPr>
        <w:t>MArine Aids To Navigation (ATON)</w:t>
      </w:r>
    </w:p>
    <w:p w14:paraId="539742F7" w14:textId="77777777" w:rsidR="00EF0E3E" w:rsidRDefault="00000000">
      <w:pPr>
        <w:pStyle w:val="Documentname"/>
        <w:spacing w:after="0" w:line="220" w:lineRule="atLeast"/>
      </w:pPr>
      <w:r>
        <w:rPr>
          <w:lang w:val="en"/>
        </w:rPr>
        <w:t>Service Specification for Enhanced AtoN information for AtoN Authorities</w:t>
      </w:r>
    </w:p>
    <w:p w14:paraId="6CF0E342" w14:textId="77777777" w:rsidR="00EF0E3E" w:rsidRDefault="00EF0E3E">
      <w:pPr>
        <w:spacing w:after="0"/>
        <w:rPr>
          <w:sz w:val="18"/>
          <w:szCs w:val="18"/>
        </w:rPr>
      </w:pPr>
    </w:p>
    <w:p w14:paraId="704B3989" w14:textId="77777777" w:rsidR="00EF0E3E" w:rsidRDefault="00EF0E3E">
      <w:pPr>
        <w:spacing w:after="0"/>
        <w:rPr>
          <w:sz w:val="18"/>
          <w:szCs w:val="18"/>
        </w:rPr>
      </w:pPr>
    </w:p>
    <w:p w14:paraId="10EB1F9A" w14:textId="77777777" w:rsidR="00EF0E3E" w:rsidRDefault="00EF0E3E">
      <w:pPr>
        <w:spacing w:after="0"/>
        <w:rPr>
          <w:sz w:val="18"/>
          <w:szCs w:val="18"/>
        </w:rPr>
      </w:pPr>
    </w:p>
    <w:p w14:paraId="272820E7" w14:textId="77777777" w:rsidR="00EF0E3E" w:rsidRDefault="00000000">
      <w:pPr>
        <w:tabs>
          <w:tab w:val="left" w:pos="6240"/>
        </w:tabs>
        <w:spacing w:after="0"/>
        <w:rPr>
          <w:sz w:val="18"/>
          <w:szCs w:val="18"/>
        </w:rPr>
      </w:pPr>
      <w:r>
        <w:rPr>
          <w:sz w:val="18"/>
          <w:szCs w:val="18"/>
        </w:rPr>
        <w:tab/>
      </w:r>
    </w:p>
    <w:p w14:paraId="4982FC1C" w14:textId="77777777" w:rsidR="00EF0E3E" w:rsidRDefault="00EF0E3E">
      <w:pPr>
        <w:spacing w:after="0"/>
        <w:rPr>
          <w:sz w:val="18"/>
          <w:szCs w:val="18"/>
        </w:rPr>
      </w:pPr>
    </w:p>
    <w:p w14:paraId="410E8EDF" w14:textId="77777777" w:rsidR="00EF0E3E" w:rsidRDefault="00EF0E3E">
      <w:pPr>
        <w:spacing w:after="0"/>
        <w:rPr>
          <w:sz w:val="18"/>
          <w:szCs w:val="18"/>
        </w:rPr>
      </w:pPr>
    </w:p>
    <w:p w14:paraId="668BCC8A" w14:textId="77777777" w:rsidR="00EF0E3E" w:rsidRDefault="00EF0E3E">
      <w:pPr>
        <w:spacing w:after="0"/>
        <w:rPr>
          <w:sz w:val="18"/>
          <w:szCs w:val="18"/>
        </w:rPr>
      </w:pPr>
    </w:p>
    <w:p w14:paraId="1C32A792" w14:textId="77777777" w:rsidR="00EF0E3E" w:rsidRDefault="00EF0E3E">
      <w:pPr>
        <w:spacing w:after="0"/>
        <w:rPr>
          <w:sz w:val="18"/>
          <w:szCs w:val="18"/>
        </w:rPr>
      </w:pPr>
    </w:p>
    <w:p w14:paraId="5E5352EB" w14:textId="77777777" w:rsidR="00EF0E3E" w:rsidRDefault="00EF0E3E">
      <w:pPr>
        <w:spacing w:after="0"/>
        <w:rPr>
          <w:sz w:val="18"/>
          <w:szCs w:val="18"/>
        </w:rPr>
      </w:pPr>
    </w:p>
    <w:p w14:paraId="3DA0FB21" w14:textId="77777777" w:rsidR="00EF0E3E" w:rsidRDefault="00EF0E3E">
      <w:pPr>
        <w:spacing w:after="0"/>
        <w:rPr>
          <w:sz w:val="18"/>
          <w:szCs w:val="18"/>
        </w:rPr>
      </w:pPr>
    </w:p>
    <w:p w14:paraId="63CF0132" w14:textId="77777777" w:rsidR="00EF0E3E" w:rsidRDefault="00EF0E3E">
      <w:pPr>
        <w:spacing w:after="0"/>
        <w:rPr>
          <w:sz w:val="18"/>
          <w:szCs w:val="18"/>
        </w:rPr>
      </w:pPr>
    </w:p>
    <w:p w14:paraId="176DBDB3" w14:textId="77777777" w:rsidR="00EF0E3E" w:rsidRDefault="00EF0E3E">
      <w:pPr>
        <w:spacing w:after="0"/>
        <w:rPr>
          <w:sz w:val="18"/>
          <w:szCs w:val="18"/>
        </w:rPr>
      </w:pPr>
    </w:p>
    <w:p w14:paraId="68132A08" w14:textId="77777777" w:rsidR="00EF0E3E" w:rsidRDefault="00000000">
      <w:pPr>
        <w:pStyle w:val="Editionnumber"/>
        <w:spacing w:after="0"/>
      </w:pPr>
      <w:r>
        <w:t xml:space="preserve">Edition </w:t>
      </w:r>
      <w:r>
        <w:rPr>
          <w:lang w:val="en"/>
        </w:rPr>
        <w:t>0</w:t>
      </w:r>
      <w:r>
        <w:t>.1</w:t>
      </w:r>
    </w:p>
    <w:p w14:paraId="424062FA" w14:textId="77777777" w:rsidR="00EF0E3E" w:rsidRDefault="00000000">
      <w:pPr>
        <w:pStyle w:val="Documentdate"/>
        <w:spacing w:after="0"/>
      </w:pPr>
      <w:r>
        <w:rPr>
          <w:lang w:val="en"/>
        </w:rPr>
        <w:t xml:space="preserve">October </w:t>
      </w:r>
      <w:r>
        <w:t>202</w:t>
      </w:r>
      <w:r>
        <w:rPr>
          <w:lang w:val="en"/>
        </w:rPr>
        <w:t>6</w:t>
      </w:r>
    </w:p>
    <w:p w14:paraId="3B21E424" w14:textId="77777777" w:rsidR="00EF0E3E" w:rsidRDefault="00EF0E3E">
      <w:pPr>
        <w:spacing w:after="0"/>
        <w:rPr>
          <w:sz w:val="18"/>
          <w:szCs w:val="18"/>
        </w:rPr>
      </w:pPr>
    </w:p>
    <w:p w14:paraId="1E3A1252" w14:textId="77777777" w:rsidR="00EF0E3E" w:rsidRDefault="00000000">
      <w:pPr>
        <w:pStyle w:val="MRN"/>
        <w:rPr>
          <w:lang w:val="sv-SE"/>
        </w:rPr>
        <w:sectPr w:rsidR="00EF0E3E">
          <w:headerReference w:type="even" r:id="rId12"/>
          <w:headerReference w:type="default" r:id="rId13"/>
          <w:footerReference w:type="even" r:id="rId14"/>
          <w:footerReference w:type="default" r:id="rId15"/>
          <w:headerReference w:type="first" r:id="rId16"/>
          <w:footerReference w:type="first" r:id="rId17"/>
          <w:type w:val="continuous"/>
          <w:pgSz w:w="11906" w:h="16838"/>
          <w:pgMar w:top="567" w:right="1276" w:bottom="2494" w:left="1276" w:header="567" w:footer="760" w:gutter="0"/>
          <w:cols w:space="708"/>
        </w:sectPr>
      </w:pPr>
      <w:r>
        <w:rPr>
          <w:lang w:val="sv-SE"/>
        </w:rPr>
        <w:t>urn:mrn:iala:pub:</w:t>
      </w:r>
      <w:r>
        <w:rPr>
          <w:lang w:val="en"/>
        </w:rPr>
        <w:t>ss</w:t>
      </w:r>
      <w:r>
        <w:rPr>
          <w:lang w:val="sv-SE" w:eastAsia="ko-KR"/>
        </w:rPr>
        <w:t>XXXX</w:t>
      </w:r>
      <w:r>
        <w:rPr>
          <w:lang w:val="sv-SE"/>
        </w:rPr>
        <w:t>:ed.</w:t>
      </w:r>
      <w:r>
        <w:rPr>
          <w:lang w:val="en"/>
        </w:rPr>
        <w:t>0</w:t>
      </w:r>
      <w:r>
        <w:rPr>
          <w:lang w:val="sv-SE"/>
        </w:rPr>
        <w:t>.1</w:t>
      </w:r>
    </w:p>
    <w:p w14:paraId="34DD9414" w14:textId="77777777" w:rsidR="00EF0E3E" w:rsidRDefault="00000000">
      <w:pPr>
        <w:pStyle w:val="BodyText"/>
      </w:pPr>
      <w:r>
        <w:lastRenderedPageBreak/>
        <w:t>Revisions to this document are to be noted in the table prior to the issue of a revised document.</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6025"/>
        <w:gridCol w:w="2552"/>
      </w:tblGrid>
      <w:tr w:rsidR="00EF0E3E" w14:paraId="428BF550" w14:textId="77777777">
        <w:tc>
          <w:tcPr>
            <w:tcW w:w="1908" w:type="dxa"/>
          </w:tcPr>
          <w:p w14:paraId="33869743" w14:textId="77777777" w:rsidR="00EF0E3E" w:rsidRDefault="00000000">
            <w:pPr>
              <w:pStyle w:val="Documentrevisiontabletitle"/>
            </w:pPr>
            <w:r>
              <w:t>Date</w:t>
            </w:r>
          </w:p>
        </w:tc>
        <w:tc>
          <w:tcPr>
            <w:tcW w:w="6025" w:type="dxa"/>
          </w:tcPr>
          <w:p w14:paraId="4D65B091" w14:textId="77777777" w:rsidR="00EF0E3E" w:rsidRDefault="00000000">
            <w:pPr>
              <w:pStyle w:val="Documentrevisiontabletitle"/>
            </w:pPr>
            <w:r>
              <w:t>Details</w:t>
            </w:r>
          </w:p>
        </w:tc>
        <w:tc>
          <w:tcPr>
            <w:tcW w:w="2552" w:type="dxa"/>
          </w:tcPr>
          <w:p w14:paraId="5133929A" w14:textId="77777777" w:rsidR="00EF0E3E" w:rsidRDefault="00000000">
            <w:pPr>
              <w:pStyle w:val="Documentrevisiontabletitle"/>
            </w:pPr>
            <w:r>
              <w:t>Approval</w:t>
            </w:r>
          </w:p>
        </w:tc>
      </w:tr>
      <w:tr w:rsidR="00EF0E3E" w14:paraId="202FB59F" w14:textId="77777777">
        <w:trPr>
          <w:trHeight w:val="851"/>
        </w:trPr>
        <w:tc>
          <w:tcPr>
            <w:tcW w:w="1908" w:type="dxa"/>
            <w:vAlign w:val="center"/>
          </w:tcPr>
          <w:p w14:paraId="0E4ECFF6" w14:textId="77777777" w:rsidR="00EF0E3E" w:rsidRDefault="00000000">
            <w:pPr>
              <w:pStyle w:val="Tabletext"/>
            </w:pPr>
            <w:r>
              <w:rPr>
                <w:lang w:val="en"/>
              </w:rPr>
              <w:t>Oc</w:t>
            </w:r>
            <w:r w:rsidR="00221B03">
              <w:rPr>
                <w:lang w:val="en"/>
              </w:rPr>
              <w:t>t</w:t>
            </w:r>
            <w:r>
              <w:rPr>
                <w:lang w:val="en"/>
              </w:rPr>
              <w:t xml:space="preserve">ober </w:t>
            </w:r>
            <w:r>
              <w:t>202</w:t>
            </w:r>
            <w:r>
              <w:rPr>
                <w:lang w:val="en"/>
              </w:rPr>
              <w:t>6</w:t>
            </w:r>
          </w:p>
        </w:tc>
        <w:tc>
          <w:tcPr>
            <w:tcW w:w="6025" w:type="dxa"/>
            <w:vAlign w:val="center"/>
          </w:tcPr>
          <w:p w14:paraId="008CD84D" w14:textId="77777777" w:rsidR="00EF0E3E" w:rsidRDefault="00000000">
            <w:pPr>
              <w:pStyle w:val="Tabletext"/>
            </w:pPr>
            <w:r>
              <w:t>First edition</w:t>
            </w:r>
          </w:p>
        </w:tc>
        <w:tc>
          <w:tcPr>
            <w:tcW w:w="2552" w:type="dxa"/>
            <w:vAlign w:val="center"/>
          </w:tcPr>
          <w:p w14:paraId="3652C3D6" w14:textId="77777777" w:rsidR="00EF0E3E" w:rsidRDefault="00EF0E3E">
            <w:pPr>
              <w:pStyle w:val="Tabletext"/>
            </w:pPr>
          </w:p>
        </w:tc>
      </w:tr>
      <w:tr w:rsidR="00EF0E3E" w14:paraId="31A68188" w14:textId="77777777">
        <w:trPr>
          <w:trHeight w:val="851"/>
        </w:trPr>
        <w:tc>
          <w:tcPr>
            <w:tcW w:w="1908" w:type="dxa"/>
            <w:vAlign w:val="center"/>
          </w:tcPr>
          <w:p w14:paraId="615761A3" w14:textId="77777777" w:rsidR="00EF0E3E" w:rsidRDefault="00EF0E3E"/>
        </w:tc>
        <w:tc>
          <w:tcPr>
            <w:tcW w:w="6025" w:type="dxa"/>
            <w:vAlign w:val="center"/>
          </w:tcPr>
          <w:p w14:paraId="704991FD" w14:textId="77777777" w:rsidR="00EF0E3E" w:rsidRDefault="00EF0E3E"/>
        </w:tc>
        <w:tc>
          <w:tcPr>
            <w:tcW w:w="2552" w:type="dxa"/>
            <w:vAlign w:val="center"/>
          </w:tcPr>
          <w:p w14:paraId="517286B4" w14:textId="77777777" w:rsidR="00EF0E3E" w:rsidRDefault="00EF0E3E">
            <w:pPr>
              <w:pStyle w:val="Tabletext"/>
            </w:pPr>
          </w:p>
        </w:tc>
      </w:tr>
      <w:tr w:rsidR="00EF0E3E" w14:paraId="0EA5EA58" w14:textId="77777777">
        <w:trPr>
          <w:trHeight w:val="851"/>
        </w:trPr>
        <w:tc>
          <w:tcPr>
            <w:tcW w:w="1908" w:type="dxa"/>
            <w:vAlign w:val="center"/>
          </w:tcPr>
          <w:p w14:paraId="5BC40596" w14:textId="77777777" w:rsidR="00EF0E3E" w:rsidRDefault="00EF0E3E">
            <w:pPr>
              <w:pStyle w:val="Tabletext"/>
            </w:pPr>
          </w:p>
        </w:tc>
        <w:tc>
          <w:tcPr>
            <w:tcW w:w="6025" w:type="dxa"/>
            <w:vAlign w:val="center"/>
          </w:tcPr>
          <w:p w14:paraId="0A173AC4" w14:textId="77777777" w:rsidR="00EF0E3E" w:rsidRDefault="00EF0E3E">
            <w:pPr>
              <w:pStyle w:val="Tabletext"/>
            </w:pPr>
          </w:p>
        </w:tc>
        <w:tc>
          <w:tcPr>
            <w:tcW w:w="2552" w:type="dxa"/>
            <w:vAlign w:val="center"/>
          </w:tcPr>
          <w:p w14:paraId="38361A90" w14:textId="77777777" w:rsidR="00EF0E3E" w:rsidRDefault="00EF0E3E">
            <w:pPr>
              <w:pStyle w:val="Tabletext"/>
            </w:pPr>
          </w:p>
        </w:tc>
      </w:tr>
      <w:tr w:rsidR="00EF0E3E" w14:paraId="18C269B9" w14:textId="77777777">
        <w:trPr>
          <w:trHeight w:val="851"/>
        </w:trPr>
        <w:tc>
          <w:tcPr>
            <w:tcW w:w="1908" w:type="dxa"/>
            <w:vAlign w:val="center"/>
          </w:tcPr>
          <w:p w14:paraId="0E1BF841" w14:textId="77777777" w:rsidR="00EF0E3E" w:rsidRDefault="00EF0E3E">
            <w:pPr>
              <w:pStyle w:val="Tabletext"/>
            </w:pPr>
          </w:p>
        </w:tc>
        <w:tc>
          <w:tcPr>
            <w:tcW w:w="6025" w:type="dxa"/>
            <w:vAlign w:val="center"/>
          </w:tcPr>
          <w:p w14:paraId="620F97A0" w14:textId="77777777" w:rsidR="00EF0E3E" w:rsidRDefault="00EF0E3E">
            <w:pPr>
              <w:pStyle w:val="Tabletext"/>
            </w:pPr>
          </w:p>
        </w:tc>
        <w:tc>
          <w:tcPr>
            <w:tcW w:w="2552" w:type="dxa"/>
            <w:vAlign w:val="center"/>
          </w:tcPr>
          <w:p w14:paraId="0B38AFF1" w14:textId="77777777" w:rsidR="00EF0E3E" w:rsidRDefault="00EF0E3E">
            <w:pPr>
              <w:pStyle w:val="Tabletext"/>
            </w:pPr>
          </w:p>
        </w:tc>
      </w:tr>
      <w:tr w:rsidR="00EF0E3E" w14:paraId="31699954" w14:textId="77777777">
        <w:trPr>
          <w:trHeight w:val="851"/>
        </w:trPr>
        <w:tc>
          <w:tcPr>
            <w:tcW w:w="1908" w:type="dxa"/>
            <w:vAlign w:val="center"/>
          </w:tcPr>
          <w:p w14:paraId="755EA862" w14:textId="77777777" w:rsidR="00EF0E3E" w:rsidRDefault="00EF0E3E">
            <w:pPr>
              <w:pStyle w:val="Tabletext"/>
            </w:pPr>
          </w:p>
        </w:tc>
        <w:tc>
          <w:tcPr>
            <w:tcW w:w="6025" w:type="dxa"/>
            <w:vAlign w:val="center"/>
          </w:tcPr>
          <w:p w14:paraId="4B6EB10F" w14:textId="77777777" w:rsidR="00EF0E3E" w:rsidRDefault="00EF0E3E">
            <w:pPr>
              <w:pStyle w:val="Tabletext"/>
            </w:pPr>
          </w:p>
        </w:tc>
        <w:tc>
          <w:tcPr>
            <w:tcW w:w="2552" w:type="dxa"/>
            <w:vAlign w:val="center"/>
          </w:tcPr>
          <w:p w14:paraId="708B7738" w14:textId="77777777" w:rsidR="00EF0E3E" w:rsidRDefault="00EF0E3E">
            <w:pPr>
              <w:pStyle w:val="Tabletext"/>
            </w:pPr>
          </w:p>
        </w:tc>
      </w:tr>
      <w:tr w:rsidR="00EF0E3E" w14:paraId="281B105F" w14:textId="77777777">
        <w:trPr>
          <w:trHeight w:val="851"/>
        </w:trPr>
        <w:tc>
          <w:tcPr>
            <w:tcW w:w="1908" w:type="dxa"/>
            <w:vAlign w:val="center"/>
          </w:tcPr>
          <w:p w14:paraId="3B2BFA44" w14:textId="77777777" w:rsidR="00EF0E3E" w:rsidRDefault="00EF0E3E">
            <w:pPr>
              <w:pStyle w:val="Tabletext"/>
            </w:pPr>
          </w:p>
        </w:tc>
        <w:tc>
          <w:tcPr>
            <w:tcW w:w="6025" w:type="dxa"/>
            <w:vAlign w:val="center"/>
          </w:tcPr>
          <w:p w14:paraId="212CD8DF" w14:textId="77777777" w:rsidR="00EF0E3E" w:rsidRDefault="00EF0E3E">
            <w:pPr>
              <w:pStyle w:val="Tabletext"/>
            </w:pPr>
          </w:p>
        </w:tc>
        <w:tc>
          <w:tcPr>
            <w:tcW w:w="2552" w:type="dxa"/>
            <w:vAlign w:val="center"/>
          </w:tcPr>
          <w:p w14:paraId="5088B881" w14:textId="77777777" w:rsidR="00EF0E3E" w:rsidRDefault="00EF0E3E">
            <w:pPr>
              <w:pStyle w:val="Tabletext"/>
            </w:pPr>
          </w:p>
        </w:tc>
      </w:tr>
      <w:tr w:rsidR="00EF0E3E" w14:paraId="25A3BA41" w14:textId="77777777">
        <w:trPr>
          <w:trHeight w:val="851"/>
        </w:trPr>
        <w:tc>
          <w:tcPr>
            <w:tcW w:w="1908" w:type="dxa"/>
            <w:vAlign w:val="center"/>
          </w:tcPr>
          <w:p w14:paraId="314FC861" w14:textId="77777777" w:rsidR="00EF0E3E" w:rsidRDefault="00EF0E3E">
            <w:pPr>
              <w:pStyle w:val="Tabletext"/>
            </w:pPr>
          </w:p>
        </w:tc>
        <w:tc>
          <w:tcPr>
            <w:tcW w:w="6025" w:type="dxa"/>
            <w:vAlign w:val="center"/>
          </w:tcPr>
          <w:p w14:paraId="5CC71019" w14:textId="77777777" w:rsidR="00EF0E3E" w:rsidRDefault="00EF0E3E">
            <w:pPr>
              <w:pStyle w:val="Tabletext"/>
            </w:pPr>
          </w:p>
        </w:tc>
        <w:tc>
          <w:tcPr>
            <w:tcW w:w="2552" w:type="dxa"/>
            <w:vAlign w:val="center"/>
          </w:tcPr>
          <w:p w14:paraId="5BC16745" w14:textId="77777777" w:rsidR="00EF0E3E" w:rsidRDefault="00EF0E3E">
            <w:pPr>
              <w:pStyle w:val="Tabletext"/>
            </w:pPr>
          </w:p>
        </w:tc>
      </w:tr>
    </w:tbl>
    <w:p w14:paraId="152D1094" w14:textId="77777777" w:rsidR="00EF0E3E" w:rsidRDefault="00EF0E3E"/>
    <w:p w14:paraId="7CE1C3BF" w14:textId="77777777" w:rsidR="00EF0E3E" w:rsidRDefault="00EF0E3E">
      <w:pPr>
        <w:pStyle w:val="BodyText"/>
        <w:sectPr w:rsidR="00EF0E3E">
          <w:headerReference w:type="even" r:id="rId18"/>
          <w:headerReference w:type="default" r:id="rId19"/>
          <w:footerReference w:type="default" r:id="rId20"/>
          <w:headerReference w:type="first" r:id="rId21"/>
          <w:pgSz w:w="11906" w:h="16838"/>
          <w:pgMar w:top="567" w:right="794" w:bottom="567" w:left="907" w:header="567" w:footer="850" w:gutter="0"/>
          <w:cols w:space="708"/>
        </w:sectPr>
      </w:pPr>
    </w:p>
    <w:p w14:paraId="21E030C0" w14:textId="0BDC18F8" w:rsidR="00F84F73" w:rsidRDefault="00000000">
      <w:pPr>
        <w:pStyle w:val="TOC1"/>
        <w:rPr>
          <w:b w:val="0"/>
          <w:caps w:val="0"/>
          <w:noProof/>
          <w:color w:val="auto"/>
          <w:kern w:val="2"/>
          <w:sz w:val="24"/>
          <w:szCs w:val="24"/>
          <w:lang w:eastAsia="en-GB"/>
          <w14:ligatures w14:val="standardContextual"/>
        </w:rPr>
      </w:pPr>
      <w:r>
        <w:rPr>
          <w:rFonts w:eastAsia="Times New Roman" w:cs="Times New Roman"/>
          <w:b w:val="0"/>
          <w:color w:val="auto"/>
          <w:szCs w:val="20"/>
        </w:rPr>
        <w:lastRenderedPageBreak/>
        <w:fldChar w:fldCharType="begin"/>
      </w:r>
      <w:r>
        <w:rPr>
          <w:rFonts w:eastAsia="Times New Roman" w:cs="Times New Roman"/>
          <w:szCs w:val="20"/>
        </w:rPr>
        <w:instrText xml:space="preserve"> TOC \o "1-3" \t "Annex title (Head 1),1,Appendix title (Head 1),1" </w:instrText>
      </w:r>
      <w:r>
        <w:rPr>
          <w:rFonts w:eastAsia="Times New Roman" w:cs="Times New Roman"/>
          <w:b w:val="0"/>
          <w:color w:val="auto"/>
          <w:szCs w:val="20"/>
        </w:rPr>
        <w:fldChar w:fldCharType="separate"/>
      </w:r>
      <w:r w:rsidR="00F84F73">
        <w:rPr>
          <w:noProof/>
        </w:rPr>
        <w:t>Marine Aids to Navigation (AtoN) Service Specification</w:t>
      </w:r>
      <w:r w:rsidR="00F84F73">
        <w:rPr>
          <w:noProof/>
        </w:rPr>
        <w:tab/>
      </w:r>
      <w:r w:rsidR="00F84F73">
        <w:rPr>
          <w:noProof/>
        </w:rPr>
        <w:fldChar w:fldCharType="begin"/>
      </w:r>
      <w:r w:rsidR="00F84F73">
        <w:rPr>
          <w:noProof/>
        </w:rPr>
        <w:instrText xml:space="preserve"> PAGEREF _Toc242095844 \h </w:instrText>
      </w:r>
      <w:r w:rsidR="00F84F73">
        <w:rPr>
          <w:noProof/>
        </w:rPr>
      </w:r>
      <w:r w:rsidR="00F84F73">
        <w:rPr>
          <w:noProof/>
        </w:rPr>
        <w:fldChar w:fldCharType="separate"/>
      </w:r>
      <w:r w:rsidR="00F84F73">
        <w:rPr>
          <w:noProof/>
        </w:rPr>
        <w:t>5</w:t>
      </w:r>
      <w:r w:rsidR="00F84F73">
        <w:rPr>
          <w:noProof/>
        </w:rPr>
        <w:fldChar w:fldCharType="end"/>
      </w:r>
    </w:p>
    <w:p w14:paraId="30BAF105" w14:textId="1B94512F" w:rsidR="00F84F73" w:rsidRDefault="00F84F73">
      <w:pPr>
        <w:pStyle w:val="TOC1"/>
        <w:rPr>
          <w:b w:val="0"/>
          <w:caps w:val="0"/>
          <w:noProof/>
          <w:color w:val="auto"/>
          <w:kern w:val="2"/>
          <w:sz w:val="24"/>
          <w:szCs w:val="24"/>
          <w:lang w:eastAsia="en-GB"/>
          <w14:ligatures w14:val="standardContextual"/>
        </w:rPr>
      </w:pPr>
      <w:r w:rsidRPr="00504664">
        <w:rPr>
          <w:noProof/>
        </w:rPr>
        <w:t>1.</w:t>
      </w:r>
      <w:r>
        <w:rPr>
          <w:b w:val="0"/>
          <w:caps w:val="0"/>
          <w:noProof/>
          <w:color w:val="auto"/>
          <w:kern w:val="2"/>
          <w:sz w:val="24"/>
          <w:szCs w:val="24"/>
          <w:lang w:eastAsia="en-GB"/>
          <w14:ligatures w14:val="standardContextual"/>
        </w:rPr>
        <w:tab/>
      </w:r>
      <w:r>
        <w:rPr>
          <w:noProof/>
        </w:rPr>
        <w:t>Introduction</w:t>
      </w:r>
      <w:r>
        <w:rPr>
          <w:noProof/>
        </w:rPr>
        <w:tab/>
      </w:r>
      <w:r>
        <w:rPr>
          <w:noProof/>
        </w:rPr>
        <w:fldChar w:fldCharType="begin"/>
      </w:r>
      <w:r>
        <w:rPr>
          <w:noProof/>
        </w:rPr>
        <w:instrText xml:space="preserve"> PAGEREF _Toc242095845 \h </w:instrText>
      </w:r>
      <w:r>
        <w:rPr>
          <w:noProof/>
        </w:rPr>
      </w:r>
      <w:r>
        <w:rPr>
          <w:noProof/>
        </w:rPr>
        <w:fldChar w:fldCharType="separate"/>
      </w:r>
      <w:r>
        <w:rPr>
          <w:noProof/>
        </w:rPr>
        <w:t>5</w:t>
      </w:r>
      <w:r>
        <w:rPr>
          <w:noProof/>
        </w:rPr>
        <w:fldChar w:fldCharType="end"/>
      </w:r>
    </w:p>
    <w:p w14:paraId="0EBD1A4C" w14:textId="7785DD96" w:rsidR="00F84F73" w:rsidRDefault="00F84F73">
      <w:pPr>
        <w:pStyle w:val="TOC2"/>
        <w:rPr>
          <w:noProof/>
          <w:color w:val="auto"/>
          <w:kern w:val="2"/>
          <w:sz w:val="24"/>
          <w:szCs w:val="24"/>
          <w:lang w:eastAsia="en-GB"/>
          <w14:ligatures w14:val="standardContextual"/>
        </w:rPr>
      </w:pPr>
      <w:r w:rsidRPr="00504664">
        <w:rPr>
          <w:noProof/>
        </w:rPr>
        <w:t>1.1.</w:t>
      </w:r>
      <w:r>
        <w:rPr>
          <w:noProof/>
          <w:color w:val="auto"/>
          <w:kern w:val="2"/>
          <w:sz w:val="24"/>
          <w:szCs w:val="24"/>
          <w:lang w:eastAsia="en-GB"/>
          <w14:ligatures w14:val="standardContextual"/>
        </w:rPr>
        <w:tab/>
      </w:r>
      <w:r>
        <w:rPr>
          <w:noProof/>
        </w:rPr>
        <w:t>Purpose of the Document</w:t>
      </w:r>
      <w:r>
        <w:rPr>
          <w:noProof/>
        </w:rPr>
        <w:tab/>
      </w:r>
      <w:r>
        <w:rPr>
          <w:noProof/>
        </w:rPr>
        <w:fldChar w:fldCharType="begin"/>
      </w:r>
      <w:r>
        <w:rPr>
          <w:noProof/>
        </w:rPr>
        <w:instrText xml:space="preserve"> PAGEREF _Toc242095846 \h </w:instrText>
      </w:r>
      <w:r>
        <w:rPr>
          <w:noProof/>
        </w:rPr>
      </w:r>
      <w:r>
        <w:rPr>
          <w:noProof/>
        </w:rPr>
        <w:fldChar w:fldCharType="separate"/>
      </w:r>
      <w:r>
        <w:rPr>
          <w:noProof/>
        </w:rPr>
        <w:t>5</w:t>
      </w:r>
      <w:r>
        <w:rPr>
          <w:noProof/>
        </w:rPr>
        <w:fldChar w:fldCharType="end"/>
      </w:r>
    </w:p>
    <w:p w14:paraId="07A6820C" w14:textId="4B1F6D56" w:rsidR="00F84F73" w:rsidRDefault="00F84F73">
      <w:pPr>
        <w:pStyle w:val="TOC2"/>
        <w:rPr>
          <w:noProof/>
          <w:color w:val="auto"/>
          <w:kern w:val="2"/>
          <w:sz w:val="24"/>
          <w:szCs w:val="24"/>
          <w:lang w:eastAsia="en-GB"/>
          <w14:ligatures w14:val="standardContextual"/>
        </w:rPr>
      </w:pPr>
      <w:r w:rsidRPr="00504664">
        <w:rPr>
          <w:noProof/>
        </w:rPr>
        <w:t>1.2.</w:t>
      </w:r>
      <w:r>
        <w:rPr>
          <w:noProof/>
          <w:color w:val="auto"/>
          <w:kern w:val="2"/>
          <w:sz w:val="24"/>
          <w:szCs w:val="24"/>
          <w:lang w:eastAsia="en-GB"/>
          <w14:ligatures w14:val="standardContextual"/>
        </w:rPr>
        <w:tab/>
      </w:r>
      <w:r>
        <w:rPr>
          <w:noProof/>
        </w:rPr>
        <w:t>Intended Readership</w:t>
      </w:r>
      <w:r>
        <w:rPr>
          <w:noProof/>
        </w:rPr>
        <w:tab/>
      </w:r>
      <w:r>
        <w:rPr>
          <w:noProof/>
        </w:rPr>
        <w:fldChar w:fldCharType="begin"/>
      </w:r>
      <w:r>
        <w:rPr>
          <w:noProof/>
        </w:rPr>
        <w:instrText xml:space="preserve"> PAGEREF _Toc242095847 \h </w:instrText>
      </w:r>
      <w:r>
        <w:rPr>
          <w:noProof/>
        </w:rPr>
      </w:r>
      <w:r>
        <w:rPr>
          <w:noProof/>
        </w:rPr>
        <w:fldChar w:fldCharType="separate"/>
      </w:r>
      <w:r>
        <w:rPr>
          <w:noProof/>
        </w:rPr>
        <w:t>6</w:t>
      </w:r>
      <w:r>
        <w:rPr>
          <w:noProof/>
        </w:rPr>
        <w:fldChar w:fldCharType="end"/>
      </w:r>
    </w:p>
    <w:p w14:paraId="19D7AED3" w14:textId="4AF8AEA2" w:rsidR="00F84F73" w:rsidRDefault="00F84F73">
      <w:pPr>
        <w:pStyle w:val="TOC2"/>
        <w:rPr>
          <w:noProof/>
          <w:color w:val="auto"/>
          <w:kern w:val="2"/>
          <w:sz w:val="24"/>
          <w:szCs w:val="24"/>
          <w:lang w:eastAsia="en-GB"/>
          <w14:ligatures w14:val="standardContextual"/>
        </w:rPr>
      </w:pPr>
      <w:r w:rsidRPr="00504664">
        <w:rPr>
          <w:noProof/>
        </w:rPr>
        <w:t>1.3.</w:t>
      </w:r>
      <w:r>
        <w:rPr>
          <w:noProof/>
          <w:color w:val="auto"/>
          <w:kern w:val="2"/>
          <w:sz w:val="24"/>
          <w:szCs w:val="24"/>
          <w:lang w:eastAsia="en-GB"/>
          <w14:ligatures w14:val="standardContextual"/>
        </w:rPr>
        <w:tab/>
      </w:r>
      <w:r>
        <w:rPr>
          <w:noProof/>
        </w:rPr>
        <w:t>Definitions</w:t>
      </w:r>
      <w:r>
        <w:rPr>
          <w:noProof/>
        </w:rPr>
        <w:tab/>
      </w:r>
      <w:r>
        <w:rPr>
          <w:noProof/>
        </w:rPr>
        <w:fldChar w:fldCharType="begin"/>
      </w:r>
      <w:r>
        <w:rPr>
          <w:noProof/>
        </w:rPr>
        <w:instrText xml:space="preserve"> PAGEREF _Toc242095848 \h </w:instrText>
      </w:r>
      <w:r>
        <w:rPr>
          <w:noProof/>
        </w:rPr>
      </w:r>
      <w:r>
        <w:rPr>
          <w:noProof/>
        </w:rPr>
        <w:fldChar w:fldCharType="separate"/>
      </w:r>
      <w:r>
        <w:rPr>
          <w:noProof/>
        </w:rPr>
        <w:t>6</w:t>
      </w:r>
      <w:r>
        <w:rPr>
          <w:noProof/>
        </w:rPr>
        <w:fldChar w:fldCharType="end"/>
      </w:r>
    </w:p>
    <w:p w14:paraId="025A8B6E" w14:textId="4159FEA3" w:rsidR="00F84F73" w:rsidRDefault="00F84F73">
      <w:pPr>
        <w:pStyle w:val="TOC1"/>
        <w:rPr>
          <w:b w:val="0"/>
          <w:caps w:val="0"/>
          <w:noProof/>
          <w:color w:val="auto"/>
          <w:kern w:val="2"/>
          <w:sz w:val="24"/>
          <w:szCs w:val="24"/>
          <w:lang w:eastAsia="en-GB"/>
          <w14:ligatures w14:val="standardContextual"/>
        </w:rPr>
      </w:pPr>
      <w:r w:rsidRPr="00504664">
        <w:rPr>
          <w:noProof/>
        </w:rPr>
        <w:t>2.</w:t>
      </w:r>
      <w:r>
        <w:rPr>
          <w:b w:val="0"/>
          <w:caps w:val="0"/>
          <w:noProof/>
          <w:color w:val="auto"/>
          <w:kern w:val="2"/>
          <w:sz w:val="24"/>
          <w:szCs w:val="24"/>
          <w:lang w:eastAsia="en-GB"/>
          <w14:ligatures w14:val="standardContextual"/>
        </w:rPr>
        <w:tab/>
      </w:r>
      <w:r>
        <w:rPr>
          <w:noProof/>
        </w:rPr>
        <w:t>Service Identification</w:t>
      </w:r>
      <w:r>
        <w:rPr>
          <w:noProof/>
        </w:rPr>
        <w:tab/>
      </w:r>
      <w:r>
        <w:rPr>
          <w:noProof/>
        </w:rPr>
        <w:fldChar w:fldCharType="begin"/>
      </w:r>
      <w:r>
        <w:rPr>
          <w:noProof/>
        </w:rPr>
        <w:instrText xml:space="preserve"> PAGEREF _Toc242095849 \h </w:instrText>
      </w:r>
      <w:r>
        <w:rPr>
          <w:noProof/>
        </w:rPr>
      </w:r>
      <w:r>
        <w:rPr>
          <w:noProof/>
        </w:rPr>
        <w:fldChar w:fldCharType="separate"/>
      </w:r>
      <w:r>
        <w:rPr>
          <w:noProof/>
        </w:rPr>
        <w:t>7</w:t>
      </w:r>
      <w:r>
        <w:rPr>
          <w:noProof/>
        </w:rPr>
        <w:fldChar w:fldCharType="end"/>
      </w:r>
    </w:p>
    <w:p w14:paraId="66A3A5F8" w14:textId="43633779" w:rsidR="00F84F73" w:rsidRDefault="00F84F73">
      <w:pPr>
        <w:pStyle w:val="TOC1"/>
        <w:rPr>
          <w:b w:val="0"/>
          <w:caps w:val="0"/>
          <w:noProof/>
          <w:color w:val="auto"/>
          <w:kern w:val="2"/>
          <w:sz w:val="24"/>
          <w:szCs w:val="24"/>
          <w:lang w:eastAsia="en-GB"/>
          <w14:ligatures w14:val="standardContextual"/>
        </w:rPr>
      </w:pPr>
      <w:r w:rsidRPr="00504664">
        <w:rPr>
          <w:noProof/>
        </w:rPr>
        <w:t>3.</w:t>
      </w:r>
      <w:r>
        <w:rPr>
          <w:b w:val="0"/>
          <w:caps w:val="0"/>
          <w:noProof/>
          <w:color w:val="auto"/>
          <w:kern w:val="2"/>
          <w:sz w:val="24"/>
          <w:szCs w:val="24"/>
          <w:lang w:eastAsia="en-GB"/>
          <w14:ligatures w14:val="standardContextual"/>
        </w:rPr>
        <w:tab/>
      </w:r>
      <w:r>
        <w:rPr>
          <w:noProof/>
        </w:rPr>
        <w:t>Operational Context</w:t>
      </w:r>
      <w:r>
        <w:rPr>
          <w:noProof/>
        </w:rPr>
        <w:tab/>
      </w:r>
      <w:r>
        <w:rPr>
          <w:noProof/>
        </w:rPr>
        <w:fldChar w:fldCharType="begin"/>
      </w:r>
      <w:r>
        <w:rPr>
          <w:noProof/>
        </w:rPr>
        <w:instrText xml:space="preserve"> PAGEREF _Toc242095850 \h </w:instrText>
      </w:r>
      <w:r>
        <w:rPr>
          <w:noProof/>
        </w:rPr>
      </w:r>
      <w:r>
        <w:rPr>
          <w:noProof/>
        </w:rPr>
        <w:fldChar w:fldCharType="separate"/>
      </w:r>
      <w:r>
        <w:rPr>
          <w:noProof/>
        </w:rPr>
        <w:t>8</w:t>
      </w:r>
      <w:r>
        <w:rPr>
          <w:noProof/>
        </w:rPr>
        <w:fldChar w:fldCharType="end"/>
      </w:r>
    </w:p>
    <w:p w14:paraId="2F22FEFA" w14:textId="3EF0B023" w:rsidR="00F84F73" w:rsidRDefault="00F84F73">
      <w:pPr>
        <w:pStyle w:val="TOC2"/>
        <w:rPr>
          <w:noProof/>
          <w:color w:val="auto"/>
          <w:kern w:val="2"/>
          <w:sz w:val="24"/>
          <w:szCs w:val="24"/>
          <w:lang w:eastAsia="en-GB"/>
          <w14:ligatures w14:val="standardContextual"/>
        </w:rPr>
      </w:pPr>
      <w:r w:rsidRPr="00504664">
        <w:rPr>
          <w:noProof/>
        </w:rPr>
        <w:t>3.1.</w:t>
      </w:r>
      <w:r>
        <w:rPr>
          <w:noProof/>
          <w:color w:val="auto"/>
          <w:kern w:val="2"/>
          <w:sz w:val="24"/>
          <w:szCs w:val="24"/>
          <w:lang w:eastAsia="en-GB"/>
          <w14:ligatures w14:val="standardContextual"/>
        </w:rPr>
        <w:tab/>
      </w:r>
      <w:r>
        <w:rPr>
          <w:noProof/>
        </w:rPr>
        <w:t>Pre S-201 Operational Context</w:t>
      </w:r>
      <w:r>
        <w:rPr>
          <w:noProof/>
        </w:rPr>
        <w:tab/>
      </w:r>
      <w:r>
        <w:rPr>
          <w:noProof/>
        </w:rPr>
        <w:fldChar w:fldCharType="begin"/>
      </w:r>
      <w:r>
        <w:rPr>
          <w:noProof/>
        </w:rPr>
        <w:instrText xml:space="preserve"> PAGEREF _Toc242095851 \h </w:instrText>
      </w:r>
      <w:r>
        <w:rPr>
          <w:noProof/>
        </w:rPr>
      </w:r>
      <w:r>
        <w:rPr>
          <w:noProof/>
        </w:rPr>
        <w:fldChar w:fldCharType="separate"/>
      </w:r>
      <w:r>
        <w:rPr>
          <w:noProof/>
        </w:rPr>
        <w:t>8</w:t>
      </w:r>
      <w:r>
        <w:rPr>
          <w:noProof/>
        </w:rPr>
        <w:fldChar w:fldCharType="end"/>
      </w:r>
    </w:p>
    <w:p w14:paraId="6C9C8C2B" w14:textId="0CADA715" w:rsidR="00F84F73" w:rsidRDefault="00F84F73">
      <w:pPr>
        <w:pStyle w:val="TOC2"/>
        <w:rPr>
          <w:noProof/>
          <w:color w:val="auto"/>
          <w:kern w:val="2"/>
          <w:sz w:val="24"/>
          <w:szCs w:val="24"/>
          <w:lang w:eastAsia="en-GB"/>
          <w14:ligatures w14:val="standardContextual"/>
        </w:rPr>
      </w:pPr>
      <w:r w:rsidRPr="00504664">
        <w:rPr>
          <w:noProof/>
        </w:rPr>
        <w:t>3.2.</w:t>
      </w:r>
      <w:r>
        <w:rPr>
          <w:noProof/>
          <w:color w:val="auto"/>
          <w:kern w:val="2"/>
          <w:sz w:val="24"/>
          <w:szCs w:val="24"/>
          <w:lang w:eastAsia="en-GB"/>
          <w14:ligatures w14:val="standardContextual"/>
        </w:rPr>
        <w:tab/>
      </w:r>
      <w:r>
        <w:rPr>
          <w:noProof/>
        </w:rPr>
        <w:t>Envisioned Operational Context</w:t>
      </w:r>
      <w:r>
        <w:rPr>
          <w:noProof/>
        </w:rPr>
        <w:tab/>
      </w:r>
      <w:r>
        <w:rPr>
          <w:noProof/>
        </w:rPr>
        <w:fldChar w:fldCharType="begin"/>
      </w:r>
      <w:r>
        <w:rPr>
          <w:noProof/>
        </w:rPr>
        <w:instrText xml:space="preserve"> PAGEREF _Toc242095852 \h </w:instrText>
      </w:r>
      <w:r>
        <w:rPr>
          <w:noProof/>
        </w:rPr>
      </w:r>
      <w:r>
        <w:rPr>
          <w:noProof/>
        </w:rPr>
        <w:fldChar w:fldCharType="separate"/>
      </w:r>
      <w:r>
        <w:rPr>
          <w:noProof/>
        </w:rPr>
        <w:t>8</w:t>
      </w:r>
      <w:r>
        <w:rPr>
          <w:noProof/>
        </w:rPr>
        <w:fldChar w:fldCharType="end"/>
      </w:r>
    </w:p>
    <w:p w14:paraId="4CBA352C" w14:textId="0AA63D41"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3.2.1.</w:t>
      </w:r>
      <w:r>
        <w:rPr>
          <w:noProof/>
          <w:color w:val="auto"/>
          <w:kern w:val="2"/>
          <w:sz w:val="24"/>
          <w:szCs w:val="24"/>
          <w:lang w:eastAsia="en-GB"/>
          <w14:ligatures w14:val="standardContextual"/>
        </w:rPr>
        <w:tab/>
      </w:r>
      <w:r>
        <w:rPr>
          <w:noProof/>
        </w:rPr>
        <w:t>Relationships between S-S201 and S-101, S-124, S-125</w:t>
      </w:r>
      <w:r>
        <w:rPr>
          <w:noProof/>
        </w:rPr>
        <w:tab/>
      </w:r>
      <w:r>
        <w:rPr>
          <w:noProof/>
        </w:rPr>
        <w:fldChar w:fldCharType="begin"/>
      </w:r>
      <w:r>
        <w:rPr>
          <w:noProof/>
        </w:rPr>
        <w:instrText xml:space="preserve"> PAGEREF _Toc242095853 \h </w:instrText>
      </w:r>
      <w:r>
        <w:rPr>
          <w:noProof/>
        </w:rPr>
      </w:r>
      <w:r>
        <w:rPr>
          <w:noProof/>
        </w:rPr>
        <w:fldChar w:fldCharType="separate"/>
      </w:r>
      <w:r>
        <w:rPr>
          <w:noProof/>
        </w:rPr>
        <w:t>9</w:t>
      </w:r>
      <w:r>
        <w:rPr>
          <w:noProof/>
        </w:rPr>
        <w:fldChar w:fldCharType="end"/>
      </w:r>
    </w:p>
    <w:p w14:paraId="1E96B406" w14:textId="6033458B"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3.2.2.</w:t>
      </w:r>
      <w:r>
        <w:rPr>
          <w:noProof/>
          <w:color w:val="auto"/>
          <w:kern w:val="2"/>
          <w:sz w:val="24"/>
          <w:szCs w:val="24"/>
          <w:lang w:eastAsia="en-GB"/>
          <w14:ligatures w14:val="standardContextual"/>
        </w:rPr>
        <w:tab/>
      </w:r>
      <w:r>
        <w:rPr>
          <w:noProof/>
        </w:rPr>
        <w:t>Discoverability and Dissemination</w:t>
      </w:r>
      <w:r>
        <w:rPr>
          <w:noProof/>
        </w:rPr>
        <w:tab/>
      </w:r>
      <w:r>
        <w:rPr>
          <w:noProof/>
        </w:rPr>
        <w:fldChar w:fldCharType="begin"/>
      </w:r>
      <w:r>
        <w:rPr>
          <w:noProof/>
        </w:rPr>
        <w:instrText xml:space="preserve"> PAGEREF _Toc242095854 \h </w:instrText>
      </w:r>
      <w:r>
        <w:rPr>
          <w:noProof/>
        </w:rPr>
      </w:r>
      <w:r>
        <w:rPr>
          <w:noProof/>
        </w:rPr>
        <w:fldChar w:fldCharType="separate"/>
      </w:r>
      <w:r>
        <w:rPr>
          <w:noProof/>
        </w:rPr>
        <w:t>9</w:t>
      </w:r>
      <w:r>
        <w:rPr>
          <w:noProof/>
        </w:rPr>
        <w:fldChar w:fldCharType="end"/>
      </w:r>
    </w:p>
    <w:p w14:paraId="16851842" w14:textId="58699DB7" w:rsidR="00F84F73" w:rsidRDefault="00F84F73">
      <w:pPr>
        <w:pStyle w:val="TOC2"/>
        <w:rPr>
          <w:noProof/>
          <w:color w:val="auto"/>
          <w:kern w:val="2"/>
          <w:sz w:val="24"/>
          <w:szCs w:val="24"/>
          <w:lang w:eastAsia="en-GB"/>
          <w14:ligatures w14:val="standardContextual"/>
        </w:rPr>
      </w:pPr>
      <w:r w:rsidRPr="00504664">
        <w:rPr>
          <w:noProof/>
        </w:rPr>
        <w:t>3.3.</w:t>
      </w:r>
      <w:r>
        <w:rPr>
          <w:noProof/>
          <w:color w:val="auto"/>
          <w:kern w:val="2"/>
          <w:sz w:val="24"/>
          <w:szCs w:val="24"/>
          <w:lang w:eastAsia="en-GB"/>
          <w14:ligatures w14:val="standardContextual"/>
        </w:rPr>
        <w:tab/>
      </w:r>
      <w:r>
        <w:rPr>
          <w:noProof/>
        </w:rPr>
        <w:t>Functional and Non-functional Requirements</w:t>
      </w:r>
      <w:r>
        <w:rPr>
          <w:noProof/>
        </w:rPr>
        <w:tab/>
      </w:r>
      <w:r>
        <w:rPr>
          <w:noProof/>
        </w:rPr>
        <w:fldChar w:fldCharType="begin"/>
      </w:r>
      <w:r>
        <w:rPr>
          <w:noProof/>
        </w:rPr>
        <w:instrText xml:space="preserve"> PAGEREF _Toc242095855 \h </w:instrText>
      </w:r>
      <w:r>
        <w:rPr>
          <w:noProof/>
        </w:rPr>
      </w:r>
      <w:r>
        <w:rPr>
          <w:noProof/>
        </w:rPr>
        <w:fldChar w:fldCharType="separate"/>
      </w:r>
      <w:r>
        <w:rPr>
          <w:noProof/>
        </w:rPr>
        <w:t>9</w:t>
      </w:r>
      <w:r>
        <w:rPr>
          <w:noProof/>
        </w:rPr>
        <w:fldChar w:fldCharType="end"/>
      </w:r>
    </w:p>
    <w:p w14:paraId="0B0059CC" w14:textId="7DAE2385" w:rsidR="00F84F73" w:rsidRDefault="00F84F73">
      <w:pPr>
        <w:pStyle w:val="TOC2"/>
        <w:rPr>
          <w:noProof/>
          <w:color w:val="auto"/>
          <w:kern w:val="2"/>
          <w:sz w:val="24"/>
          <w:szCs w:val="24"/>
          <w:lang w:eastAsia="en-GB"/>
          <w14:ligatures w14:val="standardContextual"/>
        </w:rPr>
      </w:pPr>
      <w:r w:rsidRPr="00504664">
        <w:rPr>
          <w:noProof/>
        </w:rPr>
        <w:t>3.4.</w:t>
      </w:r>
      <w:r>
        <w:rPr>
          <w:noProof/>
          <w:color w:val="auto"/>
          <w:kern w:val="2"/>
          <w:sz w:val="24"/>
          <w:szCs w:val="24"/>
          <w:lang w:eastAsia="en-GB"/>
          <w14:ligatures w14:val="standardContextual"/>
        </w:rPr>
        <w:tab/>
      </w:r>
      <w:r>
        <w:rPr>
          <w:noProof/>
        </w:rPr>
        <w:t>Other Constraints</w:t>
      </w:r>
      <w:r>
        <w:rPr>
          <w:noProof/>
        </w:rPr>
        <w:tab/>
      </w:r>
      <w:r>
        <w:rPr>
          <w:noProof/>
        </w:rPr>
        <w:fldChar w:fldCharType="begin"/>
      </w:r>
      <w:r>
        <w:rPr>
          <w:noProof/>
        </w:rPr>
        <w:instrText xml:space="preserve"> PAGEREF _Toc242095856 \h </w:instrText>
      </w:r>
      <w:r>
        <w:rPr>
          <w:noProof/>
        </w:rPr>
      </w:r>
      <w:r>
        <w:rPr>
          <w:noProof/>
        </w:rPr>
        <w:fldChar w:fldCharType="separate"/>
      </w:r>
      <w:r>
        <w:rPr>
          <w:noProof/>
        </w:rPr>
        <w:t>13</w:t>
      </w:r>
      <w:r>
        <w:rPr>
          <w:noProof/>
        </w:rPr>
        <w:fldChar w:fldCharType="end"/>
      </w:r>
    </w:p>
    <w:p w14:paraId="278194F8" w14:textId="35D8DB99"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3.4.1.</w:t>
      </w:r>
      <w:r>
        <w:rPr>
          <w:noProof/>
          <w:color w:val="auto"/>
          <w:kern w:val="2"/>
          <w:sz w:val="24"/>
          <w:szCs w:val="24"/>
          <w:lang w:eastAsia="en-GB"/>
          <w14:ligatures w14:val="standardContextual"/>
        </w:rPr>
        <w:tab/>
      </w:r>
      <w:r>
        <w:rPr>
          <w:noProof/>
        </w:rPr>
        <w:t>Relevant Industrial Standards</w:t>
      </w:r>
      <w:r>
        <w:rPr>
          <w:noProof/>
        </w:rPr>
        <w:tab/>
      </w:r>
      <w:r>
        <w:rPr>
          <w:noProof/>
        </w:rPr>
        <w:fldChar w:fldCharType="begin"/>
      </w:r>
      <w:r>
        <w:rPr>
          <w:noProof/>
        </w:rPr>
        <w:instrText xml:space="preserve"> PAGEREF _Toc242095857 \h </w:instrText>
      </w:r>
      <w:r>
        <w:rPr>
          <w:noProof/>
        </w:rPr>
      </w:r>
      <w:r>
        <w:rPr>
          <w:noProof/>
        </w:rPr>
        <w:fldChar w:fldCharType="separate"/>
      </w:r>
      <w:r>
        <w:rPr>
          <w:noProof/>
        </w:rPr>
        <w:t>13</w:t>
      </w:r>
      <w:r>
        <w:rPr>
          <w:noProof/>
        </w:rPr>
        <w:fldChar w:fldCharType="end"/>
      </w:r>
    </w:p>
    <w:p w14:paraId="313CA7DD" w14:textId="08CACAC0"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3.4.2.</w:t>
      </w:r>
      <w:r>
        <w:rPr>
          <w:noProof/>
          <w:color w:val="auto"/>
          <w:kern w:val="2"/>
          <w:sz w:val="24"/>
          <w:szCs w:val="24"/>
          <w:lang w:eastAsia="en-GB"/>
          <w14:ligatures w14:val="standardContextual"/>
        </w:rPr>
        <w:tab/>
      </w:r>
      <w:r>
        <w:rPr>
          <w:noProof/>
        </w:rPr>
        <w:t>Operational Nodes</w:t>
      </w:r>
      <w:r>
        <w:rPr>
          <w:noProof/>
        </w:rPr>
        <w:tab/>
      </w:r>
      <w:r>
        <w:rPr>
          <w:noProof/>
        </w:rPr>
        <w:fldChar w:fldCharType="begin"/>
      </w:r>
      <w:r>
        <w:rPr>
          <w:noProof/>
        </w:rPr>
        <w:instrText xml:space="preserve"> PAGEREF _Toc242095858 \h </w:instrText>
      </w:r>
      <w:r>
        <w:rPr>
          <w:noProof/>
        </w:rPr>
      </w:r>
      <w:r>
        <w:rPr>
          <w:noProof/>
        </w:rPr>
        <w:fldChar w:fldCharType="separate"/>
      </w:r>
      <w:r>
        <w:rPr>
          <w:noProof/>
        </w:rPr>
        <w:t>13</w:t>
      </w:r>
      <w:r>
        <w:rPr>
          <w:noProof/>
        </w:rPr>
        <w:fldChar w:fldCharType="end"/>
      </w:r>
    </w:p>
    <w:p w14:paraId="7F00A4D8" w14:textId="77CA16F8"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3.4.3.</w:t>
      </w:r>
      <w:r>
        <w:rPr>
          <w:noProof/>
          <w:color w:val="auto"/>
          <w:kern w:val="2"/>
          <w:sz w:val="24"/>
          <w:szCs w:val="24"/>
          <w:lang w:eastAsia="en-GB"/>
          <w14:ligatures w14:val="standardContextual"/>
        </w:rPr>
        <w:tab/>
      </w:r>
      <w:r>
        <w:rPr>
          <w:noProof/>
        </w:rPr>
        <w:t>Operational Activities</w:t>
      </w:r>
      <w:r>
        <w:rPr>
          <w:noProof/>
        </w:rPr>
        <w:tab/>
      </w:r>
      <w:r>
        <w:rPr>
          <w:noProof/>
        </w:rPr>
        <w:fldChar w:fldCharType="begin"/>
      </w:r>
      <w:r>
        <w:rPr>
          <w:noProof/>
        </w:rPr>
        <w:instrText xml:space="preserve"> PAGEREF _Toc242095859 \h </w:instrText>
      </w:r>
      <w:r>
        <w:rPr>
          <w:noProof/>
        </w:rPr>
      </w:r>
      <w:r>
        <w:rPr>
          <w:noProof/>
        </w:rPr>
        <w:fldChar w:fldCharType="separate"/>
      </w:r>
      <w:r>
        <w:rPr>
          <w:noProof/>
        </w:rPr>
        <w:t>14</w:t>
      </w:r>
      <w:r>
        <w:rPr>
          <w:noProof/>
        </w:rPr>
        <w:fldChar w:fldCharType="end"/>
      </w:r>
    </w:p>
    <w:p w14:paraId="56C0F152" w14:textId="1709ADB5"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3.4.4.</w:t>
      </w:r>
      <w:r>
        <w:rPr>
          <w:noProof/>
          <w:color w:val="auto"/>
          <w:kern w:val="2"/>
          <w:sz w:val="24"/>
          <w:szCs w:val="24"/>
          <w:lang w:eastAsia="en-GB"/>
          <w14:ligatures w14:val="standardContextual"/>
        </w:rPr>
        <w:tab/>
      </w:r>
      <w:r>
        <w:rPr>
          <w:noProof/>
        </w:rPr>
        <w:t>Use Cases</w:t>
      </w:r>
      <w:r>
        <w:rPr>
          <w:noProof/>
        </w:rPr>
        <w:tab/>
      </w:r>
      <w:r>
        <w:rPr>
          <w:noProof/>
        </w:rPr>
        <w:fldChar w:fldCharType="begin"/>
      </w:r>
      <w:r>
        <w:rPr>
          <w:noProof/>
        </w:rPr>
        <w:instrText xml:space="preserve"> PAGEREF _Toc242095860 \h </w:instrText>
      </w:r>
      <w:r>
        <w:rPr>
          <w:noProof/>
        </w:rPr>
      </w:r>
      <w:r>
        <w:rPr>
          <w:noProof/>
        </w:rPr>
        <w:fldChar w:fldCharType="separate"/>
      </w:r>
      <w:r>
        <w:rPr>
          <w:noProof/>
        </w:rPr>
        <w:t>14</w:t>
      </w:r>
      <w:r>
        <w:rPr>
          <w:noProof/>
        </w:rPr>
        <w:fldChar w:fldCharType="end"/>
      </w:r>
    </w:p>
    <w:p w14:paraId="42F6C48F" w14:textId="33D19B56" w:rsidR="00F84F73" w:rsidRDefault="00F84F73">
      <w:pPr>
        <w:pStyle w:val="TOC1"/>
        <w:rPr>
          <w:b w:val="0"/>
          <w:caps w:val="0"/>
          <w:noProof/>
          <w:color w:val="auto"/>
          <w:kern w:val="2"/>
          <w:sz w:val="24"/>
          <w:szCs w:val="24"/>
          <w:lang w:eastAsia="en-GB"/>
          <w14:ligatures w14:val="standardContextual"/>
        </w:rPr>
      </w:pPr>
      <w:r w:rsidRPr="00504664">
        <w:rPr>
          <w:noProof/>
        </w:rPr>
        <w:t>4.</w:t>
      </w:r>
      <w:r>
        <w:rPr>
          <w:b w:val="0"/>
          <w:caps w:val="0"/>
          <w:noProof/>
          <w:color w:val="auto"/>
          <w:kern w:val="2"/>
          <w:sz w:val="24"/>
          <w:szCs w:val="24"/>
          <w:lang w:eastAsia="en-GB"/>
          <w14:ligatures w14:val="standardContextual"/>
        </w:rPr>
        <w:tab/>
      </w:r>
      <w:r>
        <w:rPr>
          <w:noProof/>
        </w:rPr>
        <w:t>Service Overview</w:t>
      </w:r>
      <w:r>
        <w:rPr>
          <w:noProof/>
        </w:rPr>
        <w:tab/>
      </w:r>
      <w:r>
        <w:rPr>
          <w:noProof/>
        </w:rPr>
        <w:fldChar w:fldCharType="begin"/>
      </w:r>
      <w:r>
        <w:rPr>
          <w:noProof/>
        </w:rPr>
        <w:instrText xml:space="preserve"> PAGEREF _Toc242095861 \h </w:instrText>
      </w:r>
      <w:r>
        <w:rPr>
          <w:noProof/>
        </w:rPr>
      </w:r>
      <w:r>
        <w:rPr>
          <w:noProof/>
        </w:rPr>
        <w:fldChar w:fldCharType="separate"/>
      </w:r>
      <w:r>
        <w:rPr>
          <w:noProof/>
        </w:rPr>
        <w:t>16</w:t>
      </w:r>
      <w:r>
        <w:rPr>
          <w:noProof/>
        </w:rPr>
        <w:fldChar w:fldCharType="end"/>
      </w:r>
    </w:p>
    <w:p w14:paraId="0FDF7FC3" w14:textId="5565E23F" w:rsidR="00F84F73" w:rsidRDefault="00F84F73">
      <w:pPr>
        <w:pStyle w:val="TOC2"/>
        <w:rPr>
          <w:noProof/>
          <w:color w:val="auto"/>
          <w:kern w:val="2"/>
          <w:sz w:val="24"/>
          <w:szCs w:val="24"/>
          <w:lang w:eastAsia="en-GB"/>
          <w14:ligatures w14:val="standardContextual"/>
        </w:rPr>
      </w:pPr>
      <w:r w:rsidRPr="00504664">
        <w:rPr>
          <w:noProof/>
        </w:rPr>
        <w:t>4.1.</w:t>
      </w:r>
      <w:r>
        <w:rPr>
          <w:noProof/>
          <w:color w:val="auto"/>
          <w:kern w:val="2"/>
          <w:sz w:val="24"/>
          <w:szCs w:val="24"/>
          <w:lang w:eastAsia="en-GB"/>
          <w14:ligatures w14:val="standardContextual"/>
        </w:rPr>
        <w:tab/>
      </w:r>
      <w:r>
        <w:rPr>
          <w:noProof/>
        </w:rPr>
        <w:t>The Enhanced AtoN Information Service</w:t>
      </w:r>
      <w:r>
        <w:rPr>
          <w:noProof/>
        </w:rPr>
        <w:tab/>
      </w:r>
      <w:r>
        <w:rPr>
          <w:noProof/>
        </w:rPr>
        <w:fldChar w:fldCharType="begin"/>
      </w:r>
      <w:r>
        <w:rPr>
          <w:noProof/>
        </w:rPr>
        <w:instrText xml:space="preserve"> PAGEREF _Toc242095862 \h </w:instrText>
      </w:r>
      <w:r>
        <w:rPr>
          <w:noProof/>
        </w:rPr>
      </w:r>
      <w:r>
        <w:rPr>
          <w:noProof/>
        </w:rPr>
        <w:fldChar w:fldCharType="separate"/>
      </w:r>
      <w:r>
        <w:rPr>
          <w:noProof/>
        </w:rPr>
        <w:t>16</w:t>
      </w:r>
      <w:r>
        <w:rPr>
          <w:noProof/>
        </w:rPr>
        <w:fldChar w:fldCharType="end"/>
      </w:r>
    </w:p>
    <w:p w14:paraId="0C351F34" w14:textId="23FC2668" w:rsidR="00F84F73" w:rsidRDefault="00F84F73">
      <w:pPr>
        <w:pStyle w:val="TOC2"/>
        <w:rPr>
          <w:noProof/>
          <w:color w:val="auto"/>
          <w:kern w:val="2"/>
          <w:sz w:val="24"/>
          <w:szCs w:val="24"/>
          <w:lang w:eastAsia="en-GB"/>
          <w14:ligatures w14:val="standardContextual"/>
        </w:rPr>
      </w:pPr>
      <w:r w:rsidRPr="00504664">
        <w:rPr>
          <w:noProof/>
        </w:rPr>
        <w:t>4.2.</w:t>
      </w:r>
      <w:r>
        <w:rPr>
          <w:noProof/>
          <w:color w:val="auto"/>
          <w:kern w:val="2"/>
          <w:sz w:val="24"/>
          <w:szCs w:val="24"/>
          <w:lang w:eastAsia="en-GB"/>
          <w14:ligatures w14:val="standardContextual"/>
        </w:rPr>
        <w:tab/>
      </w:r>
      <w:r>
        <w:rPr>
          <w:noProof/>
        </w:rPr>
        <w:t>Service Operations</w:t>
      </w:r>
      <w:r>
        <w:rPr>
          <w:noProof/>
        </w:rPr>
        <w:tab/>
      </w:r>
      <w:r>
        <w:rPr>
          <w:noProof/>
        </w:rPr>
        <w:fldChar w:fldCharType="begin"/>
      </w:r>
      <w:r>
        <w:rPr>
          <w:noProof/>
        </w:rPr>
        <w:instrText xml:space="preserve"> PAGEREF _Toc242095863 \h </w:instrText>
      </w:r>
      <w:r>
        <w:rPr>
          <w:noProof/>
        </w:rPr>
      </w:r>
      <w:r>
        <w:rPr>
          <w:noProof/>
        </w:rPr>
        <w:fldChar w:fldCharType="separate"/>
      </w:r>
      <w:r>
        <w:rPr>
          <w:noProof/>
        </w:rPr>
        <w:t>17</w:t>
      </w:r>
      <w:r>
        <w:rPr>
          <w:noProof/>
        </w:rPr>
        <w:fldChar w:fldCharType="end"/>
      </w:r>
    </w:p>
    <w:p w14:paraId="6CFACCAE" w14:textId="6FB8B168"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4.2.1.</w:t>
      </w:r>
      <w:r>
        <w:rPr>
          <w:noProof/>
          <w:color w:val="auto"/>
          <w:kern w:val="2"/>
          <w:sz w:val="24"/>
          <w:szCs w:val="24"/>
          <w:lang w:eastAsia="en-GB"/>
          <w14:ligatures w14:val="standardContextual"/>
        </w:rPr>
        <w:tab/>
      </w:r>
      <w:r>
        <w:rPr>
          <w:noProof/>
        </w:rPr>
        <w:t>Get Operation</w:t>
      </w:r>
      <w:r>
        <w:rPr>
          <w:noProof/>
        </w:rPr>
        <w:tab/>
      </w:r>
      <w:r>
        <w:rPr>
          <w:noProof/>
        </w:rPr>
        <w:fldChar w:fldCharType="begin"/>
      </w:r>
      <w:r>
        <w:rPr>
          <w:noProof/>
        </w:rPr>
        <w:instrText xml:space="preserve"> PAGEREF _Toc242095864 \h </w:instrText>
      </w:r>
      <w:r>
        <w:rPr>
          <w:noProof/>
        </w:rPr>
      </w:r>
      <w:r>
        <w:rPr>
          <w:noProof/>
        </w:rPr>
        <w:fldChar w:fldCharType="separate"/>
      </w:r>
      <w:r>
        <w:rPr>
          <w:noProof/>
        </w:rPr>
        <w:t>18</w:t>
      </w:r>
      <w:r>
        <w:rPr>
          <w:noProof/>
        </w:rPr>
        <w:fldChar w:fldCharType="end"/>
      </w:r>
    </w:p>
    <w:p w14:paraId="6C8B114A" w14:textId="51467331"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4.2.2.</w:t>
      </w:r>
      <w:r>
        <w:rPr>
          <w:noProof/>
          <w:color w:val="auto"/>
          <w:kern w:val="2"/>
          <w:sz w:val="24"/>
          <w:szCs w:val="24"/>
          <w:lang w:eastAsia="en-GB"/>
          <w14:ligatures w14:val="standardContextual"/>
        </w:rPr>
        <w:tab/>
      </w:r>
      <w:r>
        <w:rPr>
          <w:noProof/>
        </w:rPr>
        <w:t>Get Summary Operation</w:t>
      </w:r>
      <w:r>
        <w:rPr>
          <w:noProof/>
        </w:rPr>
        <w:tab/>
      </w:r>
      <w:r>
        <w:rPr>
          <w:noProof/>
        </w:rPr>
        <w:fldChar w:fldCharType="begin"/>
      </w:r>
      <w:r>
        <w:rPr>
          <w:noProof/>
        </w:rPr>
        <w:instrText xml:space="preserve"> PAGEREF _Toc242095865 \h </w:instrText>
      </w:r>
      <w:r>
        <w:rPr>
          <w:noProof/>
        </w:rPr>
      </w:r>
      <w:r>
        <w:rPr>
          <w:noProof/>
        </w:rPr>
        <w:fldChar w:fldCharType="separate"/>
      </w:r>
      <w:r>
        <w:rPr>
          <w:noProof/>
        </w:rPr>
        <w:t>20</w:t>
      </w:r>
      <w:r>
        <w:rPr>
          <w:noProof/>
        </w:rPr>
        <w:fldChar w:fldCharType="end"/>
      </w:r>
    </w:p>
    <w:p w14:paraId="2E233B3F" w14:textId="11969624"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4.2.3.</w:t>
      </w:r>
      <w:r>
        <w:rPr>
          <w:noProof/>
          <w:color w:val="auto"/>
          <w:kern w:val="2"/>
          <w:sz w:val="24"/>
          <w:szCs w:val="24"/>
          <w:lang w:eastAsia="en-GB"/>
          <w14:ligatures w14:val="standardContextual"/>
        </w:rPr>
        <w:tab/>
      </w:r>
      <w:r>
        <w:rPr>
          <w:noProof/>
        </w:rPr>
        <w:t>Subscription Operation</w:t>
      </w:r>
      <w:r>
        <w:rPr>
          <w:noProof/>
        </w:rPr>
        <w:tab/>
      </w:r>
      <w:r>
        <w:rPr>
          <w:noProof/>
        </w:rPr>
        <w:fldChar w:fldCharType="begin"/>
      </w:r>
      <w:r>
        <w:rPr>
          <w:noProof/>
        </w:rPr>
        <w:instrText xml:space="preserve"> PAGEREF _Toc242095866 \h </w:instrText>
      </w:r>
      <w:r>
        <w:rPr>
          <w:noProof/>
        </w:rPr>
      </w:r>
      <w:r>
        <w:rPr>
          <w:noProof/>
        </w:rPr>
        <w:fldChar w:fldCharType="separate"/>
      </w:r>
      <w:r>
        <w:rPr>
          <w:noProof/>
        </w:rPr>
        <w:t>22</w:t>
      </w:r>
      <w:r>
        <w:rPr>
          <w:noProof/>
        </w:rPr>
        <w:fldChar w:fldCharType="end"/>
      </w:r>
    </w:p>
    <w:p w14:paraId="18A4A101" w14:textId="06B471F6"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4.2.4.</w:t>
      </w:r>
      <w:r>
        <w:rPr>
          <w:noProof/>
          <w:color w:val="auto"/>
          <w:kern w:val="2"/>
          <w:sz w:val="24"/>
          <w:szCs w:val="24"/>
          <w:lang w:eastAsia="en-GB"/>
          <w14:ligatures w14:val="standardContextual"/>
        </w:rPr>
        <w:tab/>
      </w:r>
      <w:r>
        <w:rPr>
          <w:noProof/>
        </w:rPr>
        <w:t>Remove Subscription Operation</w:t>
      </w:r>
      <w:r>
        <w:rPr>
          <w:noProof/>
        </w:rPr>
        <w:tab/>
      </w:r>
      <w:r>
        <w:rPr>
          <w:noProof/>
        </w:rPr>
        <w:fldChar w:fldCharType="begin"/>
      </w:r>
      <w:r>
        <w:rPr>
          <w:noProof/>
        </w:rPr>
        <w:instrText xml:space="preserve"> PAGEREF _Toc242095867 \h </w:instrText>
      </w:r>
      <w:r>
        <w:rPr>
          <w:noProof/>
        </w:rPr>
      </w:r>
      <w:r>
        <w:rPr>
          <w:noProof/>
        </w:rPr>
        <w:fldChar w:fldCharType="separate"/>
      </w:r>
      <w:r>
        <w:rPr>
          <w:noProof/>
        </w:rPr>
        <w:t>24</w:t>
      </w:r>
      <w:r>
        <w:rPr>
          <w:noProof/>
        </w:rPr>
        <w:fldChar w:fldCharType="end"/>
      </w:r>
    </w:p>
    <w:p w14:paraId="7EC150EB" w14:textId="1F43F4B0"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4.2.5.</w:t>
      </w:r>
      <w:r>
        <w:rPr>
          <w:noProof/>
          <w:color w:val="auto"/>
          <w:kern w:val="2"/>
          <w:sz w:val="24"/>
          <w:szCs w:val="24"/>
          <w:lang w:eastAsia="en-GB"/>
          <w14:ligatures w14:val="standardContextual"/>
        </w:rPr>
        <w:tab/>
      </w:r>
      <w:r>
        <w:rPr>
          <w:noProof/>
        </w:rPr>
        <w:t>Upload Operation (Consumer Operation - Optional)</w:t>
      </w:r>
      <w:r>
        <w:rPr>
          <w:noProof/>
        </w:rPr>
        <w:tab/>
      </w:r>
      <w:r>
        <w:rPr>
          <w:noProof/>
        </w:rPr>
        <w:fldChar w:fldCharType="begin"/>
      </w:r>
      <w:r>
        <w:rPr>
          <w:noProof/>
        </w:rPr>
        <w:instrText xml:space="preserve"> PAGEREF _Toc242095868 \h </w:instrText>
      </w:r>
      <w:r>
        <w:rPr>
          <w:noProof/>
        </w:rPr>
      </w:r>
      <w:r>
        <w:rPr>
          <w:noProof/>
        </w:rPr>
        <w:fldChar w:fldCharType="separate"/>
      </w:r>
      <w:r>
        <w:rPr>
          <w:noProof/>
        </w:rPr>
        <w:t>25</w:t>
      </w:r>
      <w:r>
        <w:rPr>
          <w:noProof/>
        </w:rPr>
        <w:fldChar w:fldCharType="end"/>
      </w:r>
    </w:p>
    <w:p w14:paraId="594A31FE" w14:textId="0D9E55A2" w:rsidR="00F84F73" w:rsidRDefault="00F84F73">
      <w:pPr>
        <w:pStyle w:val="TOC3"/>
        <w:tabs>
          <w:tab w:val="left" w:pos="1418"/>
        </w:tabs>
        <w:rPr>
          <w:noProof/>
          <w:color w:val="auto"/>
          <w:kern w:val="2"/>
          <w:sz w:val="24"/>
          <w:szCs w:val="24"/>
          <w:lang w:eastAsia="en-GB"/>
          <w14:ligatures w14:val="standardContextual"/>
        </w:rPr>
      </w:pPr>
      <w:r w:rsidRPr="00504664">
        <w:rPr>
          <w:noProof/>
          <w:color w:val="00558C" w:themeColor="accent1"/>
        </w:rPr>
        <w:t>4.2.6.</w:t>
      </w:r>
      <w:r>
        <w:rPr>
          <w:noProof/>
          <w:color w:val="auto"/>
          <w:kern w:val="2"/>
          <w:sz w:val="24"/>
          <w:szCs w:val="24"/>
          <w:lang w:eastAsia="en-GB"/>
          <w14:ligatures w14:val="standardContextual"/>
        </w:rPr>
        <w:tab/>
      </w:r>
      <w:r>
        <w:rPr>
          <w:noProof/>
        </w:rPr>
        <w:t>Subscription Notification Operation (Consumer Operation - Optional)</w:t>
      </w:r>
      <w:r>
        <w:rPr>
          <w:noProof/>
        </w:rPr>
        <w:tab/>
      </w:r>
      <w:r>
        <w:rPr>
          <w:noProof/>
        </w:rPr>
        <w:fldChar w:fldCharType="begin"/>
      </w:r>
      <w:r>
        <w:rPr>
          <w:noProof/>
        </w:rPr>
        <w:instrText xml:space="preserve"> PAGEREF _Toc242095869 \h </w:instrText>
      </w:r>
      <w:r>
        <w:rPr>
          <w:noProof/>
        </w:rPr>
      </w:r>
      <w:r>
        <w:rPr>
          <w:noProof/>
        </w:rPr>
        <w:fldChar w:fldCharType="separate"/>
      </w:r>
      <w:r>
        <w:rPr>
          <w:noProof/>
        </w:rPr>
        <w:t>26</w:t>
      </w:r>
      <w:r>
        <w:rPr>
          <w:noProof/>
        </w:rPr>
        <w:fldChar w:fldCharType="end"/>
      </w:r>
    </w:p>
    <w:p w14:paraId="0E6CC966" w14:textId="76C70AE6" w:rsidR="00F84F73" w:rsidRDefault="00F84F73">
      <w:pPr>
        <w:pStyle w:val="TOC1"/>
        <w:rPr>
          <w:b w:val="0"/>
          <w:caps w:val="0"/>
          <w:noProof/>
          <w:color w:val="auto"/>
          <w:kern w:val="2"/>
          <w:sz w:val="24"/>
          <w:szCs w:val="24"/>
          <w:lang w:eastAsia="en-GB"/>
          <w14:ligatures w14:val="standardContextual"/>
        </w:rPr>
      </w:pPr>
      <w:r w:rsidRPr="00504664">
        <w:rPr>
          <w:noProof/>
        </w:rPr>
        <w:t>5.</w:t>
      </w:r>
      <w:r>
        <w:rPr>
          <w:b w:val="0"/>
          <w:caps w:val="0"/>
          <w:noProof/>
          <w:color w:val="auto"/>
          <w:kern w:val="2"/>
          <w:sz w:val="24"/>
          <w:szCs w:val="24"/>
          <w:lang w:eastAsia="en-GB"/>
          <w14:ligatures w14:val="standardContextual"/>
        </w:rPr>
        <w:tab/>
      </w:r>
      <w:r>
        <w:rPr>
          <w:noProof/>
        </w:rPr>
        <w:t>Service Data Model</w:t>
      </w:r>
      <w:r>
        <w:rPr>
          <w:noProof/>
        </w:rPr>
        <w:tab/>
      </w:r>
      <w:r>
        <w:rPr>
          <w:noProof/>
        </w:rPr>
        <w:fldChar w:fldCharType="begin"/>
      </w:r>
      <w:r>
        <w:rPr>
          <w:noProof/>
        </w:rPr>
        <w:instrText xml:space="preserve"> PAGEREF _Toc242095870 \h </w:instrText>
      </w:r>
      <w:r>
        <w:rPr>
          <w:noProof/>
        </w:rPr>
      </w:r>
      <w:r>
        <w:rPr>
          <w:noProof/>
        </w:rPr>
        <w:fldChar w:fldCharType="separate"/>
      </w:r>
      <w:r>
        <w:rPr>
          <w:noProof/>
        </w:rPr>
        <w:t>28</w:t>
      </w:r>
      <w:r>
        <w:rPr>
          <w:noProof/>
        </w:rPr>
        <w:fldChar w:fldCharType="end"/>
      </w:r>
    </w:p>
    <w:p w14:paraId="7E7705A6" w14:textId="307BE781" w:rsidR="00F84F73" w:rsidRDefault="00F84F73">
      <w:pPr>
        <w:pStyle w:val="TOC1"/>
        <w:rPr>
          <w:b w:val="0"/>
          <w:caps w:val="0"/>
          <w:noProof/>
          <w:color w:val="auto"/>
          <w:kern w:val="2"/>
          <w:sz w:val="24"/>
          <w:szCs w:val="24"/>
          <w:lang w:eastAsia="en-GB"/>
          <w14:ligatures w14:val="standardContextual"/>
        </w:rPr>
      </w:pPr>
      <w:r w:rsidRPr="00504664">
        <w:rPr>
          <w:noProof/>
        </w:rPr>
        <w:t>6.</w:t>
      </w:r>
      <w:r>
        <w:rPr>
          <w:b w:val="0"/>
          <w:caps w:val="0"/>
          <w:noProof/>
          <w:color w:val="auto"/>
          <w:kern w:val="2"/>
          <w:sz w:val="24"/>
          <w:szCs w:val="24"/>
          <w:lang w:eastAsia="en-GB"/>
          <w14:ligatures w14:val="standardContextual"/>
        </w:rPr>
        <w:tab/>
      </w:r>
      <w:r>
        <w:rPr>
          <w:noProof/>
        </w:rPr>
        <w:t>Service Internal Data Model</w:t>
      </w:r>
      <w:r>
        <w:rPr>
          <w:noProof/>
        </w:rPr>
        <w:tab/>
      </w:r>
      <w:r>
        <w:rPr>
          <w:noProof/>
        </w:rPr>
        <w:fldChar w:fldCharType="begin"/>
      </w:r>
      <w:r>
        <w:rPr>
          <w:noProof/>
        </w:rPr>
        <w:instrText xml:space="preserve"> PAGEREF _Toc242095871 \h </w:instrText>
      </w:r>
      <w:r>
        <w:rPr>
          <w:noProof/>
        </w:rPr>
      </w:r>
      <w:r>
        <w:rPr>
          <w:noProof/>
        </w:rPr>
        <w:fldChar w:fldCharType="separate"/>
      </w:r>
      <w:r>
        <w:rPr>
          <w:noProof/>
        </w:rPr>
        <w:t>28</w:t>
      </w:r>
      <w:r>
        <w:rPr>
          <w:noProof/>
        </w:rPr>
        <w:fldChar w:fldCharType="end"/>
      </w:r>
    </w:p>
    <w:p w14:paraId="3720A8F7" w14:textId="1FFE85E2" w:rsidR="00F84F73" w:rsidRDefault="00F84F73">
      <w:pPr>
        <w:pStyle w:val="TOC1"/>
        <w:rPr>
          <w:b w:val="0"/>
          <w:caps w:val="0"/>
          <w:noProof/>
          <w:color w:val="auto"/>
          <w:kern w:val="2"/>
          <w:sz w:val="24"/>
          <w:szCs w:val="24"/>
          <w:lang w:eastAsia="en-GB"/>
          <w14:ligatures w14:val="standardContextual"/>
        </w:rPr>
      </w:pPr>
      <w:r w:rsidRPr="00504664">
        <w:rPr>
          <w:noProof/>
        </w:rPr>
        <w:t>7.</w:t>
      </w:r>
      <w:r>
        <w:rPr>
          <w:b w:val="0"/>
          <w:caps w:val="0"/>
          <w:noProof/>
          <w:color w:val="auto"/>
          <w:kern w:val="2"/>
          <w:sz w:val="24"/>
          <w:szCs w:val="24"/>
          <w:lang w:eastAsia="en-GB"/>
          <w14:ligatures w14:val="standardContextual"/>
        </w:rPr>
        <w:tab/>
      </w:r>
      <w:r>
        <w:rPr>
          <w:noProof/>
        </w:rPr>
        <w:t>Service Dynamic Behaviour</w:t>
      </w:r>
      <w:r>
        <w:rPr>
          <w:noProof/>
        </w:rPr>
        <w:tab/>
      </w:r>
      <w:r>
        <w:rPr>
          <w:noProof/>
        </w:rPr>
        <w:fldChar w:fldCharType="begin"/>
      </w:r>
      <w:r>
        <w:rPr>
          <w:noProof/>
        </w:rPr>
        <w:instrText xml:space="preserve"> PAGEREF _Toc242095872 \h </w:instrText>
      </w:r>
      <w:r>
        <w:rPr>
          <w:noProof/>
        </w:rPr>
      </w:r>
      <w:r>
        <w:rPr>
          <w:noProof/>
        </w:rPr>
        <w:fldChar w:fldCharType="separate"/>
      </w:r>
      <w:r>
        <w:rPr>
          <w:noProof/>
        </w:rPr>
        <w:t>29</w:t>
      </w:r>
      <w:r>
        <w:rPr>
          <w:noProof/>
        </w:rPr>
        <w:fldChar w:fldCharType="end"/>
      </w:r>
    </w:p>
    <w:p w14:paraId="7AFEE8B7" w14:textId="2B5542FE" w:rsidR="00F84F73" w:rsidRDefault="00F84F73">
      <w:pPr>
        <w:pStyle w:val="TOC2"/>
        <w:rPr>
          <w:noProof/>
          <w:color w:val="auto"/>
          <w:kern w:val="2"/>
          <w:sz w:val="24"/>
          <w:szCs w:val="24"/>
          <w:lang w:eastAsia="en-GB"/>
          <w14:ligatures w14:val="standardContextual"/>
        </w:rPr>
      </w:pPr>
      <w:r w:rsidRPr="00504664">
        <w:rPr>
          <w:noProof/>
        </w:rPr>
        <w:t>7.1.</w:t>
      </w:r>
      <w:r>
        <w:rPr>
          <w:noProof/>
          <w:color w:val="auto"/>
          <w:kern w:val="2"/>
          <w:sz w:val="24"/>
          <w:szCs w:val="24"/>
          <w:lang w:eastAsia="en-GB"/>
          <w14:ligatures w14:val="standardContextual"/>
        </w:rPr>
        <w:tab/>
      </w:r>
      <w:r>
        <w:rPr>
          <w:noProof/>
        </w:rPr>
        <w:t>Client-initiated Retrieval of AtoN Information</w:t>
      </w:r>
      <w:r>
        <w:rPr>
          <w:noProof/>
        </w:rPr>
        <w:tab/>
      </w:r>
      <w:r>
        <w:rPr>
          <w:noProof/>
        </w:rPr>
        <w:fldChar w:fldCharType="begin"/>
      </w:r>
      <w:r>
        <w:rPr>
          <w:noProof/>
        </w:rPr>
        <w:instrText xml:space="preserve"> PAGEREF _Toc242095873 \h </w:instrText>
      </w:r>
      <w:r>
        <w:rPr>
          <w:noProof/>
        </w:rPr>
      </w:r>
      <w:r>
        <w:rPr>
          <w:noProof/>
        </w:rPr>
        <w:fldChar w:fldCharType="separate"/>
      </w:r>
      <w:r>
        <w:rPr>
          <w:noProof/>
        </w:rPr>
        <w:t>29</w:t>
      </w:r>
      <w:r>
        <w:rPr>
          <w:noProof/>
        </w:rPr>
        <w:fldChar w:fldCharType="end"/>
      </w:r>
    </w:p>
    <w:p w14:paraId="20329E48" w14:textId="3F9B44DC" w:rsidR="00F84F73" w:rsidRDefault="00F84F73">
      <w:pPr>
        <w:pStyle w:val="TOC2"/>
        <w:rPr>
          <w:noProof/>
          <w:color w:val="auto"/>
          <w:kern w:val="2"/>
          <w:sz w:val="24"/>
          <w:szCs w:val="24"/>
          <w:lang w:eastAsia="en-GB"/>
          <w14:ligatures w14:val="standardContextual"/>
        </w:rPr>
      </w:pPr>
      <w:r w:rsidRPr="00504664">
        <w:rPr>
          <w:noProof/>
        </w:rPr>
        <w:t>7.2.</w:t>
      </w:r>
      <w:r>
        <w:rPr>
          <w:noProof/>
          <w:color w:val="auto"/>
          <w:kern w:val="2"/>
          <w:sz w:val="24"/>
          <w:szCs w:val="24"/>
          <w:lang w:eastAsia="en-GB"/>
          <w14:ligatures w14:val="standardContextual"/>
        </w:rPr>
        <w:tab/>
      </w:r>
      <w:r>
        <w:rPr>
          <w:noProof/>
        </w:rPr>
        <w:t>Subscription-based AtoN Information Distribution</w:t>
      </w:r>
      <w:r>
        <w:rPr>
          <w:noProof/>
        </w:rPr>
        <w:tab/>
      </w:r>
      <w:r>
        <w:rPr>
          <w:noProof/>
        </w:rPr>
        <w:fldChar w:fldCharType="begin"/>
      </w:r>
      <w:r>
        <w:rPr>
          <w:noProof/>
        </w:rPr>
        <w:instrText xml:space="preserve"> PAGEREF _Toc242095874 \h </w:instrText>
      </w:r>
      <w:r>
        <w:rPr>
          <w:noProof/>
        </w:rPr>
      </w:r>
      <w:r>
        <w:rPr>
          <w:noProof/>
        </w:rPr>
        <w:fldChar w:fldCharType="separate"/>
      </w:r>
      <w:r>
        <w:rPr>
          <w:noProof/>
        </w:rPr>
        <w:t>30</w:t>
      </w:r>
      <w:r>
        <w:rPr>
          <w:noProof/>
        </w:rPr>
        <w:fldChar w:fldCharType="end"/>
      </w:r>
    </w:p>
    <w:p w14:paraId="50EEF5EA" w14:textId="14817788" w:rsidR="00F84F73" w:rsidRDefault="00F84F73">
      <w:pPr>
        <w:pStyle w:val="TOC1"/>
        <w:rPr>
          <w:b w:val="0"/>
          <w:caps w:val="0"/>
          <w:noProof/>
          <w:color w:val="auto"/>
          <w:kern w:val="2"/>
          <w:sz w:val="24"/>
          <w:szCs w:val="24"/>
          <w:lang w:eastAsia="en-GB"/>
          <w14:ligatures w14:val="standardContextual"/>
        </w:rPr>
      </w:pPr>
      <w:r w:rsidRPr="00504664">
        <w:rPr>
          <w:noProof/>
        </w:rPr>
        <w:t>8.</w:t>
      </w:r>
      <w:r>
        <w:rPr>
          <w:b w:val="0"/>
          <w:caps w:val="0"/>
          <w:noProof/>
          <w:color w:val="auto"/>
          <w:kern w:val="2"/>
          <w:sz w:val="24"/>
          <w:szCs w:val="24"/>
          <w:lang w:eastAsia="en-GB"/>
          <w14:ligatures w14:val="standardContextual"/>
        </w:rPr>
        <w:tab/>
      </w:r>
      <w:r>
        <w:rPr>
          <w:noProof/>
        </w:rPr>
        <w:t>References</w:t>
      </w:r>
      <w:r>
        <w:rPr>
          <w:noProof/>
        </w:rPr>
        <w:tab/>
      </w:r>
      <w:r>
        <w:rPr>
          <w:noProof/>
        </w:rPr>
        <w:fldChar w:fldCharType="begin"/>
      </w:r>
      <w:r>
        <w:rPr>
          <w:noProof/>
        </w:rPr>
        <w:instrText xml:space="preserve"> PAGEREF _Toc242095875 \h </w:instrText>
      </w:r>
      <w:r>
        <w:rPr>
          <w:noProof/>
        </w:rPr>
      </w:r>
      <w:r>
        <w:rPr>
          <w:noProof/>
        </w:rPr>
        <w:fldChar w:fldCharType="separate"/>
      </w:r>
      <w:r>
        <w:rPr>
          <w:noProof/>
        </w:rPr>
        <w:t>32</w:t>
      </w:r>
      <w:r>
        <w:rPr>
          <w:noProof/>
        </w:rPr>
        <w:fldChar w:fldCharType="end"/>
      </w:r>
    </w:p>
    <w:p w14:paraId="7A5CEFF7" w14:textId="59B75FBA" w:rsidR="00F84F73" w:rsidRDefault="00F84F73">
      <w:pPr>
        <w:pStyle w:val="TOC1"/>
        <w:rPr>
          <w:b w:val="0"/>
          <w:caps w:val="0"/>
          <w:noProof/>
          <w:color w:val="auto"/>
          <w:kern w:val="2"/>
          <w:sz w:val="24"/>
          <w:szCs w:val="24"/>
          <w:lang w:eastAsia="en-GB"/>
          <w14:ligatures w14:val="standardContextual"/>
        </w:rPr>
      </w:pPr>
      <w:r w:rsidRPr="00504664">
        <w:rPr>
          <w:noProof/>
        </w:rPr>
        <w:t>9.</w:t>
      </w:r>
      <w:r>
        <w:rPr>
          <w:b w:val="0"/>
          <w:caps w:val="0"/>
          <w:noProof/>
          <w:color w:val="auto"/>
          <w:kern w:val="2"/>
          <w:sz w:val="24"/>
          <w:szCs w:val="24"/>
          <w:lang w:eastAsia="en-GB"/>
          <w14:ligatures w14:val="standardContextual"/>
        </w:rPr>
        <w:tab/>
      </w:r>
      <w:r>
        <w:rPr>
          <w:noProof/>
        </w:rPr>
        <w:t>Acronyms and Terminology</w:t>
      </w:r>
      <w:r>
        <w:rPr>
          <w:noProof/>
        </w:rPr>
        <w:tab/>
      </w:r>
      <w:r>
        <w:rPr>
          <w:noProof/>
        </w:rPr>
        <w:fldChar w:fldCharType="begin"/>
      </w:r>
      <w:r>
        <w:rPr>
          <w:noProof/>
        </w:rPr>
        <w:instrText xml:space="preserve"> PAGEREF _Toc242095876 \h </w:instrText>
      </w:r>
      <w:r>
        <w:rPr>
          <w:noProof/>
        </w:rPr>
      </w:r>
      <w:r>
        <w:rPr>
          <w:noProof/>
        </w:rPr>
        <w:fldChar w:fldCharType="separate"/>
      </w:r>
      <w:r>
        <w:rPr>
          <w:noProof/>
        </w:rPr>
        <w:t>33</w:t>
      </w:r>
      <w:r>
        <w:rPr>
          <w:noProof/>
        </w:rPr>
        <w:fldChar w:fldCharType="end"/>
      </w:r>
    </w:p>
    <w:p w14:paraId="5A6ECE64" w14:textId="36C541F7" w:rsidR="00F84F73" w:rsidRDefault="00F84F73">
      <w:pPr>
        <w:pStyle w:val="TOC2"/>
        <w:rPr>
          <w:noProof/>
          <w:color w:val="auto"/>
          <w:kern w:val="2"/>
          <w:sz w:val="24"/>
          <w:szCs w:val="24"/>
          <w:lang w:eastAsia="en-GB"/>
          <w14:ligatures w14:val="standardContextual"/>
        </w:rPr>
      </w:pPr>
      <w:r w:rsidRPr="00504664">
        <w:rPr>
          <w:noProof/>
        </w:rPr>
        <w:t>9.1.</w:t>
      </w:r>
      <w:r>
        <w:rPr>
          <w:noProof/>
          <w:color w:val="auto"/>
          <w:kern w:val="2"/>
          <w:sz w:val="24"/>
          <w:szCs w:val="24"/>
          <w:lang w:eastAsia="en-GB"/>
          <w14:ligatures w14:val="standardContextual"/>
        </w:rPr>
        <w:tab/>
      </w:r>
      <w:r>
        <w:rPr>
          <w:noProof/>
        </w:rPr>
        <w:t>Acronyms</w:t>
      </w:r>
      <w:r>
        <w:rPr>
          <w:noProof/>
        </w:rPr>
        <w:tab/>
      </w:r>
      <w:r>
        <w:rPr>
          <w:noProof/>
        </w:rPr>
        <w:fldChar w:fldCharType="begin"/>
      </w:r>
      <w:r>
        <w:rPr>
          <w:noProof/>
        </w:rPr>
        <w:instrText xml:space="preserve"> PAGEREF _Toc242095877 \h </w:instrText>
      </w:r>
      <w:r>
        <w:rPr>
          <w:noProof/>
        </w:rPr>
      </w:r>
      <w:r>
        <w:rPr>
          <w:noProof/>
        </w:rPr>
        <w:fldChar w:fldCharType="separate"/>
      </w:r>
      <w:r>
        <w:rPr>
          <w:noProof/>
        </w:rPr>
        <w:t>33</w:t>
      </w:r>
      <w:r>
        <w:rPr>
          <w:noProof/>
        </w:rPr>
        <w:fldChar w:fldCharType="end"/>
      </w:r>
    </w:p>
    <w:p w14:paraId="7C1F6940" w14:textId="67F0AF50" w:rsidR="00EF0E3E" w:rsidRDefault="00000000">
      <w:pPr>
        <w:pStyle w:val="BodyText"/>
      </w:pPr>
      <w:r>
        <w:rPr>
          <w:rFonts w:eastAsia="Times New Roman" w:cs="Times New Roman"/>
          <w:b/>
          <w:color w:val="00558C" w:themeColor="accent1"/>
          <w:szCs w:val="20"/>
        </w:rPr>
        <w:fldChar w:fldCharType="end"/>
      </w:r>
    </w:p>
    <w:p w14:paraId="5C15A79F" w14:textId="77777777" w:rsidR="00EF0E3E" w:rsidRDefault="00000000">
      <w:pPr>
        <w:pStyle w:val="ListofFigures"/>
      </w:pPr>
      <w:r>
        <w:lastRenderedPageBreak/>
        <w:t xml:space="preserve">List of Tables </w:t>
      </w:r>
    </w:p>
    <w:p w14:paraId="2A58F394" w14:textId="00D610ED" w:rsidR="00F84F73" w:rsidRDefault="00000000">
      <w:pPr>
        <w:pStyle w:val="TableofFigures"/>
        <w:rPr>
          <w:i w:val="0"/>
          <w:noProof/>
          <w:color w:val="auto"/>
          <w:kern w:val="2"/>
          <w:sz w:val="24"/>
          <w:szCs w:val="24"/>
          <w:lang w:eastAsia="en-GB"/>
          <w14:ligatures w14:val="standardContextual"/>
        </w:rPr>
      </w:pPr>
      <w:r>
        <w:rPr>
          <w:i w:val="0"/>
          <w:color w:val="auto"/>
        </w:rPr>
        <w:fldChar w:fldCharType="begin"/>
      </w:r>
      <w:r>
        <w:instrText xml:space="preserve"> TOC \t "Table Caption,1" \c "Figure" </w:instrText>
      </w:r>
      <w:r>
        <w:rPr>
          <w:i w:val="0"/>
          <w:color w:val="auto"/>
        </w:rPr>
        <w:fldChar w:fldCharType="separate"/>
      </w:r>
      <w:r w:rsidR="00F84F73" w:rsidRPr="00D8573E">
        <w:rPr>
          <w:rFonts w:ascii="Calibri" w:hAnsi="Calibri"/>
          <w:noProof/>
        </w:rPr>
        <w:t>Table 1</w:t>
      </w:r>
      <w:r w:rsidR="00F84F73">
        <w:rPr>
          <w:i w:val="0"/>
          <w:noProof/>
          <w:color w:val="auto"/>
          <w:kern w:val="2"/>
          <w:sz w:val="24"/>
          <w:szCs w:val="24"/>
          <w:lang w:eastAsia="en-GB"/>
          <w14:ligatures w14:val="standardContextual"/>
        </w:rPr>
        <w:tab/>
      </w:r>
      <w:r w:rsidR="00F84F73">
        <w:rPr>
          <w:noProof/>
        </w:rPr>
        <w:t>Service Identification Information.</w:t>
      </w:r>
      <w:r w:rsidR="00F84F73">
        <w:rPr>
          <w:noProof/>
        </w:rPr>
        <w:tab/>
      </w:r>
      <w:r w:rsidR="00F84F73">
        <w:rPr>
          <w:noProof/>
        </w:rPr>
        <w:fldChar w:fldCharType="begin"/>
      </w:r>
      <w:r w:rsidR="00F84F73">
        <w:rPr>
          <w:noProof/>
        </w:rPr>
        <w:instrText xml:space="preserve"> PAGEREF _Toc242095878 \h </w:instrText>
      </w:r>
      <w:r w:rsidR="00F84F73">
        <w:rPr>
          <w:noProof/>
        </w:rPr>
      </w:r>
      <w:r w:rsidR="00F84F73">
        <w:rPr>
          <w:noProof/>
        </w:rPr>
        <w:fldChar w:fldCharType="separate"/>
      </w:r>
      <w:r w:rsidR="00F84F73">
        <w:rPr>
          <w:noProof/>
        </w:rPr>
        <w:t>7</w:t>
      </w:r>
      <w:r w:rsidR="00F84F73">
        <w:rPr>
          <w:noProof/>
        </w:rPr>
        <w:fldChar w:fldCharType="end"/>
      </w:r>
    </w:p>
    <w:p w14:paraId="31853E32" w14:textId="42DF04AA"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2</w:t>
      </w:r>
      <w:r>
        <w:rPr>
          <w:i w:val="0"/>
          <w:noProof/>
          <w:color w:val="auto"/>
          <w:kern w:val="2"/>
          <w:sz w:val="24"/>
          <w:szCs w:val="24"/>
          <w:lang w:eastAsia="en-GB"/>
          <w14:ligatures w14:val="standardContextual"/>
        </w:rPr>
        <w:tab/>
      </w:r>
      <w:r>
        <w:rPr>
          <w:noProof/>
        </w:rPr>
        <w:t>Functional Requirements for the MS-2 – Aids to Navigation Service.</w:t>
      </w:r>
      <w:r>
        <w:rPr>
          <w:noProof/>
        </w:rPr>
        <w:tab/>
      </w:r>
      <w:r>
        <w:rPr>
          <w:noProof/>
        </w:rPr>
        <w:fldChar w:fldCharType="begin"/>
      </w:r>
      <w:r>
        <w:rPr>
          <w:noProof/>
        </w:rPr>
        <w:instrText xml:space="preserve"> PAGEREF _Toc242095879 \h </w:instrText>
      </w:r>
      <w:r>
        <w:rPr>
          <w:noProof/>
        </w:rPr>
      </w:r>
      <w:r>
        <w:rPr>
          <w:noProof/>
        </w:rPr>
        <w:fldChar w:fldCharType="separate"/>
      </w:r>
      <w:r>
        <w:rPr>
          <w:noProof/>
        </w:rPr>
        <w:t>10</w:t>
      </w:r>
      <w:r>
        <w:rPr>
          <w:noProof/>
        </w:rPr>
        <w:fldChar w:fldCharType="end"/>
      </w:r>
    </w:p>
    <w:p w14:paraId="5FAFDE4D" w14:textId="4D7F828F"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3</w:t>
      </w:r>
      <w:r>
        <w:rPr>
          <w:i w:val="0"/>
          <w:noProof/>
          <w:color w:val="auto"/>
          <w:kern w:val="2"/>
          <w:sz w:val="24"/>
          <w:szCs w:val="24"/>
          <w:lang w:eastAsia="en-GB"/>
          <w14:ligatures w14:val="standardContextual"/>
        </w:rPr>
        <w:tab/>
      </w:r>
      <w:r>
        <w:rPr>
          <w:noProof/>
        </w:rPr>
        <w:t>Non-Functional Requirements for the MS-2 – Aids to Navigation Service.</w:t>
      </w:r>
      <w:r>
        <w:rPr>
          <w:noProof/>
        </w:rPr>
        <w:tab/>
      </w:r>
      <w:r>
        <w:rPr>
          <w:noProof/>
        </w:rPr>
        <w:fldChar w:fldCharType="begin"/>
      </w:r>
      <w:r>
        <w:rPr>
          <w:noProof/>
        </w:rPr>
        <w:instrText xml:space="preserve"> PAGEREF _Toc242095880 \h </w:instrText>
      </w:r>
      <w:r>
        <w:rPr>
          <w:noProof/>
        </w:rPr>
      </w:r>
      <w:r>
        <w:rPr>
          <w:noProof/>
        </w:rPr>
        <w:fldChar w:fldCharType="separate"/>
      </w:r>
      <w:r>
        <w:rPr>
          <w:noProof/>
        </w:rPr>
        <w:t>12</w:t>
      </w:r>
      <w:r>
        <w:rPr>
          <w:noProof/>
        </w:rPr>
        <w:fldChar w:fldCharType="end"/>
      </w:r>
    </w:p>
    <w:p w14:paraId="78F01D84" w14:textId="095C6736"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4</w:t>
      </w:r>
      <w:r>
        <w:rPr>
          <w:i w:val="0"/>
          <w:noProof/>
          <w:color w:val="auto"/>
          <w:kern w:val="2"/>
          <w:sz w:val="24"/>
          <w:szCs w:val="24"/>
          <w:lang w:eastAsia="en-GB"/>
          <w14:ligatures w14:val="standardContextual"/>
        </w:rPr>
        <w:tab/>
      </w:r>
      <w:r>
        <w:rPr>
          <w:noProof/>
        </w:rPr>
        <w:t>Operational Nodes providing the S-201 service.</w:t>
      </w:r>
      <w:r>
        <w:rPr>
          <w:noProof/>
        </w:rPr>
        <w:tab/>
      </w:r>
      <w:r>
        <w:rPr>
          <w:noProof/>
        </w:rPr>
        <w:fldChar w:fldCharType="begin"/>
      </w:r>
      <w:r>
        <w:rPr>
          <w:noProof/>
        </w:rPr>
        <w:instrText xml:space="preserve"> PAGEREF _Toc242095881 \h </w:instrText>
      </w:r>
      <w:r>
        <w:rPr>
          <w:noProof/>
        </w:rPr>
      </w:r>
      <w:r>
        <w:rPr>
          <w:noProof/>
        </w:rPr>
        <w:fldChar w:fldCharType="separate"/>
      </w:r>
      <w:r>
        <w:rPr>
          <w:noProof/>
        </w:rPr>
        <w:t>14</w:t>
      </w:r>
      <w:r>
        <w:rPr>
          <w:noProof/>
        </w:rPr>
        <w:fldChar w:fldCharType="end"/>
      </w:r>
    </w:p>
    <w:p w14:paraId="2EA94039" w14:textId="6FF3C3EF"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5</w:t>
      </w:r>
      <w:r>
        <w:rPr>
          <w:i w:val="0"/>
          <w:noProof/>
          <w:color w:val="auto"/>
          <w:kern w:val="2"/>
          <w:sz w:val="24"/>
          <w:szCs w:val="24"/>
          <w:lang w:eastAsia="en-GB"/>
          <w14:ligatures w14:val="standardContextual"/>
        </w:rPr>
        <w:tab/>
      </w:r>
      <w:r>
        <w:rPr>
          <w:noProof/>
        </w:rPr>
        <w:t>Operational Activities supported by the S-201 service.</w:t>
      </w:r>
      <w:r>
        <w:rPr>
          <w:noProof/>
        </w:rPr>
        <w:tab/>
      </w:r>
      <w:r>
        <w:rPr>
          <w:noProof/>
        </w:rPr>
        <w:fldChar w:fldCharType="begin"/>
      </w:r>
      <w:r>
        <w:rPr>
          <w:noProof/>
        </w:rPr>
        <w:instrText xml:space="preserve"> PAGEREF _Toc242095882 \h </w:instrText>
      </w:r>
      <w:r>
        <w:rPr>
          <w:noProof/>
        </w:rPr>
      </w:r>
      <w:r>
        <w:rPr>
          <w:noProof/>
        </w:rPr>
        <w:fldChar w:fldCharType="separate"/>
      </w:r>
      <w:r>
        <w:rPr>
          <w:noProof/>
        </w:rPr>
        <w:t>14</w:t>
      </w:r>
      <w:r>
        <w:rPr>
          <w:noProof/>
        </w:rPr>
        <w:fldChar w:fldCharType="end"/>
      </w:r>
    </w:p>
    <w:p w14:paraId="2E119A82" w14:textId="146A4EE2"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6</w:t>
      </w:r>
      <w:r>
        <w:rPr>
          <w:i w:val="0"/>
          <w:noProof/>
          <w:color w:val="auto"/>
          <w:kern w:val="2"/>
          <w:sz w:val="24"/>
          <w:szCs w:val="24"/>
          <w:lang w:eastAsia="en-GB"/>
          <w14:ligatures w14:val="standardContextual"/>
        </w:rPr>
        <w:tab/>
      </w:r>
      <w:r>
        <w:rPr>
          <w:noProof/>
        </w:rPr>
        <w:t>Service Operations Overview.</w:t>
      </w:r>
      <w:r>
        <w:rPr>
          <w:noProof/>
        </w:rPr>
        <w:tab/>
      </w:r>
      <w:r>
        <w:rPr>
          <w:noProof/>
        </w:rPr>
        <w:fldChar w:fldCharType="begin"/>
      </w:r>
      <w:r>
        <w:rPr>
          <w:noProof/>
        </w:rPr>
        <w:instrText xml:space="preserve"> PAGEREF _Toc242095883 \h </w:instrText>
      </w:r>
      <w:r>
        <w:rPr>
          <w:noProof/>
        </w:rPr>
      </w:r>
      <w:r>
        <w:rPr>
          <w:noProof/>
        </w:rPr>
        <w:fldChar w:fldCharType="separate"/>
      </w:r>
      <w:r>
        <w:rPr>
          <w:noProof/>
        </w:rPr>
        <w:t>17</w:t>
      </w:r>
      <w:r>
        <w:rPr>
          <w:noProof/>
        </w:rPr>
        <w:fldChar w:fldCharType="end"/>
      </w:r>
    </w:p>
    <w:p w14:paraId="746131DC" w14:textId="1AB4DE06"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7</w:t>
      </w:r>
      <w:r>
        <w:rPr>
          <w:i w:val="0"/>
          <w:noProof/>
          <w:color w:val="auto"/>
          <w:kern w:val="2"/>
          <w:sz w:val="24"/>
          <w:szCs w:val="24"/>
          <w:lang w:eastAsia="en-GB"/>
          <w14:ligatures w14:val="standardContextual"/>
        </w:rPr>
        <w:tab/>
      </w:r>
      <w:r>
        <w:rPr>
          <w:noProof/>
        </w:rPr>
        <w:t>Consumer (Client) Operations Overview.</w:t>
      </w:r>
      <w:r>
        <w:rPr>
          <w:noProof/>
        </w:rPr>
        <w:tab/>
      </w:r>
      <w:r>
        <w:rPr>
          <w:noProof/>
        </w:rPr>
        <w:fldChar w:fldCharType="begin"/>
      </w:r>
      <w:r>
        <w:rPr>
          <w:noProof/>
        </w:rPr>
        <w:instrText xml:space="preserve"> PAGEREF _Toc242095884 \h </w:instrText>
      </w:r>
      <w:r>
        <w:rPr>
          <w:noProof/>
        </w:rPr>
      </w:r>
      <w:r>
        <w:rPr>
          <w:noProof/>
        </w:rPr>
        <w:fldChar w:fldCharType="separate"/>
      </w:r>
      <w:r>
        <w:rPr>
          <w:noProof/>
        </w:rPr>
        <w:t>17</w:t>
      </w:r>
      <w:r>
        <w:rPr>
          <w:noProof/>
        </w:rPr>
        <w:fldChar w:fldCharType="end"/>
      </w:r>
    </w:p>
    <w:p w14:paraId="4FC2AD72" w14:textId="199774F6"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8</w:t>
      </w:r>
      <w:r>
        <w:rPr>
          <w:i w:val="0"/>
          <w:noProof/>
          <w:color w:val="auto"/>
          <w:kern w:val="2"/>
          <w:sz w:val="24"/>
          <w:szCs w:val="24"/>
          <w:lang w:eastAsia="en-GB"/>
          <w14:ligatures w14:val="standardContextual"/>
        </w:rPr>
        <w:tab/>
      </w:r>
      <w:r>
        <w:rPr>
          <w:noProof/>
        </w:rPr>
        <w:t>The Get Operation Parameters.</w:t>
      </w:r>
      <w:r>
        <w:rPr>
          <w:noProof/>
        </w:rPr>
        <w:tab/>
      </w:r>
      <w:r>
        <w:rPr>
          <w:noProof/>
        </w:rPr>
        <w:fldChar w:fldCharType="begin"/>
      </w:r>
      <w:r>
        <w:rPr>
          <w:noProof/>
        </w:rPr>
        <w:instrText xml:space="preserve"> PAGEREF _Toc242095885 \h </w:instrText>
      </w:r>
      <w:r>
        <w:rPr>
          <w:noProof/>
        </w:rPr>
      </w:r>
      <w:r>
        <w:rPr>
          <w:noProof/>
        </w:rPr>
        <w:fldChar w:fldCharType="separate"/>
      </w:r>
      <w:r>
        <w:rPr>
          <w:noProof/>
        </w:rPr>
        <w:t>19</w:t>
      </w:r>
      <w:r>
        <w:rPr>
          <w:noProof/>
        </w:rPr>
        <w:fldChar w:fldCharType="end"/>
      </w:r>
    </w:p>
    <w:p w14:paraId="7A84D73C" w14:textId="4B14200A"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9</w:t>
      </w:r>
      <w:r>
        <w:rPr>
          <w:i w:val="0"/>
          <w:noProof/>
          <w:color w:val="auto"/>
          <w:kern w:val="2"/>
          <w:sz w:val="24"/>
          <w:szCs w:val="24"/>
          <w:lang w:eastAsia="en-GB"/>
          <w14:ligatures w14:val="standardContextual"/>
        </w:rPr>
        <w:tab/>
      </w:r>
      <w:r>
        <w:rPr>
          <w:noProof/>
        </w:rPr>
        <w:t>The Get Summary Operation Parameters.</w:t>
      </w:r>
      <w:r>
        <w:rPr>
          <w:noProof/>
        </w:rPr>
        <w:tab/>
      </w:r>
      <w:r>
        <w:rPr>
          <w:noProof/>
        </w:rPr>
        <w:fldChar w:fldCharType="begin"/>
      </w:r>
      <w:r>
        <w:rPr>
          <w:noProof/>
        </w:rPr>
        <w:instrText xml:space="preserve"> PAGEREF _Toc242095886 \h </w:instrText>
      </w:r>
      <w:r>
        <w:rPr>
          <w:noProof/>
        </w:rPr>
      </w:r>
      <w:r>
        <w:rPr>
          <w:noProof/>
        </w:rPr>
        <w:fldChar w:fldCharType="separate"/>
      </w:r>
      <w:r>
        <w:rPr>
          <w:noProof/>
        </w:rPr>
        <w:t>21</w:t>
      </w:r>
      <w:r>
        <w:rPr>
          <w:noProof/>
        </w:rPr>
        <w:fldChar w:fldCharType="end"/>
      </w:r>
    </w:p>
    <w:p w14:paraId="55421D6B" w14:textId="3E3AB12A"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10</w:t>
      </w:r>
      <w:r>
        <w:rPr>
          <w:i w:val="0"/>
          <w:noProof/>
          <w:color w:val="auto"/>
          <w:kern w:val="2"/>
          <w:sz w:val="24"/>
          <w:szCs w:val="24"/>
          <w:lang w:eastAsia="en-GB"/>
          <w14:ligatures w14:val="standardContextual"/>
        </w:rPr>
        <w:tab/>
      </w:r>
      <w:r>
        <w:rPr>
          <w:noProof/>
        </w:rPr>
        <w:t>The Get Summary Operation Return Types.</w:t>
      </w:r>
      <w:r>
        <w:rPr>
          <w:noProof/>
        </w:rPr>
        <w:tab/>
      </w:r>
      <w:r>
        <w:rPr>
          <w:noProof/>
        </w:rPr>
        <w:fldChar w:fldCharType="begin"/>
      </w:r>
      <w:r>
        <w:rPr>
          <w:noProof/>
        </w:rPr>
        <w:instrText xml:space="preserve"> PAGEREF _Toc242095887 \h </w:instrText>
      </w:r>
      <w:r>
        <w:rPr>
          <w:noProof/>
        </w:rPr>
      </w:r>
      <w:r>
        <w:rPr>
          <w:noProof/>
        </w:rPr>
        <w:fldChar w:fldCharType="separate"/>
      </w:r>
      <w:r>
        <w:rPr>
          <w:noProof/>
        </w:rPr>
        <w:t>21</w:t>
      </w:r>
      <w:r>
        <w:rPr>
          <w:noProof/>
        </w:rPr>
        <w:fldChar w:fldCharType="end"/>
      </w:r>
    </w:p>
    <w:p w14:paraId="646F7F31" w14:textId="08B7F596"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11</w:t>
      </w:r>
      <w:r>
        <w:rPr>
          <w:i w:val="0"/>
          <w:noProof/>
          <w:color w:val="auto"/>
          <w:kern w:val="2"/>
          <w:sz w:val="24"/>
          <w:szCs w:val="24"/>
          <w:lang w:eastAsia="en-GB"/>
          <w14:ligatures w14:val="standardContextual"/>
        </w:rPr>
        <w:tab/>
      </w:r>
      <w:r>
        <w:rPr>
          <w:noProof/>
        </w:rPr>
        <w:t>The Subscription Operation Parameters.</w:t>
      </w:r>
      <w:r>
        <w:rPr>
          <w:noProof/>
        </w:rPr>
        <w:tab/>
      </w:r>
      <w:r>
        <w:rPr>
          <w:noProof/>
        </w:rPr>
        <w:fldChar w:fldCharType="begin"/>
      </w:r>
      <w:r>
        <w:rPr>
          <w:noProof/>
        </w:rPr>
        <w:instrText xml:space="preserve"> PAGEREF _Toc242095888 \h </w:instrText>
      </w:r>
      <w:r>
        <w:rPr>
          <w:noProof/>
        </w:rPr>
      </w:r>
      <w:r>
        <w:rPr>
          <w:noProof/>
        </w:rPr>
        <w:fldChar w:fldCharType="separate"/>
      </w:r>
      <w:r>
        <w:rPr>
          <w:noProof/>
        </w:rPr>
        <w:t>23</w:t>
      </w:r>
      <w:r>
        <w:rPr>
          <w:noProof/>
        </w:rPr>
        <w:fldChar w:fldCharType="end"/>
      </w:r>
    </w:p>
    <w:p w14:paraId="246F552B" w14:textId="213745F1"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12</w:t>
      </w:r>
      <w:r>
        <w:rPr>
          <w:i w:val="0"/>
          <w:noProof/>
          <w:color w:val="auto"/>
          <w:kern w:val="2"/>
          <w:sz w:val="24"/>
          <w:szCs w:val="24"/>
          <w:lang w:eastAsia="en-GB"/>
          <w14:ligatures w14:val="standardContextual"/>
        </w:rPr>
        <w:tab/>
      </w:r>
      <w:r>
        <w:rPr>
          <w:noProof/>
        </w:rPr>
        <w:t>The Subscription Operation Return Types.</w:t>
      </w:r>
      <w:r>
        <w:rPr>
          <w:noProof/>
        </w:rPr>
        <w:tab/>
      </w:r>
      <w:r>
        <w:rPr>
          <w:noProof/>
        </w:rPr>
        <w:fldChar w:fldCharType="begin"/>
      </w:r>
      <w:r>
        <w:rPr>
          <w:noProof/>
        </w:rPr>
        <w:instrText xml:space="preserve"> PAGEREF _Toc242095889 \h </w:instrText>
      </w:r>
      <w:r>
        <w:rPr>
          <w:noProof/>
        </w:rPr>
      </w:r>
      <w:r>
        <w:rPr>
          <w:noProof/>
        </w:rPr>
        <w:fldChar w:fldCharType="separate"/>
      </w:r>
      <w:r>
        <w:rPr>
          <w:noProof/>
        </w:rPr>
        <w:t>23</w:t>
      </w:r>
      <w:r>
        <w:rPr>
          <w:noProof/>
        </w:rPr>
        <w:fldChar w:fldCharType="end"/>
      </w:r>
    </w:p>
    <w:p w14:paraId="5E230858" w14:textId="1C7006D1"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13</w:t>
      </w:r>
      <w:r>
        <w:rPr>
          <w:i w:val="0"/>
          <w:noProof/>
          <w:color w:val="auto"/>
          <w:kern w:val="2"/>
          <w:sz w:val="24"/>
          <w:szCs w:val="24"/>
          <w:lang w:eastAsia="en-GB"/>
          <w14:ligatures w14:val="standardContextual"/>
        </w:rPr>
        <w:tab/>
      </w:r>
      <w:r>
        <w:rPr>
          <w:noProof/>
        </w:rPr>
        <w:t>The Remove Subscription Operation Parameters.</w:t>
      </w:r>
      <w:r>
        <w:rPr>
          <w:noProof/>
        </w:rPr>
        <w:tab/>
      </w:r>
      <w:r>
        <w:rPr>
          <w:noProof/>
        </w:rPr>
        <w:fldChar w:fldCharType="begin"/>
      </w:r>
      <w:r>
        <w:rPr>
          <w:noProof/>
        </w:rPr>
        <w:instrText xml:space="preserve"> PAGEREF _Toc242095890 \h </w:instrText>
      </w:r>
      <w:r>
        <w:rPr>
          <w:noProof/>
        </w:rPr>
      </w:r>
      <w:r>
        <w:rPr>
          <w:noProof/>
        </w:rPr>
        <w:fldChar w:fldCharType="separate"/>
      </w:r>
      <w:r>
        <w:rPr>
          <w:noProof/>
        </w:rPr>
        <w:t>24</w:t>
      </w:r>
      <w:r>
        <w:rPr>
          <w:noProof/>
        </w:rPr>
        <w:fldChar w:fldCharType="end"/>
      </w:r>
    </w:p>
    <w:p w14:paraId="0103FAE1" w14:textId="04F5CB33"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14</w:t>
      </w:r>
      <w:r>
        <w:rPr>
          <w:i w:val="0"/>
          <w:noProof/>
          <w:color w:val="auto"/>
          <w:kern w:val="2"/>
          <w:sz w:val="24"/>
          <w:szCs w:val="24"/>
          <w:lang w:eastAsia="en-GB"/>
          <w14:ligatures w14:val="standardContextual"/>
        </w:rPr>
        <w:tab/>
      </w:r>
      <w:r>
        <w:rPr>
          <w:noProof/>
        </w:rPr>
        <w:t>The Remove Subscription Operation Return Types.</w:t>
      </w:r>
      <w:r>
        <w:rPr>
          <w:noProof/>
        </w:rPr>
        <w:tab/>
      </w:r>
      <w:r>
        <w:rPr>
          <w:noProof/>
        </w:rPr>
        <w:fldChar w:fldCharType="begin"/>
      </w:r>
      <w:r>
        <w:rPr>
          <w:noProof/>
        </w:rPr>
        <w:instrText xml:space="preserve"> PAGEREF _Toc242095891 \h </w:instrText>
      </w:r>
      <w:r>
        <w:rPr>
          <w:noProof/>
        </w:rPr>
      </w:r>
      <w:r>
        <w:rPr>
          <w:noProof/>
        </w:rPr>
        <w:fldChar w:fldCharType="separate"/>
      </w:r>
      <w:r>
        <w:rPr>
          <w:noProof/>
        </w:rPr>
        <w:t>24</w:t>
      </w:r>
      <w:r>
        <w:rPr>
          <w:noProof/>
        </w:rPr>
        <w:fldChar w:fldCharType="end"/>
      </w:r>
    </w:p>
    <w:p w14:paraId="10BC343A" w14:textId="44DE2FBF"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15</w:t>
      </w:r>
      <w:r>
        <w:rPr>
          <w:i w:val="0"/>
          <w:noProof/>
          <w:color w:val="auto"/>
          <w:kern w:val="2"/>
          <w:sz w:val="24"/>
          <w:szCs w:val="24"/>
          <w:lang w:eastAsia="en-GB"/>
          <w14:ligatures w14:val="standardContextual"/>
        </w:rPr>
        <w:tab/>
      </w:r>
      <w:r>
        <w:rPr>
          <w:noProof/>
        </w:rPr>
        <w:t>The Upload Operation Parameters.</w:t>
      </w:r>
      <w:r>
        <w:rPr>
          <w:noProof/>
        </w:rPr>
        <w:tab/>
      </w:r>
      <w:r>
        <w:rPr>
          <w:noProof/>
        </w:rPr>
        <w:fldChar w:fldCharType="begin"/>
      </w:r>
      <w:r>
        <w:rPr>
          <w:noProof/>
        </w:rPr>
        <w:instrText xml:space="preserve"> PAGEREF _Toc242095892 \h </w:instrText>
      </w:r>
      <w:r>
        <w:rPr>
          <w:noProof/>
        </w:rPr>
      </w:r>
      <w:r>
        <w:rPr>
          <w:noProof/>
        </w:rPr>
        <w:fldChar w:fldCharType="separate"/>
      </w:r>
      <w:r>
        <w:rPr>
          <w:noProof/>
        </w:rPr>
        <w:t>26</w:t>
      </w:r>
      <w:r>
        <w:rPr>
          <w:noProof/>
        </w:rPr>
        <w:fldChar w:fldCharType="end"/>
      </w:r>
    </w:p>
    <w:p w14:paraId="1F2C482D" w14:textId="4C50E99B"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16</w:t>
      </w:r>
      <w:r>
        <w:rPr>
          <w:i w:val="0"/>
          <w:noProof/>
          <w:color w:val="auto"/>
          <w:kern w:val="2"/>
          <w:sz w:val="24"/>
          <w:szCs w:val="24"/>
          <w:lang w:eastAsia="en-GB"/>
          <w14:ligatures w14:val="standardContextual"/>
        </w:rPr>
        <w:tab/>
      </w:r>
      <w:r>
        <w:rPr>
          <w:noProof/>
        </w:rPr>
        <w:t>The Upload Operation Return Types.</w:t>
      </w:r>
      <w:r>
        <w:rPr>
          <w:noProof/>
        </w:rPr>
        <w:tab/>
      </w:r>
      <w:r>
        <w:rPr>
          <w:noProof/>
        </w:rPr>
        <w:fldChar w:fldCharType="begin"/>
      </w:r>
      <w:r>
        <w:rPr>
          <w:noProof/>
        </w:rPr>
        <w:instrText xml:space="preserve"> PAGEREF _Toc242095893 \h </w:instrText>
      </w:r>
      <w:r>
        <w:rPr>
          <w:noProof/>
        </w:rPr>
      </w:r>
      <w:r>
        <w:rPr>
          <w:noProof/>
        </w:rPr>
        <w:fldChar w:fldCharType="separate"/>
      </w:r>
      <w:r>
        <w:rPr>
          <w:noProof/>
        </w:rPr>
        <w:t>26</w:t>
      </w:r>
      <w:r>
        <w:rPr>
          <w:noProof/>
        </w:rPr>
        <w:fldChar w:fldCharType="end"/>
      </w:r>
    </w:p>
    <w:p w14:paraId="00D9A0AF" w14:textId="50C2F7B3"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17</w:t>
      </w:r>
      <w:r>
        <w:rPr>
          <w:i w:val="0"/>
          <w:noProof/>
          <w:color w:val="auto"/>
          <w:kern w:val="2"/>
          <w:sz w:val="24"/>
          <w:szCs w:val="24"/>
          <w:lang w:eastAsia="en-GB"/>
          <w14:ligatures w14:val="standardContextual"/>
        </w:rPr>
        <w:tab/>
      </w:r>
      <w:r>
        <w:rPr>
          <w:noProof/>
        </w:rPr>
        <w:t>The Subscription Notification Operation Parameters.</w:t>
      </w:r>
      <w:r>
        <w:rPr>
          <w:noProof/>
        </w:rPr>
        <w:tab/>
      </w:r>
      <w:r>
        <w:rPr>
          <w:noProof/>
        </w:rPr>
        <w:fldChar w:fldCharType="begin"/>
      </w:r>
      <w:r>
        <w:rPr>
          <w:noProof/>
        </w:rPr>
        <w:instrText xml:space="preserve"> PAGEREF _Toc242095894 \h </w:instrText>
      </w:r>
      <w:r>
        <w:rPr>
          <w:noProof/>
        </w:rPr>
      </w:r>
      <w:r>
        <w:rPr>
          <w:noProof/>
        </w:rPr>
        <w:fldChar w:fldCharType="separate"/>
      </w:r>
      <w:r>
        <w:rPr>
          <w:noProof/>
        </w:rPr>
        <w:t>27</w:t>
      </w:r>
      <w:r>
        <w:rPr>
          <w:noProof/>
        </w:rPr>
        <w:fldChar w:fldCharType="end"/>
      </w:r>
    </w:p>
    <w:p w14:paraId="37F6097E" w14:textId="00886A90"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18</w:t>
      </w:r>
      <w:r>
        <w:rPr>
          <w:i w:val="0"/>
          <w:noProof/>
          <w:color w:val="auto"/>
          <w:kern w:val="2"/>
          <w:sz w:val="24"/>
          <w:szCs w:val="24"/>
          <w:lang w:eastAsia="en-GB"/>
          <w14:ligatures w14:val="standardContextual"/>
        </w:rPr>
        <w:tab/>
      </w:r>
      <w:r>
        <w:rPr>
          <w:noProof/>
        </w:rPr>
        <w:t>The Subscription Notification Operation Return Types.</w:t>
      </w:r>
      <w:r>
        <w:rPr>
          <w:noProof/>
        </w:rPr>
        <w:tab/>
      </w:r>
      <w:r>
        <w:rPr>
          <w:noProof/>
        </w:rPr>
        <w:fldChar w:fldCharType="begin"/>
      </w:r>
      <w:r>
        <w:rPr>
          <w:noProof/>
        </w:rPr>
        <w:instrText xml:space="preserve"> PAGEREF _Toc242095895 \h </w:instrText>
      </w:r>
      <w:r>
        <w:rPr>
          <w:noProof/>
        </w:rPr>
      </w:r>
      <w:r>
        <w:rPr>
          <w:noProof/>
        </w:rPr>
        <w:fldChar w:fldCharType="separate"/>
      </w:r>
      <w:r>
        <w:rPr>
          <w:noProof/>
        </w:rPr>
        <w:t>27</w:t>
      </w:r>
      <w:r>
        <w:rPr>
          <w:noProof/>
        </w:rPr>
        <w:fldChar w:fldCharType="end"/>
      </w:r>
    </w:p>
    <w:p w14:paraId="74D6F389" w14:textId="44FED6A0"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19</w:t>
      </w:r>
      <w:r>
        <w:rPr>
          <w:i w:val="0"/>
          <w:noProof/>
          <w:color w:val="auto"/>
          <w:kern w:val="2"/>
          <w:sz w:val="24"/>
          <w:szCs w:val="24"/>
          <w:lang w:eastAsia="en-GB"/>
          <w14:ligatures w14:val="standardContextual"/>
        </w:rPr>
        <w:tab/>
      </w:r>
      <w:r>
        <w:rPr>
          <w:noProof/>
        </w:rPr>
        <w:t>List of Acronyms</w:t>
      </w:r>
      <w:r>
        <w:rPr>
          <w:noProof/>
        </w:rPr>
        <w:tab/>
      </w:r>
      <w:r>
        <w:rPr>
          <w:noProof/>
        </w:rPr>
        <w:fldChar w:fldCharType="begin"/>
      </w:r>
      <w:r>
        <w:rPr>
          <w:noProof/>
        </w:rPr>
        <w:instrText xml:space="preserve"> PAGEREF _Toc242095896 \h </w:instrText>
      </w:r>
      <w:r>
        <w:rPr>
          <w:noProof/>
        </w:rPr>
      </w:r>
      <w:r>
        <w:rPr>
          <w:noProof/>
        </w:rPr>
        <w:fldChar w:fldCharType="separate"/>
      </w:r>
      <w:r>
        <w:rPr>
          <w:noProof/>
        </w:rPr>
        <w:t>33</w:t>
      </w:r>
      <w:r>
        <w:rPr>
          <w:noProof/>
        </w:rPr>
        <w:fldChar w:fldCharType="end"/>
      </w:r>
    </w:p>
    <w:p w14:paraId="7549CAC6" w14:textId="67AF613F" w:rsidR="00F84F73" w:rsidRDefault="00F84F73">
      <w:pPr>
        <w:pStyle w:val="TableofFigures"/>
        <w:rPr>
          <w:i w:val="0"/>
          <w:noProof/>
          <w:color w:val="auto"/>
          <w:kern w:val="2"/>
          <w:sz w:val="24"/>
          <w:szCs w:val="24"/>
          <w:lang w:eastAsia="en-GB"/>
          <w14:ligatures w14:val="standardContextual"/>
        </w:rPr>
      </w:pPr>
      <w:r w:rsidRPr="00D8573E">
        <w:rPr>
          <w:rFonts w:ascii="Calibri" w:hAnsi="Calibri"/>
          <w:noProof/>
        </w:rPr>
        <w:t>Table 20</w:t>
      </w:r>
      <w:r>
        <w:rPr>
          <w:i w:val="0"/>
          <w:noProof/>
          <w:color w:val="auto"/>
          <w:kern w:val="2"/>
          <w:sz w:val="24"/>
          <w:szCs w:val="24"/>
          <w:lang w:eastAsia="en-GB"/>
          <w14:ligatures w14:val="standardContextual"/>
        </w:rPr>
        <w:tab/>
      </w:r>
      <w:r>
        <w:rPr>
          <w:noProof/>
        </w:rPr>
        <w:t>List of Terms</w:t>
      </w:r>
      <w:r>
        <w:rPr>
          <w:noProof/>
        </w:rPr>
        <w:tab/>
      </w:r>
      <w:r>
        <w:rPr>
          <w:noProof/>
        </w:rPr>
        <w:fldChar w:fldCharType="begin"/>
      </w:r>
      <w:r>
        <w:rPr>
          <w:noProof/>
        </w:rPr>
        <w:instrText xml:space="preserve"> PAGEREF _Toc242095897 \h </w:instrText>
      </w:r>
      <w:r>
        <w:rPr>
          <w:noProof/>
        </w:rPr>
      </w:r>
      <w:r>
        <w:rPr>
          <w:noProof/>
        </w:rPr>
        <w:fldChar w:fldCharType="separate"/>
      </w:r>
      <w:r>
        <w:rPr>
          <w:noProof/>
        </w:rPr>
        <w:t>33</w:t>
      </w:r>
      <w:r>
        <w:rPr>
          <w:noProof/>
        </w:rPr>
        <w:fldChar w:fldCharType="end"/>
      </w:r>
    </w:p>
    <w:p w14:paraId="45CC63D7" w14:textId="2AF4FF73" w:rsidR="00EF0E3E" w:rsidRDefault="00000000">
      <w:pPr>
        <w:pStyle w:val="BodyText"/>
      </w:pPr>
      <w:r>
        <w:rPr>
          <w:i/>
          <w:color w:val="00558C"/>
        </w:rPr>
        <w:fldChar w:fldCharType="end"/>
      </w:r>
    </w:p>
    <w:p w14:paraId="4D1F0A38" w14:textId="77777777" w:rsidR="00EF0E3E" w:rsidRDefault="00000000">
      <w:pPr>
        <w:pStyle w:val="ListofFigures"/>
      </w:pPr>
      <w:r>
        <w:t>List of Figures</w:t>
      </w:r>
    </w:p>
    <w:p w14:paraId="20827275" w14:textId="32E210AE" w:rsidR="00F84F73" w:rsidRDefault="00000000">
      <w:pPr>
        <w:pStyle w:val="TableofFigures"/>
        <w:rPr>
          <w:i w:val="0"/>
          <w:noProof/>
          <w:color w:val="auto"/>
          <w:kern w:val="2"/>
          <w:sz w:val="24"/>
          <w:szCs w:val="24"/>
          <w:lang w:eastAsia="en-GB"/>
          <w14:ligatures w14:val="standardContextual"/>
        </w:rPr>
      </w:pPr>
      <w:r>
        <w:fldChar w:fldCharType="begin"/>
      </w:r>
      <w:r>
        <w:instrText xml:space="preserve"> TOC \t "Image Caption" \c </w:instrText>
      </w:r>
      <w:r>
        <w:fldChar w:fldCharType="separate"/>
      </w:r>
      <w:r w:rsidR="00F84F73">
        <w:rPr>
          <w:noProof/>
        </w:rPr>
        <w:t>Figure 1</w:t>
      </w:r>
      <w:r w:rsidR="00F84F73">
        <w:rPr>
          <w:i w:val="0"/>
          <w:noProof/>
          <w:color w:val="auto"/>
          <w:kern w:val="2"/>
          <w:sz w:val="24"/>
          <w:szCs w:val="24"/>
          <w:lang w:eastAsia="en-GB"/>
          <w14:ligatures w14:val="standardContextual"/>
        </w:rPr>
        <w:tab/>
      </w:r>
      <w:r w:rsidR="00F84F73">
        <w:rPr>
          <w:noProof/>
        </w:rPr>
        <w:t>Example of the AtoN information flow, as per [3].</w:t>
      </w:r>
      <w:r w:rsidR="00F84F73">
        <w:rPr>
          <w:noProof/>
        </w:rPr>
        <w:tab/>
      </w:r>
      <w:r w:rsidR="00F84F73">
        <w:rPr>
          <w:noProof/>
        </w:rPr>
        <w:fldChar w:fldCharType="begin"/>
      </w:r>
      <w:r w:rsidR="00F84F73">
        <w:rPr>
          <w:noProof/>
        </w:rPr>
        <w:instrText xml:space="preserve"> PAGEREF _Toc242095898 \h </w:instrText>
      </w:r>
      <w:r w:rsidR="00F84F73">
        <w:rPr>
          <w:noProof/>
        </w:rPr>
      </w:r>
      <w:r w:rsidR="00F84F73">
        <w:rPr>
          <w:noProof/>
        </w:rPr>
        <w:fldChar w:fldCharType="separate"/>
      </w:r>
      <w:r w:rsidR="00F84F73">
        <w:rPr>
          <w:noProof/>
        </w:rPr>
        <w:t>10</w:t>
      </w:r>
      <w:r w:rsidR="00F84F73">
        <w:rPr>
          <w:noProof/>
        </w:rPr>
        <w:fldChar w:fldCharType="end"/>
      </w:r>
    </w:p>
    <w:p w14:paraId="476DAC93" w14:textId="0431A121" w:rsidR="00F84F73" w:rsidRDefault="00F84F73">
      <w:pPr>
        <w:pStyle w:val="TableofFigures"/>
        <w:rPr>
          <w:i w:val="0"/>
          <w:noProof/>
          <w:color w:val="auto"/>
          <w:kern w:val="2"/>
          <w:sz w:val="24"/>
          <w:szCs w:val="24"/>
          <w:lang w:eastAsia="en-GB"/>
          <w14:ligatures w14:val="standardContextual"/>
        </w:rPr>
      </w:pPr>
      <w:r>
        <w:rPr>
          <w:noProof/>
        </w:rPr>
        <w:t>Figure 2</w:t>
      </w:r>
      <w:r>
        <w:rPr>
          <w:i w:val="0"/>
          <w:noProof/>
          <w:color w:val="auto"/>
          <w:kern w:val="2"/>
          <w:sz w:val="24"/>
          <w:szCs w:val="24"/>
          <w:lang w:eastAsia="en-GB"/>
          <w14:ligatures w14:val="standardContextual"/>
        </w:rPr>
        <w:tab/>
      </w:r>
      <w:r>
        <w:rPr>
          <w:noProof/>
        </w:rPr>
        <w:t>S-201 Service Operations Definition diagram.</w:t>
      </w:r>
      <w:r>
        <w:rPr>
          <w:noProof/>
        </w:rPr>
        <w:tab/>
      </w:r>
      <w:r>
        <w:rPr>
          <w:noProof/>
        </w:rPr>
        <w:fldChar w:fldCharType="begin"/>
      </w:r>
      <w:r>
        <w:rPr>
          <w:noProof/>
        </w:rPr>
        <w:instrText xml:space="preserve"> PAGEREF _Toc242095899 \h </w:instrText>
      </w:r>
      <w:r>
        <w:rPr>
          <w:noProof/>
        </w:rPr>
      </w:r>
      <w:r>
        <w:rPr>
          <w:noProof/>
        </w:rPr>
        <w:fldChar w:fldCharType="separate"/>
      </w:r>
      <w:r>
        <w:rPr>
          <w:noProof/>
        </w:rPr>
        <w:t>17</w:t>
      </w:r>
      <w:r>
        <w:rPr>
          <w:noProof/>
        </w:rPr>
        <w:fldChar w:fldCharType="end"/>
      </w:r>
    </w:p>
    <w:p w14:paraId="55825479" w14:textId="1C9AC3C0" w:rsidR="00F84F73" w:rsidRDefault="00F84F73">
      <w:pPr>
        <w:pStyle w:val="TableofFigures"/>
        <w:rPr>
          <w:i w:val="0"/>
          <w:noProof/>
          <w:color w:val="auto"/>
          <w:kern w:val="2"/>
          <w:sz w:val="24"/>
          <w:szCs w:val="24"/>
          <w:lang w:eastAsia="en-GB"/>
          <w14:ligatures w14:val="standardContextual"/>
        </w:rPr>
      </w:pPr>
      <w:r>
        <w:rPr>
          <w:noProof/>
        </w:rPr>
        <w:t>Figure 3</w:t>
      </w:r>
      <w:r>
        <w:rPr>
          <w:i w:val="0"/>
          <w:noProof/>
          <w:color w:val="auto"/>
          <w:kern w:val="2"/>
          <w:sz w:val="24"/>
          <w:szCs w:val="24"/>
          <w:lang w:eastAsia="en-GB"/>
          <w14:ligatures w14:val="standardContextual"/>
        </w:rPr>
        <w:tab/>
      </w:r>
      <w:r>
        <w:rPr>
          <w:noProof/>
        </w:rPr>
        <w:t>Get operation.</w:t>
      </w:r>
      <w:r>
        <w:rPr>
          <w:noProof/>
        </w:rPr>
        <w:tab/>
      </w:r>
      <w:r>
        <w:rPr>
          <w:noProof/>
        </w:rPr>
        <w:fldChar w:fldCharType="begin"/>
      </w:r>
      <w:r>
        <w:rPr>
          <w:noProof/>
        </w:rPr>
        <w:instrText xml:space="preserve"> PAGEREF _Toc242095900 \h </w:instrText>
      </w:r>
      <w:r>
        <w:rPr>
          <w:noProof/>
        </w:rPr>
      </w:r>
      <w:r>
        <w:rPr>
          <w:noProof/>
        </w:rPr>
        <w:fldChar w:fldCharType="separate"/>
      </w:r>
      <w:r>
        <w:rPr>
          <w:noProof/>
        </w:rPr>
        <w:t>19</w:t>
      </w:r>
      <w:r>
        <w:rPr>
          <w:noProof/>
        </w:rPr>
        <w:fldChar w:fldCharType="end"/>
      </w:r>
    </w:p>
    <w:p w14:paraId="03EF9455" w14:textId="579BFB76" w:rsidR="00F84F73" w:rsidRDefault="00F84F73">
      <w:pPr>
        <w:pStyle w:val="TableofFigures"/>
        <w:rPr>
          <w:i w:val="0"/>
          <w:noProof/>
          <w:color w:val="auto"/>
          <w:kern w:val="2"/>
          <w:sz w:val="24"/>
          <w:szCs w:val="24"/>
          <w:lang w:eastAsia="en-GB"/>
          <w14:ligatures w14:val="standardContextual"/>
        </w:rPr>
      </w:pPr>
      <w:r>
        <w:rPr>
          <w:noProof/>
        </w:rPr>
        <w:t>Figure 4</w:t>
      </w:r>
      <w:r>
        <w:rPr>
          <w:i w:val="0"/>
          <w:noProof/>
          <w:color w:val="auto"/>
          <w:kern w:val="2"/>
          <w:sz w:val="24"/>
          <w:szCs w:val="24"/>
          <w:lang w:eastAsia="en-GB"/>
          <w14:ligatures w14:val="standardContextual"/>
        </w:rPr>
        <w:tab/>
      </w:r>
      <w:r>
        <w:rPr>
          <w:noProof/>
        </w:rPr>
        <w:t>Get Summary operation.</w:t>
      </w:r>
      <w:r>
        <w:rPr>
          <w:noProof/>
        </w:rPr>
        <w:tab/>
      </w:r>
      <w:r>
        <w:rPr>
          <w:noProof/>
        </w:rPr>
        <w:fldChar w:fldCharType="begin"/>
      </w:r>
      <w:r>
        <w:rPr>
          <w:noProof/>
        </w:rPr>
        <w:instrText xml:space="preserve"> PAGEREF _Toc242095901 \h </w:instrText>
      </w:r>
      <w:r>
        <w:rPr>
          <w:noProof/>
        </w:rPr>
      </w:r>
      <w:r>
        <w:rPr>
          <w:noProof/>
        </w:rPr>
        <w:fldChar w:fldCharType="separate"/>
      </w:r>
      <w:r>
        <w:rPr>
          <w:noProof/>
        </w:rPr>
        <w:t>21</w:t>
      </w:r>
      <w:r>
        <w:rPr>
          <w:noProof/>
        </w:rPr>
        <w:fldChar w:fldCharType="end"/>
      </w:r>
    </w:p>
    <w:p w14:paraId="191A2359" w14:textId="37FC40F9" w:rsidR="00F84F73" w:rsidRDefault="00F84F73">
      <w:pPr>
        <w:pStyle w:val="TableofFigures"/>
        <w:rPr>
          <w:i w:val="0"/>
          <w:noProof/>
          <w:color w:val="auto"/>
          <w:kern w:val="2"/>
          <w:sz w:val="24"/>
          <w:szCs w:val="24"/>
          <w:lang w:eastAsia="en-GB"/>
          <w14:ligatures w14:val="standardContextual"/>
        </w:rPr>
      </w:pPr>
      <w:r>
        <w:rPr>
          <w:noProof/>
        </w:rPr>
        <w:t>Figure 5</w:t>
      </w:r>
      <w:r>
        <w:rPr>
          <w:i w:val="0"/>
          <w:noProof/>
          <w:color w:val="auto"/>
          <w:kern w:val="2"/>
          <w:sz w:val="24"/>
          <w:szCs w:val="24"/>
          <w:lang w:eastAsia="en-GB"/>
          <w14:ligatures w14:val="standardContextual"/>
        </w:rPr>
        <w:tab/>
      </w:r>
      <w:r>
        <w:rPr>
          <w:noProof/>
        </w:rPr>
        <w:t>Subscription operation.</w:t>
      </w:r>
      <w:r>
        <w:rPr>
          <w:noProof/>
        </w:rPr>
        <w:tab/>
      </w:r>
      <w:r>
        <w:rPr>
          <w:noProof/>
        </w:rPr>
        <w:fldChar w:fldCharType="begin"/>
      </w:r>
      <w:r>
        <w:rPr>
          <w:noProof/>
        </w:rPr>
        <w:instrText xml:space="preserve"> PAGEREF _Toc242095902 \h </w:instrText>
      </w:r>
      <w:r>
        <w:rPr>
          <w:noProof/>
        </w:rPr>
      </w:r>
      <w:r>
        <w:rPr>
          <w:noProof/>
        </w:rPr>
        <w:fldChar w:fldCharType="separate"/>
      </w:r>
      <w:r>
        <w:rPr>
          <w:noProof/>
        </w:rPr>
        <w:t>23</w:t>
      </w:r>
      <w:r>
        <w:rPr>
          <w:noProof/>
        </w:rPr>
        <w:fldChar w:fldCharType="end"/>
      </w:r>
    </w:p>
    <w:p w14:paraId="1ACAD617" w14:textId="5E407E43" w:rsidR="00F84F73" w:rsidRDefault="00F84F73">
      <w:pPr>
        <w:pStyle w:val="TableofFigures"/>
        <w:rPr>
          <w:i w:val="0"/>
          <w:noProof/>
          <w:color w:val="auto"/>
          <w:kern w:val="2"/>
          <w:sz w:val="24"/>
          <w:szCs w:val="24"/>
          <w:lang w:eastAsia="en-GB"/>
          <w14:ligatures w14:val="standardContextual"/>
        </w:rPr>
      </w:pPr>
      <w:r>
        <w:rPr>
          <w:noProof/>
        </w:rPr>
        <w:t>Figure 6</w:t>
      </w:r>
      <w:r>
        <w:rPr>
          <w:i w:val="0"/>
          <w:noProof/>
          <w:color w:val="auto"/>
          <w:kern w:val="2"/>
          <w:sz w:val="24"/>
          <w:szCs w:val="24"/>
          <w:lang w:eastAsia="en-GB"/>
          <w14:ligatures w14:val="standardContextual"/>
        </w:rPr>
        <w:tab/>
      </w:r>
      <w:r>
        <w:rPr>
          <w:noProof/>
        </w:rPr>
        <w:t>Remove Subscription operation.</w:t>
      </w:r>
      <w:r>
        <w:rPr>
          <w:noProof/>
        </w:rPr>
        <w:tab/>
      </w:r>
      <w:r>
        <w:rPr>
          <w:noProof/>
        </w:rPr>
        <w:fldChar w:fldCharType="begin"/>
      </w:r>
      <w:r>
        <w:rPr>
          <w:noProof/>
        </w:rPr>
        <w:instrText xml:space="preserve"> PAGEREF _Toc242095903 \h </w:instrText>
      </w:r>
      <w:r>
        <w:rPr>
          <w:noProof/>
        </w:rPr>
      </w:r>
      <w:r>
        <w:rPr>
          <w:noProof/>
        </w:rPr>
        <w:fldChar w:fldCharType="separate"/>
      </w:r>
      <w:r>
        <w:rPr>
          <w:noProof/>
        </w:rPr>
        <w:t>25</w:t>
      </w:r>
      <w:r>
        <w:rPr>
          <w:noProof/>
        </w:rPr>
        <w:fldChar w:fldCharType="end"/>
      </w:r>
    </w:p>
    <w:p w14:paraId="7283F224" w14:textId="7C6EC422" w:rsidR="00F84F73" w:rsidRDefault="00F84F73">
      <w:pPr>
        <w:pStyle w:val="TableofFigures"/>
        <w:rPr>
          <w:i w:val="0"/>
          <w:noProof/>
          <w:color w:val="auto"/>
          <w:kern w:val="2"/>
          <w:sz w:val="24"/>
          <w:szCs w:val="24"/>
          <w:lang w:eastAsia="en-GB"/>
          <w14:ligatures w14:val="standardContextual"/>
        </w:rPr>
      </w:pPr>
      <w:r>
        <w:rPr>
          <w:noProof/>
        </w:rPr>
        <w:t>Figure 7</w:t>
      </w:r>
      <w:r>
        <w:rPr>
          <w:i w:val="0"/>
          <w:noProof/>
          <w:color w:val="auto"/>
          <w:kern w:val="2"/>
          <w:sz w:val="24"/>
          <w:szCs w:val="24"/>
          <w:lang w:eastAsia="en-GB"/>
          <w14:ligatures w14:val="standardContextual"/>
        </w:rPr>
        <w:tab/>
      </w:r>
      <w:r>
        <w:rPr>
          <w:noProof/>
        </w:rPr>
        <w:t>Upload operation.</w:t>
      </w:r>
      <w:r>
        <w:rPr>
          <w:noProof/>
        </w:rPr>
        <w:tab/>
      </w:r>
      <w:r>
        <w:rPr>
          <w:noProof/>
        </w:rPr>
        <w:fldChar w:fldCharType="begin"/>
      </w:r>
      <w:r>
        <w:rPr>
          <w:noProof/>
        </w:rPr>
        <w:instrText xml:space="preserve"> PAGEREF _Toc242095904 \h </w:instrText>
      </w:r>
      <w:r>
        <w:rPr>
          <w:noProof/>
        </w:rPr>
      </w:r>
      <w:r>
        <w:rPr>
          <w:noProof/>
        </w:rPr>
        <w:fldChar w:fldCharType="separate"/>
      </w:r>
      <w:r>
        <w:rPr>
          <w:noProof/>
        </w:rPr>
        <w:t>26</w:t>
      </w:r>
      <w:r>
        <w:rPr>
          <w:noProof/>
        </w:rPr>
        <w:fldChar w:fldCharType="end"/>
      </w:r>
    </w:p>
    <w:p w14:paraId="4AED3B59" w14:textId="539AD03B" w:rsidR="00F84F73" w:rsidRDefault="00F84F73">
      <w:pPr>
        <w:pStyle w:val="TableofFigures"/>
        <w:rPr>
          <w:i w:val="0"/>
          <w:noProof/>
          <w:color w:val="auto"/>
          <w:kern w:val="2"/>
          <w:sz w:val="24"/>
          <w:szCs w:val="24"/>
          <w:lang w:eastAsia="en-GB"/>
          <w14:ligatures w14:val="standardContextual"/>
        </w:rPr>
      </w:pPr>
      <w:r>
        <w:rPr>
          <w:noProof/>
        </w:rPr>
        <w:t>Figure 8</w:t>
      </w:r>
      <w:r>
        <w:rPr>
          <w:i w:val="0"/>
          <w:noProof/>
          <w:color w:val="auto"/>
          <w:kern w:val="2"/>
          <w:sz w:val="24"/>
          <w:szCs w:val="24"/>
          <w:lang w:eastAsia="en-GB"/>
          <w14:ligatures w14:val="standardContextual"/>
        </w:rPr>
        <w:tab/>
      </w:r>
      <w:r>
        <w:rPr>
          <w:noProof/>
        </w:rPr>
        <w:t>Subscription Notification operation.</w:t>
      </w:r>
      <w:r>
        <w:rPr>
          <w:noProof/>
        </w:rPr>
        <w:tab/>
      </w:r>
      <w:r>
        <w:rPr>
          <w:noProof/>
        </w:rPr>
        <w:fldChar w:fldCharType="begin"/>
      </w:r>
      <w:r>
        <w:rPr>
          <w:noProof/>
        </w:rPr>
        <w:instrText xml:space="preserve"> PAGEREF _Toc242095905 \h </w:instrText>
      </w:r>
      <w:r>
        <w:rPr>
          <w:noProof/>
        </w:rPr>
      </w:r>
      <w:r>
        <w:rPr>
          <w:noProof/>
        </w:rPr>
        <w:fldChar w:fldCharType="separate"/>
      </w:r>
      <w:r>
        <w:rPr>
          <w:noProof/>
        </w:rPr>
        <w:t>27</w:t>
      </w:r>
      <w:r>
        <w:rPr>
          <w:noProof/>
        </w:rPr>
        <w:fldChar w:fldCharType="end"/>
      </w:r>
    </w:p>
    <w:p w14:paraId="0A0AB14F" w14:textId="4D4FEA17" w:rsidR="00F84F73" w:rsidRDefault="00F84F73">
      <w:pPr>
        <w:pStyle w:val="TableofFigures"/>
        <w:rPr>
          <w:i w:val="0"/>
          <w:noProof/>
          <w:color w:val="auto"/>
          <w:kern w:val="2"/>
          <w:sz w:val="24"/>
          <w:szCs w:val="24"/>
          <w:lang w:eastAsia="en-GB"/>
          <w14:ligatures w14:val="standardContextual"/>
        </w:rPr>
      </w:pPr>
      <w:r>
        <w:rPr>
          <w:noProof/>
        </w:rPr>
        <w:t>Figure 9</w:t>
      </w:r>
      <w:r>
        <w:rPr>
          <w:i w:val="0"/>
          <w:noProof/>
          <w:color w:val="auto"/>
          <w:kern w:val="2"/>
          <w:sz w:val="24"/>
          <w:szCs w:val="24"/>
          <w:lang w:eastAsia="en-GB"/>
          <w14:ligatures w14:val="standardContextual"/>
        </w:rPr>
        <w:tab/>
      </w:r>
      <w:r>
        <w:rPr>
          <w:noProof/>
        </w:rPr>
        <w:t>S-201 dataset coupled with service metadata in an S-100 Exchange Set.</w:t>
      </w:r>
      <w:r>
        <w:rPr>
          <w:noProof/>
        </w:rPr>
        <w:tab/>
      </w:r>
      <w:r>
        <w:rPr>
          <w:noProof/>
        </w:rPr>
        <w:fldChar w:fldCharType="begin"/>
      </w:r>
      <w:r>
        <w:rPr>
          <w:noProof/>
        </w:rPr>
        <w:instrText xml:space="preserve"> PAGEREF _Toc242095906 \h </w:instrText>
      </w:r>
      <w:r>
        <w:rPr>
          <w:noProof/>
        </w:rPr>
      </w:r>
      <w:r>
        <w:rPr>
          <w:noProof/>
        </w:rPr>
        <w:fldChar w:fldCharType="separate"/>
      </w:r>
      <w:r>
        <w:rPr>
          <w:noProof/>
        </w:rPr>
        <w:t>29</w:t>
      </w:r>
      <w:r>
        <w:rPr>
          <w:noProof/>
        </w:rPr>
        <w:fldChar w:fldCharType="end"/>
      </w:r>
    </w:p>
    <w:p w14:paraId="5740CD5C" w14:textId="2347772B" w:rsidR="00F84F73" w:rsidRDefault="00F84F73">
      <w:pPr>
        <w:pStyle w:val="TableofFigures"/>
        <w:rPr>
          <w:i w:val="0"/>
          <w:noProof/>
          <w:color w:val="auto"/>
          <w:kern w:val="2"/>
          <w:sz w:val="24"/>
          <w:szCs w:val="24"/>
          <w:lang w:eastAsia="en-GB"/>
          <w14:ligatures w14:val="standardContextual"/>
        </w:rPr>
      </w:pPr>
      <w:r>
        <w:rPr>
          <w:noProof/>
        </w:rPr>
        <w:t>Figure 10</w:t>
      </w:r>
      <w:r>
        <w:rPr>
          <w:i w:val="0"/>
          <w:noProof/>
          <w:color w:val="auto"/>
          <w:kern w:val="2"/>
          <w:sz w:val="24"/>
          <w:szCs w:val="24"/>
          <w:lang w:eastAsia="en-GB"/>
          <w14:ligatures w14:val="standardContextual"/>
        </w:rPr>
        <w:tab/>
      </w:r>
      <w:r>
        <w:rPr>
          <w:noProof/>
        </w:rPr>
        <w:t>Client-Initiated AtoN Information Retrieval through the Get operation.</w:t>
      </w:r>
      <w:r>
        <w:rPr>
          <w:noProof/>
        </w:rPr>
        <w:tab/>
      </w:r>
      <w:r>
        <w:rPr>
          <w:noProof/>
        </w:rPr>
        <w:fldChar w:fldCharType="begin"/>
      </w:r>
      <w:r>
        <w:rPr>
          <w:noProof/>
        </w:rPr>
        <w:instrText xml:space="preserve"> PAGEREF _Toc242095907 \h </w:instrText>
      </w:r>
      <w:r>
        <w:rPr>
          <w:noProof/>
        </w:rPr>
      </w:r>
      <w:r>
        <w:rPr>
          <w:noProof/>
        </w:rPr>
        <w:fldChar w:fldCharType="separate"/>
      </w:r>
      <w:r>
        <w:rPr>
          <w:noProof/>
        </w:rPr>
        <w:t>30</w:t>
      </w:r>
      <w:r>
        <w:rPr>
          <w:noProof/>
        </w:rPr>
        <w:fldChar w:fldCharType="end"/>
      </w:r>
    </w:p>
    <w:p w14:paraId="6C131BF5" w14:textId="09ADD769" w:rsidR="00F84F73" w:rsidRDefault="00F84F73">
      <w:pPr>
        <w:pStyle w:val="TableofFigures"/>
        <w:rPr>
          <w:i w:val="0"/>
          <w:noProof/>
          <w:color w:val="auto"/>
          <w:kern w:val="2"/>
          <w:sz w:val="24"/>
          <w:szCs w:val="24"/>
          <w:lang w:eastAsia="en-GB"/>
          <w14:ligatures w14:val="standardContextual"/>
        </w:rPr>
      </w:pPr>
      <w:r>
        <w:rPr>
          <w:noProof/>
        </w:rPr>
        <w:t>Figure 11</w:t>
      </w:r>
      <w:r>
        <w:rPr>
          <w:i w:val="0"/>
          <w:noProof/>
          <w:color w:val="auto"/>
          <w:kern w:val="2"/>
          <w:sz w:val="24"/>
          <w:szCs w:val="24"/>
          <w:lang w:eastAsia="en-GB"/>
          <w14:ligatures w14:val="standardContextual"/>
        </w:rPr>
        <w:tab/>
      </w:r>
      <w:r>
        <w:rPr>
          <w:noProof/>
        </w:rPr>
        <w:t>Client-Initiated AtoN Information Retrieval through the Get Summary operation.</w:t>
      </w:r>
      <w:r>
        <w:rPr>
          <w:noProof/>
        </w:rPr>
        <w:tab/>
      </w:r>
      <w:r>
        <w:rPr>
          <w:noProof/>
        </w:rPr>
        <w:fldChar w:fldCharType="begin"/>
      </w:r>
      <w:r>
        <w:rPr>
          <w:noProof/>
        </w:rPr>
        <w:instrText xml:space="preserve"> PAGEREF _Toc242095908 \h </w:instrText>
      </w:r>
      <w:r>
        <w:rPr>
          <w:noProof/>
        </w:rPr>
      </w:r>
      <w:r>
        <w:rPr>
          <w:noProof/>
        </w:rPr>
        <w:fldChar w:fldCharType="separate"/>
      </w:r>
      <w:r>
        <w:rPr>
          <w:noProof/>
        </w:rPr>
        <w:t>31</w:t>
      </w:r>
      <w:r>
        <w:rPr>
          <w:noProof/>
        </w:rPr>
        <w:fldChar w:fldCharType="end"/>
      </w:r>
    </w:p>
    <w:p w14:paraId="34248888" w14:textId="06CA0BD6" w:rsidR="00F84F73" w:rsidRDefault="00F84F73">
      <w:pPr>
        <w:pStyle w:val="TableofFigures"/>
        <w:rPr>
          <w:i w:val="0"/>
          <w:noProof/>
          <w:color w:val="auto"/>
          <w:kern w:val="2"/>
          <w:sz w:val="24"/>
          <w:szCs w:val="24"/>
          <w:lang w:eastAsia="en-GB"/>
          <w14:ligatures w14:val="standardContextual"/>
        </w:rPr>
      </w:pPr>
      <w:r>
        <w:rPr>
          <w:noProof/>
        </w:rPr>
        <w:lastRenderedPageBreak/>
        <w:t>Figure 12</w:t>
      </w:r>
      <w:r>
        <w:rPr>
          <w:i w:val="0"/>
          <w:noProof/>
          <w:color w:val="auto"/>
          <w:kern w:val="2"/>
          <w:sz w:val="24"/>
          <w:szCs w:val="24"/>
          <w:lang w:eastAsia="en-GB"/>
          <w14:ligatures w14:val="standardContextual"/>
        </w:rPr>
        <w:tab/>
      </w:r>
      <w:r>
        <w:rPr>
          <w:noProof/>
        </w:rPr>
        <w:t>Subscription requested by external service.</w:t>
      </w:r>
      <w:r>
        <w:rPr>
          <w:noProof/>
        </w:rPr>
        <w:tab/>
      </w:r>
      <w:r>
        <w:rPr>
          <w:noProof/>
        </w:rPr>
        <w:fldChar w:fldCharType="begin"/>
      </w:r>
      <w:r>
        <w:rPr>
          <w:noProof/>
        </w:rPr>
        <w:instrText xml:space="preserve"> PAGEREF _Toc242095909 \h </w:instrText>
      </w:r>
      <w:r>
        <w:rPr>
          <w:noProof/>
        </w:rPr>
      </w:r>
      <w:r>
        <w:rPr>
          <w:noProof/>
        </w:rPr>
        <w:fldChar w:fldCharType="separate"/>
      </w:r>
      <w:r>
        <w:rPr>
          <w:noProof/>
        </w:rPr>
        <w:t>32</w:t>
      </w:r>
      <w:r>
        <w:rPr>
          <w:noProof/>
        </w:rPr>
        <w:fldChar w:fldCharType="end"/>
      </w:r>
    </w:p>
    <w:p w14:paraId="3AD7DB63" w14:textId="78968D10" w:rsidR="00EF0E3E" w:rsidRDefault="00000000">
      <w:pPr>
        <w:pStyle w:val="BodyText"/>
        <w:sectPr w:rsidR="00EF0E3E">
          <w:headerReference w:type="even" r:id="rId22"/>
          <w:headerReference w:type="default" r:id="rId23"/>
          <w:headerReference w:type="first" r:id="rId24"/>
          <w:footerReference w:type="first" r:id="rId25"/>
          <w:pgSz w:w="11906" w:h="16838"/>
          <w:pgMar w:top="567" w:right="794" w:bottom="567" w:left="907" w:header="850" w:footer="784" w:gutter="0"/>
          <w:cols w:space="708"/>
        </w:sectPr>
      </w:pPr>
      <w:r>
        <w:fldChar w:fldCharType="end"/>
      </w:r>
    </w:p>
    <w:p w14:paraId="06084507" w14:textId="77777777" w:rsidR="00EF0E3E" w:rsidRDefault="00EF0E3E">
      <w:pPr>
        <w:pStyle w:val="Hidden"/>
        <w:numPr>
          <w:ilvl w:val="0"/>
          <w:numId w:val="41"/>
        </w:numPr>
      </w:pPr>
    </w:p>
    <w:p w14:paraId="064CCBC7" w14:textId="77777777" w:rsidR="00E71ADC" w:rsidRDefault="00000000">
      <w:pPr>
        <w:pStyle w:val="Title"/>
      </w:pPr>
      <w:bookmarkStart w:id="0" w:name="_Toc242095844"/>
      <w:r>
        <w:t>Marine Aids to Navigation (AtoN) Service Specification</w:t>
      </w:r>
      <w:bookmarkEnd w:id="0"/>
    </w:p>
    <w:p w14:paraId="4B32478A" w14:textId="77777777" w:rsidR="00E71ADC" w:rsidRDefault="00000000">
      <w:pPr>
        <w:pStyle w:val="Subtitle"/>
      </w:pPr>
      <w:r>
        <w:t>Service Specification for the Enhanced AtoN Information for AtoN Authorities</w:t>
      </w:r>
    </w:p>
    <w:p w14:paraId="62EF6674" w14:textId="77777777" w:rsidR="00E71ADC" w:rsidRDefault="00000000">
      <w:pPr>
        <w:pStyle w:val="Heading1"/>
      </w:pPr>
      <w:bookmarkStart w:id="1" w:name="_cebaa1f6ada0c89507e61caf930b3b1c7b5b035"/>
      <w:bookmarkStart w:id="2" w:name="_Toc242095845"/>
      <w:r>
        <w:t>Introduction</w:t>
      </w:r>
      <w:bookmarkEnd w:id="2"/>
    </w:p>
    <w:p w14:paraId="153A4A82" w14:textId="77777777" w:rsidR="00E71ADC" w:rsidRDefault="00000000">
      <w:pPr>
        <w:pStyle w:val="FirstParagraph"/>
      </w:pPr>
      <w:r>
        <w:t>This document describes the technical service for the exchange of Enhanced Aids to Navigation (AtoN) Information for AtoN Authorities, following the IALA guideline G1128 [1]. In the context of e-Navigation, there is a number of maritime services, each referencing a number of associated technical services. The technical services themselves are described in three levels:</w:t>
      </w:r>
    </w:p>
    <w:p w14:paraId="784912F2" w14:textId="77777777" w:rsidR="00E71ADC" w:rsidRDefault="00000000">
      <w:pPr>
        <w:pStyle w:val="FirstParagraph"/>
        <w:numPr>
          <w:ilvl w:val="0"/>
          <w:numId w:val="22"/>
        </w:numPr>
      </w:pPr>
      <w:r>
        <w:t>Service specification (this document)</w:t>
      </w:r>
    </w:p>
    <w:p w14:paraId="2668D72F" w14:textId="77777777" w:rsidR="00E71ADC" w:rsidRDefault="00000000">
      <w:pPr>
        <w:pStyle w:val="FirstParagraph"/>
        <w:numPr>
          <w:ilvl w:val="0"/>
          <w:numId w:val="22"/>
        </w:numPr>
      </w:pPr>
      <w:r>
        <w:t>Service design (one or more)</w:t>
      </w:r>
    </w:p>
    <w:p w14:paraId="1F13F6ED" w14:textId="77777777" w:rsidR="00E71ADC" w:rsidRDefault="00000000">
      <w:pPr>
        <w:pStyle w:val="FirstParagraph"/>
        <w:numPr>
          <w:ilvl w:val="0"/>
          <w:numId w:val="22"/>
        </w:numPr>
      </w:pPr>
      <w:r>
        <w:t>Service instance (one or more)</w:t>
      </w:r>
    </w:p>
    <w:p w14:paraId="5BF49533" w14:textId="77777777" w:rsidR="00E71ADC" w:rsidRDefault="00000000">
      <w:pPr>
        <w:pStyle w:val="FirstParagraph"/>
      </w:pPr>
      <w:r>
        <w:t>All the above documents are part of G1128 and are explained in that guideline.</w:t>
      </w:r>
    </w:p>
    <w:p w14:paraId="510C9AB8" w14:textId="77777777" w:rsidR="00E71ADC" w:rsidRDefault="00000000">
      <w:pPr>
        <w:pStyle w:val="BodyText"/>
      </w:pPr>
      <w:r>
        <w:t>The exchange of Enhanced AtoN Information for AtoN Authorities makes use of the IALA S-201 data model, which is outlined in the S-201 data product specification. According to IALA, the S-201 - Aids to Navigation (AtoN) Information [2] data product provides a common structure for the exchange of information about AtoNs including metadata like maintenance schedules, equipment type such as battery and bulb types. This includes buoys, beacons, racons, lights, sound signals and AIS. The product specification can be used to exchange AtoN information in a consistent form between Lighthouse Authorities, Hydrographic Offices and other organisations to include commercial and professional agencies.</w:t>
      </w:r>
    </w:p>
    <w:p w14:paraId="6B9872D6" w14:textId="77777777" w:rsidR="00E71ADC" w:rsidRDefault="00000000">
      <w:pPr>
        <w:pStyle w:val="BodyText"/>
      </w:pPr>
      <w:r>
        <w:rPr>
          <w:strike/>
        </w:rPr>
        <w:t>This service specification may be used with the Maritime Connectivity Platform (MCP), where the MCP would provide means of authentication of service providers and service consumers as well as means of service discoverability-</w:t>
      </w:r>
      <w:r>
        <w:t>.</w:t>
      </w:r>
    </w:p>
    <w:p w14:paraId="527A6E75" w14:textId="77777777" w:rsidR="00E71ADC" w:rsidRDefault="00000000">
      <w:pPr>
        <w:pStyle w:val="Heading2"/>
      </w:pPr>
      <w:bookmarkStart w:id="3" w:name="_8a70ae600c2f2575d602f31c2dd0fb160e903ee"/>
      <w:bookmarkStart w:id="4" w:name="_Toc242095846"/>
      <w:r>
        <w:t>Purpose of the Document</w:t>
      </w:r>
      <w:bookmarkEnd w:id="4"/>
    </w:p>
    <w:p w14:paraId="3DEC5BF1" w14:textId="77777777" w:rsidR="00E71ADC" w:rsidRDefault="00000000">
      <w:pPr>
        <w:pStyle w:val="FirstParagraph"/>
      </w:pPr>
      <w:r>
        <w:t>The purpose of this service specification document is to provide a holistic overview of the service and its building blocks in a technology-independent way, according to the G1128 guideline. It describes a well-defined baseline of the service by clearly identifying the service version.</w:t>
      </w:r>
    </w:p>
    <w:p w14:paraId="2F8FF36F" w14:textId="77777777" w:rsidR="00E71ADC" w:rsidRDefault="00000000">
      <w:pPr>
        <w:pStyle w:val="BodyText"/>
      </w:pPr>
      <w:r>
        <w:t>The aim is to document the key aspects of the service at the logical level:</w:t>
      </w:r>
    </w:p>
    <w:p w14:paraId="407ABCB8" w14:textId="77777777" w:rsidR="00E71ADC" w:rsidRDefault="00000000">
      <w:pPr>
        <w:pStyle w:val="FirstParagraph"/>
        <w:numPr>
          <w:ilvl w:val="0"/>
          <w:numId w:val="23"/>
        </w:numPr>
      </w:pPr>
      <w:r>
        <w:t>the operational and business context of the service</w:t>
      </w:r>
    </w:p>
    <w:p w14:paraId="3FA6BF0D" w14:textId="77777777" w:rsidR="00E71ADC" w:rsidRDefault="00000000">
      <w:pPr>
        <w:pStyle w:val="FirstParagraph"/>
        <w:numPr>
          <w:ilvl w:val="1"/>
          <w:numId w:val="24"/>
        </w:numPr>
      </w:pPr>
      <w:r>
        <w:t>requirements for the service (e.g., information exchange requirements)</w:t>
      </w:r>
    </w:p>
    <w:p w14:paraId="7AFC3840" w14:textId="77777777" w:rsidR="00E71ADC" w:rsidRDefault="00000000">
      <w:pPr>
        <w:pStyle w:val="FirstParagraph"/>
        <w:numPr>
          <w:ilvl w:val="1"/>
          <w:numId w:val="24"/>
        </w:numPr>
      </w:pPr>
      <w:r>
        <w:t>involved nodes: which operational components provide/consume the service</w:t>
      </w:r>
    </w:p>
    <w:p w14:paraId="3906E9FC" w14:textId="77777777" w:rsidR="00E71ADC" w:rsidRDefault="00000000">
      <w:pPr>
        <w:pStyle w:val="FirstParagraph"/>
        <w:numPr>
          <w:ilvl w:val="1"/>
          <w:numId w:val="24"/>
        </w:numPr>
      </w:pPr>
      <w:r>
        <w:t>operational activities supported by the service</w:t>
      </w:r>
    </w:p>
    <w:p w14:paraId="594B3067" w14:textId="77777777" w:rsidR="00E71ADC" w:rsidRDefault="00000000">
      <w:pPr>
        <w:pStyle w:val="FirstParagraph"/>
        <w:numPr>
          <w:ilvl w:val="1"/>
          <w:numId w:val="24"/>
        </w:numPr>
      </w:pPr>
      <w:r>
        <w:t>relation of the service to other services</w:t>
      </w:r>
    </w:p>
    <w:p w14:paraId="348CC0AD" w14:textId="77777777" w:rsidR="00E71ADC" w:rsidRDefault="00000000">
      <w:pPr>
        <w:pStyle w:val="FirstParagraph"/>
        <w:numPr>
          <w:ilvl w:val="0"/>
          <w:numId w:val="23"/>
        </w:numPr>
      </w:pPr>
      <w:r>
        <w:t>the service description</w:t>
      </w:r>
    </w:p>
    <w:p w14:paraId="16C87DD9" w14:textId="77777777" w:rsidR="00E71ADC" w:rsidRDefault="00000000">
      <w:pPr>
        <w:pStyle w:val="FirstParagraph"/>
        <w:numPr>
          <w:ilvl w:val="1"/>
          <w:numId w:val="25"/>
        </w:numPr>
      </w:pPr>
      <w:r>
        <w:t>service operations</w:t>
      </w:r>
    </w:p>
    <w:p w14:paraId="2490AEDF" w14:textId="77777777" w:rsidR="00E71ADC" w:rsidRDefault="00000000">
      <w:pPr>
        <w:pStyle w:val="FirstParagraph"/>
        <w:numPr>
          <w:ilvl w:val="1"/>
          <w:numId w:val="25"/>
        </w:numPr>
      </w:pPr>
      <w:r>
        <w:t>service operation parameters</w:t>
      </w:r>
    </w:p>
    <w:p w14:paraId="5D916DF6" w14:textId="77777777" w:rsidR="00E71ADC" w:rsidRDefault="00000000">
      <w:pPr>
        <w:pStyle w:val="FirstParagraph"/>
        <w:numPr>
          <w:ilvl w:val="1"/>
          <w:numId w:val="25"/>
        </w:numPr>
      </w:pPr>
      <w:r>
        <w:t>service payload definition</w:t>
      </w:r>
    </w:p>
    <w:p w14:paraId="2F34651D" w14:textId="77777777" w:rsidR="00E71ADC" w:rsidRDefault="00000000">
      <w:pPr>
        <w:pStyle w:val="FirstParagraph"/>
        <w:numPr>
          <w:ilvl w:val="1"/>
          <w:numId w:val="25"/>
        </w:numPr>
      </w:pPr>
      <w:r>
        <w:t>service dynamic behaviour description</w:t>
      </w:r>
    </w:p>
    <w:p w14:paraId="0817CED9" w14:textId="77777777" w:rsidR="00E71ADC" w:rsidRDefault="00000000">
      <w:pPr>
        <w:pStyle w:val="FirstParagraph"/>
        <w:numPr>
          <w:ilvl w:val="0"/>
          <w:numId w:val="23"/>
        </w:numPr>
      </w:pPr>
      <w:r>
        <w:t>service provision and validation aspects</w:t>
      </w:r>
    </w:p>
    <w:p w14:paraId="14670EFC" w14:textId="77777777" w:rsidR="00E71ADC" w:rsidRDefault="00000000">
      <w:pPr>
        <w:pStyle w:val="Heading2"/>
      </w:pPr>
      <w:bookmarkStart w:id="5" w:name="_75cdb2cf35dc3f49ea107c4f9696c61762a912b"/>
      <w:bookmarkStart w:id="6" w:name="_Toc242095847"/>
      <w:bookmarkEnd w:id="1"/>
      <w:r>
        <w:lastRenderedPageBreak/>
        <w:t>Intended Readership</w:t>
      </w:r>
      <w:bookmarkEnd w:id="6"/>
    </w:p>
    <w:p w14:paraId="50B69D35" w14:textId="77777777" w:rsidR="00E71ADC" w:rsidRDefault="00000000">
      <w:pPr>
        <w:pStyle w:val="FirstParagraph"/>
      </w:pPr>
      <w:r>
        <w:t>This service specification is intended to be read by service architects, system engineers and developers in charge of designing and developing an instance of the service.</w:t>
      </w:r>
    </w:p>
    <w:p w14:paraId="08B9D4EC" w14:textId="77777777" w:rsidR="00E71ADC" w:rsidRDefault="00000000">
      <w:pPr>
        <w:pStyle w:val="BodyText"/>
      </w:pPr>
      <w:r>
        <w:t>Furthermore, this service specification is intended to be read by enterprise architects, service architects, information architects, system engineers and developers in pursuing architecting, design and development activities of other related services.</w:t>
      </w:r>
    </w:p>
    <w:p w14:paraId="5C2A0CF7" w14:textId="77777777" w:rsidR="00E71ADC" w:rsidRDefault="00000000">
      <w:pPr>
        <w:pStyle w:val="Heading2"/>
      </w:pPr>
      <w:bookmarkStart w:id="7" w:name="_0e2e336535fb4ee815a78b63291ec94c78a11a5"/>
      <w:bookmarkStart w:id="8" w:name="_Toc242095848"/>
      <w:bookmarkEnd w:id="3"/>
      <w:r>
        <w:t>Definitions</w:t>
      </w:r>
      <w:bookmarkEnd w:id="8"/>
    </w:p>
    <w:p w14:paraId="54405884" w14:textId="77777777" w:rsidR="00E71ADC" w:rsidRDefault="00000000">
      <w:pPr>
        <w:pStyle w:val="FirstParagraph"/>
      </w:pPr>
      <w:r>
        <w:t>The following definitions describe terms used in this specification:</w:t>
      </w:r>
    </w:p>
    <w:p w14:paraId="4390924D" w14:textId="77777777" w:rsidR="00E71ADC" w:rsidRDefault="00000000">
      <w:pPr>
        <w:pStyle w:val="FirstParagraph"/>
        <w:numPr>
          <w:ilvl w:val="0"/>
          <w:numId w:val="26"/>
        </w:numPr>
      </w:pPr>
      <w:r>
        <w:rPr>
          <w:b/>
          <w:bCs/>
        </w:rPr>
        <w:t>Aid to Navigation (AtoN)</w:t>
      </w:r>
      <w:r>
        <w:t xml:space="preserve"> - A device, system or service, external to vessels, designed and operated to enhance safe and efficient navigation.</w:t>
      </w:r>
    </w:p>
    <w:p w14:paraId="1C495F5A" w14:textId="77777777" w:rsidR="00E71ADC" w:rsidRDefault="00000000">
      <w:pPr>
        <w:pStyle w:val="FirstParagraph"/>
        <w:numPr>
          <w:ilvl w:val="0"/>
          <w:numId w:val="26"/>
        </w:numPr>
      </w:pPr>
      <w:r>
        <w:rPr>
          <w:b/>
          <w:bCs/>
        </w:rPr>
        <w:t>Navigational Warning (NW)</w:t>
      </w:r>
      <w:r>
        <w:t xml:space="preserve"> - A broadcast message containing urgent information relevant to safe navigation.</w:t>
      </w:r>
    </w:p>
    <w:p w14:paraId="45DBCF32" w14:textId="77777777" w:rsidR="00E71ADC" w:rsidRDefault="00000000">
      <w:pPr>
        <w:pStyle w:val="FirstParagraph"/>
        <w:numPr>
          <w:ilvl w:val="0"/>
          <w:numId w:val="26"/>
        </w:numPr>
      </w:pPr>
      <w:r>
        <w:rPr>
          <w:b/>
          <w:bCs/>
        </w:rPr>
        <w:t>Maritime Safety Information (MSI)</w:t>
      </w:r>
      <w:r>
        <w:t xml:space="preserve"> - Navigational and meteorological warnings, meteorological forecasts and other urgent safety-related messages.</w:t>
      </w:r>
    </w:p>
    <w:p w14:paraId="1CA8804A" w14:textId="77777777" w:rsidR="00E71ADC" w:rsidRDefault="00000000">
      <w:pPr>
        <w:pStyle w:val="FirstParagraph"/>
        <w:numPr>
          <w:ilvl w:val="0"/>
          <w:numId w:val="26"/>
        </w:numPr>
      </w:pPr>
      <w:r>
        <w:rPr>
          <w:b/>
          <w:bCs/>
        </w:rPr>
        <w:t>Navaid</w:t>
      </w:r>
      <w:r>
        <w:t xml:space="preserve"> - An instrument, device or nautical publication carried on board a vessel for the purpose of assisting navigation.</w:t>
      </w:r>
    </w:p>
    <w:p w14:paraId="074E6988" w14:textId="77777777" w:rsidR="00E71ADC" w:rsidRDefault="00000000">
      <w:pPr>
        <w:pStyle w:val="FirstParagraph"/>
        <w:numPr>
          <w:ilvl w:val="0"/>
          <w:numId w:val="26"/>
        </w:numPr>
      </w:pPr>
      <w:r>
        <w:rPr>
          <w:b/>
          <w:bCs/>
        </w:rPr>
        <w:t>NAVAREA</w:t>
      </w:r>
      <w:r>
        <w:t xml:space="preserve"> - A geographical sea area, as shown in the appendix IMO A.706(17) established for the purpose of co-ordinating the transmission of radio navigational warnings. Where appropriate, the term NAVAREA followed by an identifying roman numeral may be used as a short title. The delimitation of such areas is not related to and shall not prejudice the delimitation of any boundaries between States.</w:t>
      </w:r>
    </w:p>
    <w:p w14:paraId="6633474B" w14:textId="77777777" w:rsidR="00E71ADC" w:rsidRDefault="00000000">
      <w:pPr>
        <w:pStyle w:val="FirstParagraph"/>
        <w:numPr>
          <w:ilvl w:val="0"/>
          <w:numId w:val="26"/>
        </w:numPr>
      </w:pPr>
      <w:r>
        <w:rPr>
          <w:b/>
          <w:bCs/>
        </w:rPr>
        <w:t>NAVAREA</w:t>
      </w:r>
      <w:r>
        <w:t xml:space="preserve"> Co-ordinator - The authority charged with co-ordinating, collating and issuing long-range navigational warnings and NAVAREA warnings bulletins to cover the whole of the NAVAREA.</w:t>
      </w:r>
    </w:p>
    <w:p w14:paraId="5842ED9F" w14:textId="77777777" w:rsidR="00E71ADC" w:rsidRDefault="00000000">
      <w:pPr>
        <w:pStyle w:val="FirstParagraph"/>
        <w:numPr>
          <w:ilvl w:val="0"/>
          <w:numId w:val="26"/>
        </w:numPr>
      </w:pPr>
      <w:r>
        <w:rPr>
          <w:b/>
          <w:bCs/>
        </w:rPr>
        <w:t>NAVTEX</w:t>
      </w:r>
      <w:r>
        <w:t xml:space="preserve"> - Single frequency time-shared broadcast system with automated reception and message rejection/selection facilities. Use of NAVTEX is regulated by the IMO NAVTEX Manual (IMO publication 951).</w:t>
      </w:r>
    </w:p>
    <w:p w14:paraId="1AA2E3C0" w14:textId="77777777" w:rsidR="00E71ADC" w:rsidRDefault="00000000">
      <w:pPr>
        <w:pStyle w:val="FirstParagraph"/>
        <w:numPr>
          <w:ilvl w:val="0"/>
          <w:numId w:val="26"/>
        </w:numPr>
      </w:pPr>
      <w:r>
        <w:rPr>
          <w:b/>
          <w:bCs/>
        </w:rPr>
        <w:t>SafetyNET Service</w:t>
      </w:r>
      <w:r>
        <w:t xml:space="preserve"> – Dedicated international satellite broadcast system with automated reception and message rejection/selection facilities.</w:t>
      </w:r>
    </w:p>
    <w:p w14:paraId="7608014E" w14:textId="77777777" w:rsidR="00E71ADC" w:rsidRDefault="00000000">
      <w:pPr>
        <w:pStyle w:val="FirstParagraph"/>
        <w:numPr>
          <w:ilvl w:val="0"/>
          <w:numId w:val="26"/>
        </w:numPr>
      </w:pPr>
      <w:r>
        <w:rPr>
          <w:b/>
          <w:bCs/>
        </w:rPr>
        <w:t>SafetyCast Service</w:t>
      </w:r>
      <w:r>
        <w:t xml:space="preserve"> – Dedicated international mobile satellite service in the Global Maritime Distress and Safety System (GMDSS) for broadcasting navigational warnings, meteorological warnings and forecasts, and Search and Rescue (SAR) related information.</w:t>
      </w:r>
    </w:p>
    <w:p w14:paraId="2C271542" w14:textId="77777777" w:rsidR="00E71ADC" w:rsidRDefault="00000000">
      <w:r>
        <w:br w:type="page"/>
      </w:r>
    </w:p>
    <w:p w14:paraId="72674BA2" w14:textId="77777777" w:rsidR="00E71ADC" w:rsidRDefault="00000000">
      <w:pPr>
        <w:pStyle w:val="Heading1"/>
      </w:pPr>
      <w:bookmarkStart w:id="9" w:name="_e710851414c003d59c3ee083ed484fd2b8ae855"/>
      <w:bookmarkStart w:id="10" w:name="_Toc242095849"/>
      <w:bookmarkEnd w:id="5"/>
      <w:bookmarkEnd w:id="7"/>
      <w:r>
        <w:lastRenderedPageBreak/>
        <w:t>Service Identification</w:t>
      </w:r>
      <w:bookmarkEnd w:id="10"/>
    </w:p>
    <w:p w14:paraId="7FCD6AB4" w14:textId="77777777" w:rsidR="00E71ADC" w:rsidRDefault="00000000">
      <w:pPr>
        <w:pStyle w:val="FirstParagraph"/>
      </w:pPr>
      <w:r>
        <w:t>The purpose of this chapter is to provide a unique identification of the service and describe where the service is in terms of the engineering lifecycle.</w:t>
      </w:r>
    </w:p>
    <w:p w14:paraId="0683681E" w14:textId="77777777" w:rsidR="00E71ADC" w:rsidRDefault="00000000">
      <w:pPr>
        <w:pStyle w:val="TableCaption"/>
        <w:numPr>
          <w:ilvl w:val="0"/>
          <w:numId w:val="27"/>
        </w:numPr>
      </w:pPr>
      <w:bookmarkStart w:id="11" w:name="_e81f6cc3951465dd1d3b5108fd94cdf22f3b8b6"/>
      <w:bookmarkStart w:id="12" w:name="_Toc242095878"/>
      <w:r>
        <w:t>Service Identification Information.</w:t>
      </w:r>
      <w:bookmarkEnd w:id="12"/>
    </w:p>
    <w:tbl>
      <w:tblPr>
        <w:tblStyle w:val="Table"/>
        <w:tblW w:w="5000" w:type="pct"/>
        <w:tblLayout w:type="fixed"/>
        <w:tblLook w:val="0020" w:firstRow="1" w:lastRow="0" w:firstColumn="0" w:lastColumn="0" w:noHBand="0" w:noVBand="0"/>
        <w:tblCaption w:val="Service Identification Information."/>
      </w:tblPr>
      <w:tblGrid>
        <w:gridCol w:w="1812"/>
        <w:gridCol w:w="8383"/>
      </w:tblGrid>
      <w:tr w:rsidR="00E71ADC" w14:paraId="425A5AE4" w14:textId="77777777">
        <w:trPr>
          <w:cnfStyle w:val="100000000000" w:firstRow="1" w:lastRow="0" w:firstColumn="0" w:lastColumn="0" w:oddVBand="0" w:evenVBand="0" w:oddHBand="0" w:evenHBand="0" w:firstRowFirstColumn="0" w:firstRowLastColumn="0" w:lastRowFirstColumn="0" w:lastRowLastColumn="0"/>
          <w:tblHeader/>
        </w:trPr>
        <w:tc>
          <w:tcPr>
            <w:tcW w:w="1408" w:type="dxa"/>
          </w:tcPr>
          <w:p w14:paraId="7A3DE996" w14:textId="77777777" w:rsidR="00E71ADC" w:rsidRDefault="00000000">
            <w:pPr>
              <w:pStyle w:val="Compact"/>
            </w:pPr>
            <w:r>
              <w:t>Information Field</w:t>
            </w:r>
          </w:p>
        </w:tc>
        <w:tc>
          <w:tcPr>
            <w:tcW w:w="6512" w:type="dxa"/>
          </w:tcPr>
          <w:p w14:paraId="34372384" w14:textId="77777777" w:rsidR="00E71ADC" w:rsidRDefault="00000000">
            <w:pPr>
              <w:pStyle w:val="Compact"/>
            </w:pPr>
            <w:r>
              <w:t>Information Value</w:t>
            </w:r>
          </w:p>
        </w:tc>
      </w:tr>
      <w:tr w:rsidR="00E71ADC" w14:paraId="46F9553E" w14:textId="77777777">
        <w:tc>
          <w:tcPr>
            <w:tcW w:w="1408" w:type="dxa"/>
          </w:tcPr>
          <w:p w14:paraId="1F5DB1CD" w14:textId="77777777" w:rsidR="00E71ADC" w:rsidRDefault="00000000">
            <w:pPr>
              <w:pStyle w:val="Compact"/>
            </w:pPr>
            <w:r>
              <w:t>Name</w:t>
            </w:r>
          </w:p>
        </w:tc>
        <w:tc>
          <w:tcPr>
            <w:tcW w:w="6512" w:type="dxa"/>
          </w:tcPr>
          <w:p w14:paraId="687AB832" w14:textId="77777777" w:rsidR="00E71ADC" w:rsidRDefault="00000000">
            <w:pPr>
              <w:pStyle w:val="Compact"/>
            </w:pPr>
            <w:r>
              <w:t>Service for Enhanced AtoN Information for AtoN Authorities</w:t>
            </w:r>
          </w:p>
        </w:tc>
      </w:tr>
      <w:tr w:rsidR="00E71ADC" w14:paraId="6A86A864" w14:textId="77777777">
        <w:tc>
          <w:tcPr>
            <w:tcW w:w="1408" w:type="dxa"/>
          </w:tcPr>
          <w:p w14:paraId="664807C2" w14:textId="77777777" w:rsidR="00E71ADC" w:rsidRDefault="00000000">
            <w:pPr>
              <w:pStyle w:val="Compact"/>
            </w:pPr>
            <w:r>
              <w:t>ID</w:t>
            </w:r>
          </w:p>
        </w:tc>
        <w:tc>
          <w:tcPr>
            <w:tcW w:w="6512" w:type="dxa"/>
          </w:tcPr>
          <w:p w14:paraId="745E8E51" w14:textId="77777777" w:rsidR="00E71ADC" w:rsidRDefault="00000000">
            <w:pPr>
              <w:pStyle w:val="Compact"/>
            </w:pPr>
            <w:r>
              <w:t>urn:mrn:iala:techsvc:ss:enhancedatoninfo:0.1</w:t>
            </w:r>
          </w:p>
        </w:tc>
      </w:tr>
      <w:tr w:rsidR="00E71ADC" w14:paraId="2F3DFF00" w14:textId="77777777">
        <w:tc>
          <w:tcPr>
            <w:tcW w:w="1408" w:type="dxa"/>
          </w:tcPr>
          <w:p w14:paraId="4AF704FB" w14:textId="77777777" w:rsidR="00E71ADC" w:rsidRDefault="00000000">
            <w:pPr>
              <w:pStyle w:val="Compact"/>
            </w:pPr>
            <w:r>
              <w:t>Version</w:t>
            </w:r>
          </w:p>
        </w:tc>
        <w:tc>
          <w:tcPr>
            <w:tcW w:w="6512" w:type="dxa"/>
          </w:tcPr>
          <w:p w14:paraId="0186E64E" w14:textId="77777777" w:rsidR="00E71ADC" w:rsidRDefault="00000000">
            <w:pPr>
              <w:pStyle w:val="Compact"/>
            </w:pPr>
            <w:r>
              <w:t>0.1</w:t>
            </w:r>
          </w:p>
        </w:tc>
      </w:tr>
      <w:tr w:rsidR="00E71ADC" w14:paraId="7BEDD49B" w14:textId="77777777">
        <w:tc>
          <w:tcPr>
            <w:tcW w:w="1408" w:type="dxa"/>
          </w:tcPr>
          <w:p w14:paraId="786C7379" w14:textId="77777777" w:rsidR="00E71ADC" w:rsidRDefault="00000000">
            <w:pPr>
              <w:pStyle w:val="Compact"/>
            </w:pPr>
            <w:r>
              <w:t>Description</w:t>
            </w:r>
          </w:p>
        </w:tc>
        <w:tc>
          <w:tcPr>
            <w:tcW w:w="6512" w:type="dxa"/>
          </w:tcPr>
          <w:p w14:paraId="7396D171" w14:textId="77777777" w:rsidR="00E71ADC" w:rsidRDefault="00000000">
            <w:pPr>
              <w:pStyle w:val="Compact"/>
            </w:pPr>
            <w:r>
              <w:t>This is a standardized service for the exchange of Enhanced Aids to Navigation (AtoN) information for AtoN Authorities. The provided AtoN information follows IALA S-201 data model and is intended to provide a common structure for the exchange of information about AtoNs including metadata.</w:t>
            </w:r>
          </w:p>
        </w:tc>
      </w:tr>
      <w:tr w:rsidR="00E71ADC" w14:paraId="4959A606" w14:textId="77777777">
        <w:tc>
          <w:tcPr>
            <w:tcW w:w="1408" w:type="dxa"/>
          </w:tcPr>
          <w:p w14:paraId="6E02488C" w14:textId="77777777" w:rsidR="00E71ADC" w:rsidRDefault="00000000">
            <w:pPr>
              <w:pStyle w:val="Compact"/>
            </w:pPr>
            <w:r>
              <w:t>Keywords</w:t>
            </w:r>
          </w:p>
        </w:tc>
        <w:tc>
          <w:tcPr>
            <w:tcW w:w="6512" w:type="dxa"/>
          </w:tcPr>
          <w:p w14:paraId="68A62801" w14:textId="77777777" w:rsidR="00E71ADC" w:rsidRDefault="00000000">
            <w:pPr>
              <w:pStyle w:val="Compact"/>
            </w:pPr>
            <w:r>
              <w:t>S-201, Marine Aids-to-Navigation, MS-2</w:t>
            </w:r>
          </w:p>
        </w:tc>
      </w:tr>
      <w:tr w:rsidR="00E71ADC" w14:paraId="0AD63552" w14:textId="77777777">
        <w:tc>
          <w:tcPr>
            <w:tcW w:w="1408" w:type="dxa"/>
          </w:tcPr>
          <w:p w14:paraId="0F431118" w14:textId="77777777" w:rsidR="00E71ADC" w:rsidRDefault="00000000">
            <w:pPr>
              <w:pStyle w:val="Compact"/>
            </w:pPr>
            <w:r>
              <w:t>Architect(s)</w:t>
            </w:r>
          </w:p>
        </w:tc>
        <w:tc>
          <w:tcPr>
            <w:tcW w:w="6512" w:type="dxa"/>
          </w:tcPr>
          <w:p w14:paraId="1AF38230" w14:textId="77777777" w:rsidR="00E71ADC" w:rsidRDefault="00000000">
            <w:pPr>
              <w:pStyle w:val="Compact"/>
            </w:pPr>
            <w:r>
              <w:t>IALA ARM WG2</w:t>
            </w:r>
          </w:p>
        </w:tc>
      </w:tr>
      <w:tr w:rsidR="00E71ADC" w14:paraId="218252CD" w14:textId="77777777">
        <w:tc>
          <w:tcPr>
            <w:tcW w:w="1408" w:type="dxa"/>
          </w:tcPr>
          <w:p w14:paraId="56C84203" w14:textId="77777777" w:rsidR="00E71ADC" w:rsidRDefault="00000000">
            <w:pPr>
              <w:pStyle w:val="Compact"/>
            </w:pPr>
            <w:r>
              <w:t>Status</w:t>
            </w:r>
          </w:p>
        </w:tc>
        <w:tc>
          <w:tcPr>
            <w:tcW w:w="6512" w:type="dxa"/>
          </w:tcPr>
          <w:p w14:paraId="5B9941E8" w14:textId="77777777" w:rsidR="00E71ADC" w:rsidRDefault="00000000">
            <w:pPr>
              <w:pStyle w:val="Compact"/>
            </w:pPr>
            <w:r>
              <w:t>Provisional</w:t>
            </w:r>
          </w:p>
        </w:tc>
      </w:tr>
      <w:bookmarkEnd w:id="9"/>
    </w:tbl>
    <w:p w14:paraId="1FAF3D12" w14:textId="77777777" w:rsidR="00E71ADC" w:rsidRDefault="00000000">
      <w:r>
        <w:br w:type="page"/>
      </w:r>
    </w:p>
    <w:p w14:paraId="20C690AA" w14:textId="77777777" w:rsidR="00E71ADC" w:rsidRDefault="00000000">
      <w:pPr>
        <w:pStyle w:val="Heading1"/>
      </w:pPr>
      <w:bookmarkStart w:id="13" w:name="_a93e95d5348ae049a30c5bbf20a8724a0d721d3"/>
      <w:bookmarkStart w:id="14" w:name="_Toc242095850"/>
      <w:bookmarkEnd w:id="11"/>
      <w:r>
        <w:lastRenderedPageBreak/>
        <w:t>Operational Context</w:t>
      </w:r>
      <w:bookmarkEnd w:id="14"/>
    </w:p>
    <w:p w14:paraId="7CA89B47" w14:textId="77777777" w:rsidR="00E71ADC" w:rsidRDefault="00000000">
      <w:pPr>
        <w:pStyle w:val="FirstParagraph"/>
      </w:pPr>
      <w:r>
        <w:t>This section describes the context of the service from an operational perspective.</w:t>
      </w:r>
    </w:p>
    <w:p w14:paraId="6B59E49B" w14:textId="77777777" w:rsidR="00E71ADC" w:rsidRDefault="00000000">
      <w:pPr>
        <w:pStyle w:val="Heading2"/>
      </w:pPr>
      <w:bookmarkStart w:id="15" w:name="_0c7b3b2791408a493b3bd1470e414ae33563719"/>
      <w:bookmarkStart w:id="16" w:name="_Toc242095851"/>
      <w:r>
        <w:t>Pre S-201 Operational Context</w:t>
      </w:r>
      <w:bookmarkEnd w:id="16"/>
    </w:p>
    <w:p w14:paraId="72A40B36" w14:textId="77777777" w:rsidR="00E71ADC" w:rsidRDefault="00000000">
      <w:pPr>
        <w:pStyle w:val="FirstParagraph"/>
      </w:pPr>
      <w:r>
        <w:t>The current situation of sharing AtoN information is quite fragmented, with multiple point-to-point non-interoperable systems, manual steps and long production periods.</w:t>
      </w:r>
    </w:p>
    <w:p w14:paraId="1A4F0F08" w14:textId="77777777" w:rsidR="00E71ADC" w:rsidRDefault="00000000">
      <w:pPr>
        <w:pStyle w:val="BodyText"/>
      </w:pPr>
      <w:r>
        <w:t>In many cases AtoN changes are shared via Notices-to-Mariners (NtM), which get published and appended onto the List-of-Lights (LoL) nautical publications. LoL updates can then be synchronised with chat corrections, which get more widely distributed. However, this process could take months to be completed.</w:t>
      </w:r>
    </w:p>
    <w:p w14:paraId="6600557C" w14:textId="77777777" w:rsidR="00E71ADC" w:rsidRDefault="00000000">
      <w:pPr>
        <w:pStyle w:val="BodyText"/>
      </w:pPr>
      <w:r>
        <w:t>Even in the cases where certain administrations have progressed with their digitalisation efforts, introducing data sharing automation mechanisms, the system are primarily based on non-standardised data data structures. In addition, multiple levels of data access are employed to control the dissemination of information.</w:t>
      </w:r>
    </w:p>
    <w:p w14:paraId="35DC5D00" w14:textId="77777777" w:rsidR="00E71ADC" w:rsidRDefault="00000000">
      <w:pPr>
        <w:pStyle w:val="BodyText"/>
      </w:pPr>
      <w:r>
        <w:t>End-Users include:</w:t>
      </w:r>
    </w:p>
    <w:p w14:paraId="61E89281" w14:textId="77777777" w:rsidR="00E71ADC" w:rsidRDefault="00000000">
      <w:pPr>
        <w:pStyle w:val="Compact"/>
        <w:numPr>
          <w:ilvl w:val="0"/>
          <w:numId w:val="28"/>
        </w:numPr>
      </w:pPr>
      <w:r>
        <w:t>HOs</w:t>
      </w:r>
    </w:p>
    <w:p w14:paraId="32493FF9" w14:textId="77777777" w:rsidR="00E71ADC" w:rsidRDefault="00000000">
      <w:pPr>
        <w:pStyle w:val="Compact"/>
        <w:numPr>
          <w:ilvl w:val="0"/>
          <w:numId w:val="28"/>
        </w:numPr>
      </w:pPr>
      <w:r>
        <w:t>Maintenance Companies/Contractors</w:t>
      </w:r>
    </w:p>
    <w:p w14:paraId="3F27F685" w14:textId="77777777" w:rsidR="00E71ADC" w:rsidRDefault="00000000">
      <w:pPr>
        <w:pStyle w:val="Compact"/>
        <w:numPr>
          <w:ilvl w:val="0"/>
          <w:numId w:val="28"/>
        </w:numPr>
      </w:pPr>
      <w:r>
        <w:t>VTS (AtoN &amp; Bathymetry)</w:t>
      </w:r>
    </w:p>
    <w:p w14:paraId="7B291598" w14:textId="77777777" w:rsidR="00E71ADC" w:rsidRDefault="00000000">
      <w:pPr>
        <w:pStyle w:val="Compact"/>
        <w:numPr>
          <w:ilvl w:val="0"/>
          <w:numId w:val="28"/>
        </w:numPr>
      </w:pPr>
      <w:r>
        <w:t>Requests for LoL information (including unlighted AtoN – mostly software charts/ECS) - Current electronic publications not in useful formats</w:t>
      </w:r>
    </w:p>
    <w:p w14:paraId="722E5AC8" w14:textId="77777777" w:rsidR="00E71ADC" w:rsidRDefault="00000000">
      <w:pPr>
        <w:pStyle w:val="Compact"/>
        <w:numPr>
          <w:ilvl w:val="0"/>
          <w:numId w:val="28"/>
        </w:numPr>
      </w:pPr>
      <w:r>
        <w:t>Port Authorities managing areas</w:t>
      </w:r>
    </w:p>
    <w:p w14:paraId="775DA084" w14:textId="77777777" w:rsidR="00E71ADC" w:rsidRDefault="00000000">
      <w:pPr>
        <w:pStyle w:val="Compact"/>
        <w:numPr>
          <w:ilvl w:val="0"/>
          <w:numId w:val="28"/>
        </w:numPr>
      </w:pPr>
      <w:r>
        <w:t>MRCC</w:t>
      </w:r>
    </w:p>
    <w:p w14:paraId="5DE3DD84" w14:textId="77777777" w:rsidR="00E71ADC" w:rsidRDefault="00000000">
      <w:pPr>
        <w:pStyle w:val="Heading2"/>
      </w:pPr>
      <w:bookmarkStart w:id="17" w:name="_12ed7c7549750c8681e4d41f08c526123b2c030"/>
      <w:bookmarkStart w:id="18" w:name="_Toc242095852"/>
      <w:bookmarkEnd w:id="13"/>
      <w:r>
        <w:t>Envisioned Operational Context</w:t>
      </w:r>
      <w:bookmarkEnd w:id="18"/>
    </w:p>
    <w:p w14:paraId="09B5EAA5" w14:textId="77777777" w:rsidR="00E71ADC" w:rsidRDefault="00000000">
      <w:pPr>
        <w:pStyle w:val="FirstParagraph"/>
      </w:pPr>
      <w:r>
        <w:t>A standardized structured AtoN information format would enable compatible systems to exchange AtoN information seamlessly. Each AtoN Administration may have a unique AtoN Information Management System. This system however, should be able to automatically promulgate AtoN data from the authoritative source, for use by national and local authorities (e.g. Coastal State Authorities, Harbor and Port Authorities), public, as well as being available for use by maintenance providers and commercial contractors.</w:t>
      </w:r>
    </w:p>
    <w:p w14:paraId="22F77FAE" w14:textId="77777777" w:rsidR="00E71ADC" w:rsidRDefault="00000000">
      <w:pPr>
        <w:pStyle w:val="BodyText"/>
      </w:pPr>
      <w:r>
        <w:t>AtoN Administrations will administer and publish local AtoN data, for their area of responsibility. Typically this includes areas within that state’s exclusive economic zone. Where appropriate they should coordinate with adjacent or overlapping AtoN Administrations who share responsibility within the same waterway. (e.g. Both the U.S. Coast Guard and Canadian Coast Guard maintain aids to navigation within the waterways comprising the Great Lakes.) The service instance descriptions will provide detailed information of coverage area available to users.</w:t>
      </w:r>
    </w:p>
    <w:p w14:paraId="0BE9F17C" w14:textId="77777777" w:rsidR="00E71ADC" w:rsidRDefault="00000000">
      <w:pPr>
        <w:pStyle w:val="CaptionedFigure"/>
      </w:pPr>
      <w:bookmarkStart w:id="19" w:name="_35a3b4033c094762f3e62f8ac88cbcf23c6afc9"/>
      <w:r>
        <w:rPr>
          <w:noProof/>
        </w:rPr>
        <w:lastRenderedPageBreak/>
        <w:drawing>
          <wp:inline distT="0" distB="0" distL="0" distR="0" wp14:anchorId="08C8F08C" wp14:editId="1FC0F20B">
            <wp:extent cx="6477000" cy="3209165"/>
            <wp:effectExtent l="0" t="0" r="0" b="0"/>
            <wp:docPr id="1" name="Picture" descr="Example of the AtoN information flow, as per [3]."/>
            <wp:cNvGraphicFramePr/>
            <a:graphic xmlns:a="http://schemas.openxmlformats.org/drawingml/2006/main">
              <a:graphicData uri="http://schemas.openxmlformats.org/drawingml/2006/picture">
                <pic:pic xmlns:pic="http://schemas.openxmlformats.org/drawingml/2006/picture">
                  <pic:nvPicPr>
                    <pic:cNvPr id="1" name="Picture" descr="source/guideline/../../resources/AtoNInfoDistribution.png"/>
                    <pic:cNvPicPr>
                      <a:picLocks noChangeAspect="1" noChangeArrowheads="1"/>
                    </pic:cNvPicPr>
                  </pic:nvPicPr>
                  <pic:blipFill>
                    <a:blip r:embed="rId26"/>
                    <a:stretch>
                      <a:fillRect/>
                    </a:stretch>
                  </pic:blipFill>
                  <pic:spPr bwMode="auto">
                    <a:xfrm>
                      <a:off x="0" y="0"/>
                      <a:ext cx="6477000" cy="3209165"/>
                    </a:xfrm>
                    <a:prstGeom prst="rect">
                      <a:avLst/>
                    </a:prstGeom>
                    <a:noFill/>
                    <a:ln w="9525">
                      <a:noFill/>
                      <a:headEnd/>
                      <a:tailEnd/>
                    </a:ln>
                  </pic:spPr>
                </pic:pic>
              </a:graphicData>
            </a:graphic>
          </wp:inline>
        </w:drawing>
      </w:r>
    </w:p>
    <w:p w14:paraId="28E1C929" w14:textId="77777777" w:rsidR="00E71ADC" w:rsidRDefault="00000000">
      <w:pPr>
        <w:pStyle w:val="ImageCaption"/>
        <w:numPr>
          <w:ilvl w:val="0"/>
          <w:numId w:val="29"/>
        </w:numPr>
      </w:pPr>
      <w:bookmarkStart w:id="20" w:name="_Toc242095898"/>
      <w:r>
        <w:t>Example of the AtoN information flow, as per [3].</w:t>
      </w:r>
      <w:bookmarkEnd w:id="20"/>
    </w:p>
    <w:bookmarkEnd w:id="15"/>
    <w:p w14:paraId="78EEFCB0" w14:textId="77777777" w:rsidR="00E71ADC" w:rsidRDefault="00000000">
      <w:pPr>
        <w:pStyle w:val="FirstParagraph"/>
      </w:pPr>
      <w:r>
        <w:t xml:space="preserve">The service described in this specification defines the exchange of enhanced AtoN information using S-201 between a service provider and the end-user of such a service. In the most common case, according to the IALA interpretation of the IMO </w:t>
      </w:r>
      <w:r>
        <w:rPr>
          <w:i/>
          <w:iCs/>
        </w:rPr>
        <w:t>MS-2 Aids to Navigation</w:t>
      </w:r>
      <w:r>
        <w:t xml:space="preserve"> maritime service [3], as illustrated in Figure 1, the end user will be a member of staff of another Lighthouse Authority or a Hydrographic Office. It may also be used to harmonise the exchange of AtoN information between the various stakeholders in the data distribution chain before it is propagated towards the mariners.</w:t>
      </w:r>
    </w:p>
    <w:p w14:paraId="0360E121" w14:textId="77777777" w:rsidR="00E71ADC" w:rsidRDefault="00000000">
      <w:pPr>
        <w:pStyle w:val="BodyText"/>
      </w:pPr>
      <w:r>
        <w:t>Depending on the specific requirements, the service usage patterns may differ. For example, a Hydrographic Office could pull all available data and subscribe to updates from a data producer (e.g. national AtoN authority) and redistribute the data to the RENCs via S-101 and S-125 (after applying validation checks or optimising the data for a specific group of end-users). The orchestration of multiple AtoN information services in the distribution chain, however, is not in the scope of this document and lies within the responsibility of the service provider(s).</w:t>
      </w:r>
    </w:p>
    <w:p w14:paraId="36A965C3" w14:textId="77777777" w:rsidR="00E71ADC" w:rsidRDefault="00000000">
      <w:pPr>
        <w:pStyle w:val="Heading3"/>
      </w:pPr>
      <w:bookmarkStart w:id="21" w:name="_8e8b22d3dd073b4a06e9e9b5fd749d3bf0aea06"/>
      <w:bookmarkStart w:id="22" w:name="_Toc242095853"/>
      <w:r>
        <w:t>Relationships between S-S201 and S-101, S-124, S-125</w:t>
      </w:r>
      <w:bookmarkEnd w:id="22"/>
    </w:p>
    <w:p w14:paraId="1BB1BB37" w14:textId="77777777" w:rsidR="00E71ADC" w:rsidRDefault="00000000">
      <w:pPr>
        <w:pStyle w:val="FirstParagraph"/>
      </w:pPr>
      <w:r>
        <w:t>IHO has produced guidance on the interoperability between S-201 and the S-101, S-124, S-125 data product specifications [4]. This document provides guidance on how S-125 will work on ECDIS devices and mentions the change of scope for editions 1.0.0 and 2.0.0 of the data product. This change limits the scope of S-125 to an overlay displaying only information on any AtoN status changes, which differ from the design state that appears in S-101. For more information please refer the IHO document.</w:t>
      </w:r>
    </w:p>
    <w:p w14:paraId="0C67EA80" w14:textId="77777777" w:rsidR="00E71ADC" w:rsidRDefault="00000000">
      <w:pPr>
        <w:pStyle w:val="Heading3"/>
      </w:pPr>
      <w:bookmarkStart w:id="23" w:name="_431b4c7c0bec48953198f4e093b06a6850ebef0"/>
      <w:bookmarkStart w:id="24" w:name="_Toc242095854"/>
      <w:bookmarkEnd w:id="17"/>
      <w:r>
        <w:t>Discoverability and Dissemination</w:t>
      </w:r>
      <w:bookmarkEnd w:id="24"/>
    </w:p>
    <w:p w14:paraId="099BE8DA" w14:textId="77777777" w:rsidR="00E71ADC" w:rsidRDefault="00000000">
      <w:pPr>
        <w:pStyle w:val="FirstParagraph"/>
      </w:pPr>
      <w:r>
        <w:t>The S-201 data should be discoverable only by Hydrographic Offices, Coastal State Authorities and other relevant authorised organisations. S-201 data should enhance S-101 ENC, S-124 NW and S-125 AtoN digital services, especially by reducing the effort in the transformation of data, with the harmonization of data models. This could be accomplished by introducing efficient data exchange mechanism between authorities.</w:t>
      </w:r>
    </w:p>
    <w:p w14:paraId="3D409716" w14:textId="77777777" w:rsidR="00E71ADC" w:rsidRDefault="00000000">
      <w:pPr>
        <w:pStyle w:val="Heading2"/>
      </w:pPr>
      <w:bookmarkStart w:id="25" w:name="_1d50306b0c6da372e31ff71aaefc5a40aa3c744"/>
      <w:bookmarkStart w:id="26" w:name="_Toc242095855"/>
      <w:bookmarkEnd w:id="19"/>
      <w:bookmarkEnd w:id="21"/>
      <w:r>
        <w:t>Functional and Non-functional Requirements</w:t>
      </w:r>
      <w:bookmarkEnd w:id="26"/>
    </w:p>
    <w:p w14:paraId="71F1010E" w14:textId="77777777" w:rsidR="00E71ADC" w:rsidRDefault="00000000">
      <w:pPr>
        <w:pStyle w:val="FirstParagraph"/>
      </w:pPr>
      <w:r>
        <w:t>The table below defines the functional requirements, as there are defined in the IALA documentation for the IMO MS-2 Aids to Navigation Maritime Service [3]. Please note that the feature identifiers referenced in Table 2, are also referring to service features identified in the IALA MS-2 specification document.</w:t>
      </w:r>
    </w:p>
    <w:p w14:paraId="45C25CAA" w14:textId="77777777" w:rsidR="00E71ADC" w:rsidRDefault="00000000">
      <w:pPr>
        <w:pStyle w:val="TableCaption"/>
      </w:pPr>
      <w:bookmarkStart w:id="27" w:name="_02b0e388442401573b3ba21c8ac6e31c1b27dfa"/>
      <w:bookmarkStart w:id="28" w:name="_Toc242095879"/>
      <w:r>
        <w:lastRenderedPageBreak/>
        <w:t>Functional Requirements for the MS-2 – Aids to Navigation Service.</w:t>
      </w:r>
      <w:bookmarkEnd w:id="28"/>
    </w:p>
    <w:tbl>
      <w:tblPr>
        <w:tblStyle w:val="Table"/>
        <w:tblW w:w="5000" w:type="pct"/>
        <w:tblLayout w:type="fixed"/>
        <w:tblLook w:val="0020" w:firstRow="1" w:lastRow="0" w:firstColumn="0" w:lastColumn="0" w:noHBand="0" w:noVBand="0"/>
        <w:tblCaption w:val="Functional Requirements for the MS-2 – Aids to Navigation Service."/>
      </w:tblPr>
      <w:tblGrid>
        <w:gridCol w:w="2039"/>
        <w:gridCol w:w="2039"/>
        <w:gridCol w:w="2039"/>
        <w:gridCol w:w="2039"/>
        <w:gridCol w:w="2039"/>
      </w:tblGrid>
      <w:tr w:rsidR="00E71ADC" w14:paraId="430C438E"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14:paraId="4C69B2DC" w14:textId="77777777" w:rsidR="00E71ADC" w:rsidRDefault="00000000">
            <w:pPr>
              <w:pStyle w:val="Compact"/>
            </w:pPr>
            <w:r>
              <w:t>Requirement Type</w:t>
            </w:r>
          </w:p>
        </w:tc>
        <w:tc>
          <w:tcPr>
            <w:tcW w:w="1584" w:type="dxa"/>
          </w:tcPr>
          <w:p w14:paraId="0DFF783E" w14:textId="77777777" w:rsidR="00E71ADC" w:rsidRDefault="00000000">
            <w:pPr>
              <w:pStyle w:val="Compact"/>
            </w:pPr>
            <w:r>
              <w:t>Requirement ID</w:t>
            </w:r>
          </w:p>
        </w:tc>
        <w:tc>
          <w:tcPr>
            <w:tcW w:w="1584" w:type="dxa"/>
          </w:tcPr>
          <w:p w14:paraId="1CB49F98" w14:textId="77777777" w:rsidR="00E71ADC" w:rsidRDefault="00000000">
            <w:pPr>
              <w:pStyle w:val="Compact"/>
            </w:pPr>
            <w:r>
              <w:t>Requirement Name</w:t>
            </w:r>
          </w:p>
        </w:tc>
        <w:tc>
          <w:tcPr>
            <w:tcW w:w="1584" w:type="dxa"/>
          </w:tcPr>
          <w:p w14:paraId="585B3F1E" w14:textId="77777777" w:rsidR="00E71ADC" w:rsidRDefault="00000000">
            <w:pPr>
              <w:pStyle w:val="Compact"/>
            </w:pPr>
            <w:r>
              <w:t>Requirement Text</w:t>
            </w:r>
          </w:p>
        </w:tc>
        <w:tc>
          <w:tcPr>
            <w:tcW w:w="1584" w:type="dxa"/>
          </w:tcPr>
          <w:p w14:paraId="3F9144E1" w14:textId="77777777" w:rsidR="00E71ADC" w:rsidRDefault="00000000">
            <w:pPr>
              <w:pStyle w:val="Compact"/>
            </w:pPr>
            <w:r>
              <w:t>Feature Identifier</w:t>
            </w:r>
          </w:p>
        </w:tc>
      </w:tr>
      <w:tr w:rsidR="00E71ADC" w14:paraId="4B41CF9A" w14:textId="77777777">
        <w:tc>
          <w:tcPr>
            <w:tcW w:w="1584" w:type="dxa"/>
          </w:tcPr>
          <w:p w14:paraId="488873EE" w14:textId="77777777" w:rsidR="00E71ADC" w:rsidRDefault="00000000">
            <w:pPr>
              <w:pStyle w:val="Compact"/>
            </w:pPr>
            <w:r>
              <w:rPr>
                <w:b/>
                <w:bCs/>
              </w:rPr>
              <w:t>Functional</w:t>
            </w:r>
          </w:p>
        </w:tc>
        <w:tc>
          <w:tcPr>
            <w:tcW w:w="1584" w:type="dxa"/>
          </w:tcPr>
          <w:p w14:paraId="35D44708" w14:textId="77777777" w:rsidR="00E71ADC" w:rsidRDefault="00000000">
            <w:pPr>
              <w:pStyle w:val="Compact"/>
            </w:pPr>
            <w:r>
              <w:t>MS2-FR001</w:t>
            </w:r>
          </w:p>
        </w:tc>
        <w:tc>
          <w:tcPr>
            <w:tcW w:w="1584" w:type="dxa"/>
          </w:tcPr>
          <w:p w14:paraId="2BB5C205" w14:textId="77777777" w:rsidR="00E71ADC" w:rsidRDefault="00000000">
            <w:pPr>
              <w:pStyle w:val="Compact"/>
            </w:pPr>
            <w:r>
              <w:t>Provision of dataset(s)</w:t>
            </w:r>
          </w:p>
        </w:tc>
        <w:tc>
          <w:tcPr>
            <w:tcW w:w="1584" w:type="dxa"/>
          </w:tcPr>
          <w:p w14:paraId="76E0F18F" w14:textId="77777777" w:rsidR="00E71ADC" w:rsidRDefault="00000000">
            <w:pPr>
              <w:pStyle w:val="Compact"/>
            </w:pPr>
            <w:r>
              <w:t>The service provides S-100 compliant dataset(s) with all current and valid AtoN Information assigned to that dataset(s).</w:t>
            </w:r>
          </w:p>
        </w:tc>
        <w:tc>
          <w:tcPr>
            <w:tcW w:w="1584" w:type="dxa"/>
          </w:tcPr>
          <w:p w14:paraId="2EA0008C" w14:textId="77777777" w:rsidR="00E71ADC" w:rsidRDefault="00000000">
            <w:pPr>
              <w:pStyle w:val="Compact"/>
            </w:pPr>
            <w:r>
              <w:t>F001, F005</w:t>
            </w:r>
          </w:p>
        </w:tc>
      </w:tr>
      <w:tr w:rsidR="00E71ADC" w14:paraId="758E3339" w14:textId="77777777">
        <w:tc>
          <w:tcPr>
            <w:tcW w:w="1584" w:type="dxa"/>
          </w:tcPr>
          <w:p w14:paraId="36C6317F" w14:textId="77777777" w:rsidR="00E71ADC" w:rsidRDefault="00000000">
            <w:pPr>
              <w:pStyle w:val="Compact"/>
            </w:pPr>
            <w:r>
              <w:rPr>
                <w:b/>
                <w:bCs/>
              </w:rPr>
              <w:t>Functional</w:t>
            </w:r>
          </w:p>
        </w:tc>
        <w:tc>
          <w:tcPr>
            <w:tcW w:w="1584" w:type="dxa"/>
          </w:tcPr>
          <w:p w14:paraId="6C6593D9" w14:textId="77777777" w:rsidR="00E71ADC" w:rsidRDefault="00000000">
            <w:pPr>
              <w:pStyle w:val="Compact"/>
            </w:pPr>
            <w:r>
              <w:t>MS2-FR002</w:t>
            </w:r>
          </w:p>
        </w:tc>
        <w:tc>
          <w:tcPr>
            <w:tcW w:w="1584" w:type="dxa"/>
          </w:tcPr>
          <w:p w14:paraId="0FE5ED50" w14:textId="77777777" w:rsidR="00E71ADC" w:rsidRDefault="00000000">
            <w:pPr>
              <w:pStyle w:val="Compact"/>
            </w:pPr>
            <w:r>
              <w:t>On-demand request for dataset(s)</w:t>
            </w:r>
          </w:p>
        </w:tc>
        <w:tc>
          <w:tcPr>
            <w:tcW w:w="1584" w:type="dxa"/>
          </w:tcPr>
          <w:p w14:paraId="02CDC4BF" w14:textId="77777777" w:rsidR="00E71ADC" w:rsidRDefault="00000000">
            <w:pPr>
              <w:pStyle w:val="Compact"/>
            </w:pPr>
            <w:r>
              <w:t>The end users can receive on demand S-100 compliant dataset(s). Service providers will respond with current data relevant to the request but will not subdivide datasets to less than that defined by the authoritative source of the data.</w:t>
            </w:r>
          </w:p>
        </w:tc>
        <w:tc>
          <w:tcPr>
            <w:tcW w:w="1584" w:type="dxa"/>
          </w:tcPr>
          <w:p w14:paraId="2B018D15" w14:textId="77777777" w:rsidR="00E71ADC" w:rsidRDefault="00000000">
            <w:pPr>
              <w:pStyle w:val="Compact"/>
            </w:pPr>
            <w:r>
              <w:t>F001, F005</w:t>
            </w:r>
          </w:p>
        </w:tc>
      </w:tr>
      <w:tr w:rsidR="00E71ADC" w14:paraId="4E194F0B" w14:textId="77777777">
        <w:tc>
          <w:tcPr>
            <w:tcW w:w="1584" w:type="dxa"/>
          </w:tcPr>
          <w:p w14:paraId="6B500552" w14:textId="77777777" w:rsidR="00E71ADC" w:rsidRDefault="00000000">
            <w:pPr>
              <w:pStyle w:val="Compact"/>
            </w:pPr>
            <w:r>
              <w:rPr>
                <w:b/>
                <w:bCs/>
              </w:rPr>
              <w:t>Functional</w:t>
            </w:r>
          </w:p>
        </w:tc>
        <w:tc>
          <w:tcPr>
            <w:tcW w:w="1584" w:type="dxa"/>
          </w:tcPr>
          <w:p w14:paraId="77E8FF1D" w14:textId="77777777" w:rsidR="00E71ADC" w:rsidRDefault="00000000">
            <w:pPr>
              <w:pStyle w:val="Compact"/>
            </w:pPr>
            <w:r>
              <w:t>MS2-FR003</w:t>
            </w:r>
          </w:p>
        </w:tc>
        <w:tc>
          <w:tcPr>
            <w:tcW w:w="1584" w:type="dxa"/>
          </w:tcPr>
          <w:p w14:paraId="40900421" w14:textId="77777777" w:rsidR="00E71ADC" w:rsidRDefault="00000000">
            <w:pPr>
              <w:pStyle w:val="Compact"/>
            </w:pPr>
            <w:r>
              <w:t>Filter AtoN Information</w:t>
            </w:r>
          </w:p>
        </w:tc>
        <w:tc>
          <w:tcPr>
            <w:tcW w:w="1584" w:type="dxa"/>
          </w:tcPr>
          <w:p w14:paraId="6FFB44EB" w14:textId="77777777" w:rsidR="00E71ADC" w:rsidRDefault="00000000">
            <w:pPr>
              <w:pStyle w:val="Compact"/>
            </w:pPr>
            <w:r>
              <w:t>The end-users can filter the AtoN information based on a point, line, polygon geometry, AtoN type, AtoN status etc.</w:t>
            </w:r>
          </w:p>
        </w:tc>
        <w:tc>
          <w:tcPr>
            <w:tcW w:w="1584" w:type="dxa"/>
          </w:tcPr>
          <w:p w14:paraId="158FF0E5" w14:textId="77777777" w:rsidR="00E71ADC" w:rsidRDefault="00000000">
            <w:pPr>
              <w:pStyle w:val="Compact"/>
            </w:pPr>
            <w:r>
              <w:t>F001, F008</w:t>
            </w:r>
          </w:p>
        </w:tc>
      </w:tr>
      <w:tr w:rsidR="00E71ADC" w14:paraId="24735351" w14:textId="77777777">
        <w:tc>
          <w:tcPr>
            <w:tcW w:w="1584" w:type="dxa"/>
          </w:tcPr>
          <w:p w14:paraId="3BFA2845" w14:textId="77777777" w:rsidR="00E71ADC" w:rsidRDefault="00000000">
            <w:pPr>
              <w:pStyle w:val="Compact"/>
            </w:pPr>
            <w:r>
              <w:rPr>
                <w:b/>
                <w:bCs/>
              </w:rPr>
              <w:t>Functional</w:t>
            </w:r>
          </w:p>
        </w:tc>
        <w:tc>
          <w:tcPr>
            <w:tcW w:w="1584" w:type="dxa"/>
          </w:tcPr>
          <w:p w14:paraId="06E7BFA7" w14:textId="77777777" w:rsidR="00E71ADC" w:rsidRDefault="00000000">
            <w:pPr>
              <w:pStyle w:val="Compact"/>
            </w:pPr>
            <w:r>
              <w:t>MS2-FR004</w:t>
            </w:r>
          </w:p>
        </w:tc>
        <w:tc>
          <w:tcPr>
            <w:tcW w:w="1584" w:type="dxa"/>
          </w:tcPr>
          <w:p w14:paraId="03B02251" w14:textId="77777777" w:rsidR="00E71ADC" w:rsidRDefault="00000000">
            <w:pPr>
              <w:pStyle w:val="Compact"/>
            </w:pPr>
            <w:r>
              <w:t>Retrieve AtoN Status Updates</w:t>
            </w:r>
          </w:p>
        </w:tc>
        <w:tc>
          <w:tcPr>
            <w:tcW w:w="1584" w:type="dxa"/>
          </w:tcPr>
          <w:p w14:paraId="17213D31" w14:textId="77777777" w:rsidR="00E71ADC" w:rsidRDefault="00000000">
            <w:pPr>
              <w:pStyle w:val="Compact"/>
            </w:pPr>
            <w:r>
              <w:t>The end-users are able to request and filter out only the AtoN which have associated status changes.</w:t>
            </w:r>
          </w:p>
        </w:tc>
        <w:tc>
          <w:tcPr>
            <w:tcW w:w="1584" w:type="dxa"/>
          </w:tcPr>
          <w:p w14:paraId="71354A61" w14:textId="77777777" w:rsidR="00E71ADC" w:rsidRDefault="00000000">
            <w:pPr>
              <w:pStyle w:val="Compact"/>
            </w:pPr>
            <w:r>
              <w:t>F001, F008</w:t>
            </w:r>
          </w:p>
        </w:tc>
      </w:tr>
      <w:tr w:rsidR="00E71ADC" w14:paraId="5865E773" w14:textId="77777777">
        <w:tc>
          <w:tcPr>
            <w:tcW w:w="1584" w:type="dxa"/>
          </w:tcPr>
          <w:p w14:paraId="77500970" w14:textId="77777777" w:rsidR="00E71ADC" w:rsidRDefault="00000000">
            <w:pPr>
              <w:pStyle w:val="Compact"/>
            </w:pPr>
            <w:r>
              <w:rPr>
                <w:b/>
                <w:bCs/>
              </w:rPr>
              <w:t>Functional</w:t>
            </w:r>
          </w:p>
        </w:tc>
        <w:tc>
          <w:tcPr>
            <w:tcW w:w="1584" w:type="dxa"/>
          </w:tcPr>
          <w:p w14:paraId="548704AC" w14:textId="77777777" w:rsidR="00E71ADC" w:rsidRDefault="00000000">
            <w:pPr>
              <w:pStyle w:val="Compact"/>
            </w:pPr>
            <w:r>
              <w:t>MS2-FR005</w:t>
            </w:r>
          </w:p>
        </w:tc>
        <w:tc>
          <w:tcPr>
            <w:tcW w:w="1584" w:type="dxa"/>
          </w:tcPr>
          <w:p w14:paraId="5ACB2568" w14:textId="77777777" w:rsidR="00E71ADC" w:rsidRDefault="00000000">
            <w:pPr>
              <w:pStyle w:val="Compact"/>
            </w:pPr>
            <w:r>
              <w:t>Subscribe to dataset(s)</w:t>
            </w:r>
          </w:p>
        </w:tc>
        <w:tc>
          <w:tcPr>
            <w:tcW w:w="1584" w:type="dxa"/>
          </w:tcPr>
          <w:p w14:paraId="3E66E857" w14:textId="77777777" w:rsidR="00E71ADC" w:rsidRDefault="00000000">
            <w:pPr>
              <w:pStyle w:val="Compact"/>
            </w:pPr>
            <w:r>
              <w:t>The end users can subscribe to receive S-100 compliant dataset(s) and their respective updates. Subscription requests should be able to include the start and stop time of the subscription.</w:t>
            </w:r>
          </w:p>
        </w:tc>
        <w:tc>
          <w:tcPr>
            <w:tcW w:w="1584" w:type="dxa"/>
          </w:tcPr>
          <w:p w14:paraId="0CEC181E" w14:textId="77777777" w:rsidR="00E71ADC" w:rsidRDefault="00000000">
            <w:pPr>
              <w:pStyle w:val="Compact"/>
            </w:pPr>
            <w:r>
              <w:t>F002, F004, F005</w:t>
            </w:r>
          </w:p>
        </w:tc>
      </w:tr>
      <w:tr w:rsidR="00E71ADC" w14:paraId="0E320F7E" w14:textId="77777777">
        <w:tc>
          <w:tcPr>
            <w:tcW w:w="1584" w:type="dxa"/>
          </w:tcPr>
          <w:p w14:paraId="586D1B97" w14:textId="77777777" w:rsidR="00E71ADC" w:rsidRDefault="00000000">
            <w:pPr>
              <w:pStyle w:val="Compact"/>
            </w:pPr>
            <w:r>
              <w:rPr>
                <w:b/>
                <w:bCs/>
              </w:rPr>
              <w:t>Functional</w:t>
            </w:r>
          </w:p>
        </w:tc>
        <w:tc>
          <w:tcPr>
            <w:tcW w:w="1584" w:type="dxa"/>
          </w:tcPr>
          <w:p w14:paraId="6CC85083" w14:textId="77777777" w:rsidR="00E71ADC" w:rsidRDefault="00000000">
            <w:pPr>
              <w:pStyle w:val="Compact"/>
            </w:pPr>
            <w:r>
              <w:t>MS2-FR006</w:t>
            </w:r>
          </w:p>
        </w:tc>
        <w:tc>
          <w:tcPr>
            <w:tcW w:w="1584" w:type="dxa"/>
          </w:tcPr>
          <w:p w14:paraId="5BC59791" w14:textId="77777777" w:rsidR="00E71ADC" w:rsidRDefault="00000000">
            <w:pPr>
              <w:pStyle w:val="Compact"/>
            </w:pPr>
            <w:r>
              <w:t>Status of Subscription</w:t>
            </w:r>
          </w:p>
        </w:tc>
        <w:tc>
          <w:tcPr>
            <w:tcW w:w="1584" w:type="dxa"/>
          </w:tcPr>
          <w:p w14:paraId="465477C2" w14:textId="77777777" w:rsidR="00E71ADC" w:rsidRDefault="00000000">
            <w:pPr>
              <w:pStyle w:val="Compact"/>
            </w:pPr>
            <w:r>
              <w:t>The service provides a subscription status notification. This could indicate termination of subscription from the service provider side.</w:t>
            </w:r>
          </w:p>
        </w:tc>
        <w:tc>
          <w:tcPr>
            <w:tcW w:w="1584" w:type="dxa"/>
          </w:tcPr>
          <w:p w14:paraId="31831E66" w14:textId="77777777" w:rsidR="00E71ADC" w:rsidRDefault="00000000">
            <w:pPr>
              <w:pStyle w:val="Compact"/>
            </w:pPr>
            <w:r>
              <w:t>F002, F003</w:t>
            </w:r>
          </w:p>
        </w:tc>
      </w:tr>
      <w:tr w:rsidR="00E71ADC" w14:paraId="200B0434" w14:textId="77777777">
        <w:tc>
          <w:tcPr>
            <w:tcW w:w="1584" w:type="dxa"/>
          </w:tcPr>
          <w:p w14:paraId="3188FF7C" w14:textId="77777777" w:rsidR="00E71ADC" w:rsidRDefault="00000000">
            <w:pPr>
              <w:pStyle w:val="Compact"/>
            </w:pPr>
            <w:r>
              <w:rPr>
                <w:b/>
                <w:bCs/>
              </w:rPr>
              <w:t>Functional</w:t>
            </w:r>
          </w:p>
        </w:tc>
        <w:tc>
          <w:tcPr>
            <w:tcW w:w="1584" w:type="dxa"/>
          </w:tcPr>
          <w:p w14:paraId="6FBE000D" w14:textId="77777777" w:rsidR="00E71ADC" w:rsidRDefault="00000000">
            <w:pPr>
              <w:pStyle w:val="Compact"/>
            </w:pPr>
            <w:r>
              <w:t>MS2-FR007</w:t>
            </w:r>
          </w:p>
        </w:tc>
        <w:tc>
          <w:tcPr>
            <w:tcW w:w="1584" w:type="dxa"/>
          </w:tcPr>
          <w:p w14:paraId="6714E1EA" w14:textId="77777777" w:rsidR="00E71ADC" w:rsidRDefault="00000000">
            <w:pPr>
              <w:pStyle w:val="Compact"/>
            </w:pPr>
            <w:r>
              <w:t>Data Update Status</w:t>
            </w:r>
          </w:p>
        </w:tc>
        <w:tc>
          <w:tcPr>
            <w:tcW w:w="1584" w:type="dxa"/>
          </w:tcPr>
          <w:p w14:paraId="272BBD21" w14:textId="77777777" w:rsidR="00E71ADC" w:rsidRDefault="00000000">
            <w:pPr>
              <w:pStyle w:val="Compact"/>
            </w:pPr>
            <w:r>
              <w:t xml:space="preserve">The service must be able to provide the users with the status </w:t>
            </w:r>
            <w:r>
              <w:lastRenderedPageBreak/>
              <w:t>of their respective subscriptions and whether the current dataset is the latest one, along with other relevant information.</w:t>
            </w:r>
          </w:p>
        </w:tc>
        <w:tc>
          <w:tcPr>
            <w:tcW w:w="1584" w:type="dxa"/>
          </w:tcPr>
          <w:p w14:paraId="54035CC6" w14:textId="77777777" w:rsidR="00E71ADC" w:rsidRDefault="00000000">
            <w:pPr>
              <w:pStyle w:val="Compact"/>
            </w:pPr>
            <w:r>
              <w:lastRenderedPageBreak/>
              <w:t>F002, F006</w:t>
            </w:r>
          </w:p>
        </w:tc>
      </w:tr>
      <w:tr w:rsidR="00E71ADC" w14:paraId="0E9E5A7C" w14:textId="77777777">
        <w:tc>
          <w:tcPr>
            <w:tcW w:w="1584" w:type="dxa"/>
          </w:tcPr>
          <w:p w14:paraId="61AD046C" w14:textId="77777777" w:rsidR="00E71ADC" w:rsidRDefault="00000000">
            <w:pPr>
              <w:pStyle w:val="Compact"/>
            </w:pPr>
            <w:r>
              <w:rPr>
                <w:b/>
                <w:bCs/>
              </w:rPr>
              <w:t>Functional</w:t>
            </w:r>
          </w:p>
        </w:tc>
        <w:tc>
          <w:tcPr>
            <w:tcW w:w="1584" w:type="dxa"/>
          </w:tcPr>
          <w:p w14:paraId="458F92A7" w14:textId="77777777" w:rsidR="00E71ADC" w:rsidRDefault="00000000">
            <w:pPr>
              <w:pStyle w:val="Compact"/>
            </w:pPr>
            <w:r>
              <w:t>MS2-FR008</w:t>
            </w:r>
          </w:p>
        </w:tc>
        <w:tc>
          <w:tcPr>
            <w:tcW w:w="1584" w:type="dxa"/>
          </w:tcPr>
          <w:p w14:paraId="2FF9EE54" w14:textId="77777777" w:rsidR="00E71ADC" w:rsidRDefault="00000000">
            <w:pPr>
              <w:pStyle w:val="Compact"/>
            </w:pPr>
            <w:r>
              <w:t>Cancellation of Subscription</w:t>
            </w:r>
          </w:p>
        </w:tc>
        <w:tc>
          <w:tcPr>
            <w:tcW w:w="1584" w:type="dxa"/>
          </w:tcPr>
          <w:p w14:paraId="2238E84E" w14:textId="77777777" w:rsidR="00E71ADC" w:rsidRDefault="00000000">
            <w:pPr>
              <w:pStyle w:val="Compact"/>
            </w:pPr>
            <w:r>
              <w:t>The service provides a facility to cancel the subscription.</w:t>
            </w:r>
          </w:p>
        </w:tc>
        <w:tc>
          <w:tcPr>
            <w:tcW w:w="1584" w:type="dxa"/>
          </w:tcPr>
          <w:p w14:paraId="7C34BF5D" w14:textId="77777777" w:rsidR="00E71ADC" w:rsidRDefault="00000000">
            <w:pPr>
              <w:pStyle w:val="Compact"/>
            </w:pPr>
            <w:r>
              <w:t>F004</w:t>
            </w:r>
          </w:p>
        </w:tc>
      </w:tr>
      <w:tr w:rsidR="00E71ADC" w14:paraId="5941A5C9" w14:textId="77777777">
        <w:tc>
          <w:tcPr>
            <w:tcW w:w="1584" w:type="dxa"/>
          </w:tcPr>
          <w:p w14:paraId="6C01F8B9" w14:textId="77777777" w:rsidR="00E71ADC" w:rsidRDefault="00000000">
            <w:pPr>
              <w:pStyle w:val="Compact"/>
            </w:pPr>
            <w:r>
              <w:rPr>
                <w:b/>
                <w:bCs/>
              </w:rPr>
              <w:t>Functional</w:t>
            </w:r>
          </w:p>
        </w:tc>
        <w:tc>
          <w:tcPr>
            <w:tcW w:w="1584" w:type="dxa"/>
          </w:tcPr>
          <w:p w14:paraId="22AFBB75" w14:textId="77777777" w:rsidR="00E71ADC" w:rsidRDefault="00000000">
            <w:pPr>
              <w:pStyle w:val="Compact"/>
            </w:pPr>
            <w:r>
              <w:t>MS2-FR009</w:t>
            </w:r>
          </w:p>
        </w:tc>
        <w:tc>
          <w:tcPr>
            <w:tcW w:w="1584" w:type="dxa"/>
          </w:tcPr>
          <w:p w14:paraId="4AB740DC" w14:textId="77777777" w:rsidR="00E71ADC" w:rsidRDefault="00000000">
            <w:pPr>
              <w:pStyle w:val="Compact"/>
            </w:pPr>
            <w:r>
              <w:t>Data Authenticity Certificate</w:t>
            </w:r>
          </w:p>
        </w:tc>
        <w:tc>
          <w:tcPr>
            <w:tcW w:w="1584" w:type="dxa"/>
          </w:tcPr>
          <w:p w14:paraId="73400B17" w14:textId="77777777" w:rsidR="00E71ADC" w:rsidRDefault="00000000">
            <w:pPr>
              <w:pStyle w:val="Compact"/>
            </w:pPr>
            <w:r>
              <w:t>The service can provide on demand the security certificate that was used to secure the data transmission.</w:t>
            </w:r>
          </w:p>
        </w:tc>
        <w:tc>
          <w:tcPr>
            <w:tcW w:w="1584" w:type="dxa"/>
          </w:tcPr>
          <w:p w14:paraId="7AF66305" w14:textId="77777777" w:rsidR="00E71ADC" w:rsidRDefault="00000000">
            <w:pPr>
              <w:pStyle w:val="Compact"/>
            </w:pPr>
            <w:r>
              <w:t>F006, F009</w:t>
            </w:r>
          </w:p>
        </w:tc>
      </w:tr>
      <w:tr w:rsidR="00E71ADC" w14:paraId="0F074334" w14:textId="77777777">
        <w:tc>
          <w:tcPr>
            <w:tcW w:w="1584" w:type="dxa"/>
          </w:tcPr>
          <w:p w14:paraId="4681EA4F" w14:textId="77777777" w:rsidR="00E71ADC" w:rsidRDefault="00000000">
            <w:pPr>
              <w:pStyle w:val="Compact"/>
            </w:pPr>
            <w:r>
              <w:rPr>
                <w:b/>
                <w:bCs/>
              </w:rPr>
              <w:t>Functional</w:t>
            </w:r>
          </w:p>
        </w:tc>
        <w:tc>
          <w:tcPr>
            <w:tcW w:w="1584" w:type="dxa"/>
          </w:tcPr>
          <w:p w14:paraId="0106ADD2" w14:textId="77777777" w:rsidR="00E71ADC" w:rsidRDefault="00000000">
            <w:pPr>
              <w:pStyle w:val="Compact"/>
            </w:pPr>
            <w:r>
              <w:t>MS2-FR012</w:t>
            </w:r>
          </w:p>
        </w:tc>
        <w:tc>
          <w:tcPr>
            <w:tcW w:w="1584" w:type="dxa"/>
          </w:tcPr>
          <w:p w14:paraId="784711F3" w14:textId="77777777" w:rsidR="00E71ADC" w:rsidRDefault="00000000">
            <w:pPr>
              <w:pStyle w:val="Compact"/>
            </w:pPr>
            <w:r>
              <w:t>Information Filtering</w:t>
            </w:r>
          </w:p>
        </w:tc>
        <w:tc>
          <w:tcPr>
            <w:tcW w:w="1584" w:type="dxa"/>
          </w:tcPr>
          <w:p w14:paraId="59888E1D" w14:textId="77777777" w:rsidR="00E71ADC" w:rsidRDefault="00000000">
            <w:pPr>
              <w:pStyle w:val="Compact"/>
            </w:pPr>
            <w:r>
              <w:t>The end users can filter the relevant AtoN information by name or based on a point, line, polygon geometry, or receive the complete service content.</w:t>
            </w:r>
          </w:p>
        </w:tc>
        <w:tc>
          <w:tcPr>
            <w:tcW w:w="1584" w:type="dxa"/>
          </w:tcPr>
          <w:p w14:paraId="66C0D70F" w14:textId="77777777" w:rsidR="00E71ADC" w:rsidRDefault="00000000">
            <w:pPr>
              <w:pStyle w:val="Compact"/>
            </w:pPr>
            <w:r>
              <w:t>F008</w:t>
            </w:r>
          </w:p>
        </w:tc>
      </w:tr>
      <w:tr w:rsidR="00E71ADC" w14:paraId="4D96A235" w14:textId="77777777">
        <w:tc>
          <w:tcPr>
            <w:tcW w:w="1584" w:type="dxa"/>
          </w:tcPr>
          <w:p w14:paraId="24A9D2D2" w14:textId="77777777" w:rsidR="00E71ADC" w:rsidRDefault="00000000">
            <w:pPr>
              <w:pStyle w:val="Compact"/>
            </w:pPr>
            <w:r>
              <w:rPr>
                <w:b/>
                <w:bCs/>
              </w:rPr>
              <w:t>Functional</w:t>
            </w:r>
          </w:p>
        </w:tc>
        <w:tc>
          <w:tcPr>
            <w:tcW w:w="1584" w:type="dxa"/>
          </w:tcPr>
          <w:p w14:paraId="22098D38" w14:textId="77777777" w:rsidR="00E71ADC" w:rsidRDefault="00000000">
            <w:pPr>
              <w:pStyle w:val="Compact"/>
            </w:pPr>
            <w:r>
              <w:t>MS2-FR013</w:t>
            </w:r>
          </w:p>
        </w:tc>
        <w:tc>
          <w:tcPr>
            <w:tcW w:w="1584" w:type="dxa"/>
          </w:tcPr>
          <w:p w14:paraId="637B6965" w14:textId="77777777" w:rsidR="00E71ADC" w:rsidRDefault="00000000">
            <w:pPr>
              <w:pStyle w:val="Compact"/>
            </w:pPr>
            <w:r>
              <w:t>Delivery Acknowledgement Request</w:t>
            </w:r>
          </w:p>
        </w:tc>
        <w:tc>
          <w:tcPr>
            <w:tcW w:w="1584" w:type="dxa"/>
          </w:tcPr>
          <w:p w14:paraId="10872F8C" w14:textId="77777777" w:rsidR="00E71ADC" w:rsidRDefault="00000000">
            <w:pPr>
              <w:pStyle w:val="Compact"/>
            </w:pPr>
            <w:r>
              <w:t>The service is able to request a data delivery acknowledgement for any end-user. The requested acknowledgement should support multiple levels (receiving, reading etc.)</w:t>
            </w:r>
          </w:p>
        </w:tc>
        <w:tc>
          <w:tcPr>
            <w:tcW w:w="1584" w:type="dxa"/>
          </w:tcPr>
          <w:p w14:paraId="2D37B7E5" w14:textId="77777777" w:rsidR="00E71ADC" w:rsidRDefault="00000000">
            <w:pPr>
              <w:pStyle w:val="Compact"/>
            </w:pPr>
            <w:r>
              <w:t>F011</w:t>
            </w:r>
          </w:p>
        </w:tc>
      </w:tr>
      <w:tr w:rsidR="00E71ADC" w14:paraId="43757726" w14:textId="77777777">
        <w:tc>
          <w:tcPr>
            <w:tcW w:w="1584" w:type="dxa"/>
          </w:tcPr>
          <w:p w14:paraId="26D9B92D" w14:textId="77777777" w:rsidR="00E71ADC" w:rsidRDefault="00000000">
            <w:pPr>
              <w:pStyle w:val="Compact"/>
            </w:pPr>
            <w:r>
              <w:rPr>
                <w:b/>
                <w:bCs/>
              </w:rPr>
              <w:t>Functional</w:t>
            </w:r>
          </w:p>
        </w:tc>
        <w:tc>
          <w:tcPr>
            <w:tcW w:w="1584" w:type="dxa"/>
          </w:tcPr>
          <w:p w14:paraId="09A1B8BC" w14:textId="77777777" w:rsidR="00E71ADC" w:rsidRDefault="00000000">
            <w:pPr>
              <w:pStyle w:val="Compact"/>
            </w:pPr>
            <w:r>
              <w:t>MS2-FR014</w:t>
            </w:r>
          </w:p>
        </w:tc>
        <w:tc>
          <w:tcPr>
            <w:tcW w:w="1584" w:type="dxa"/>
          </w:tcPr>
          <w:p w14:paraId="1C38BF6B" w14:textId="77777777" w:rsidR="00E71ADC" w:rsidRDefault="00000000">
            <w:pPr>
              <w:pStyle w:val="Compact"/>
            </w:pPr>
            <w:r>
              <w:t>Delivery Acknowledgement Confirmation</w:t>
            </w:r>
          </w:p>
        </w:tc>
        <w:tc>
          <w:tcPr>
            <w:tcW w:w="1584" w:type="dxa"/>
          </w:tcPr>
          <w:p w14:paraId="48142B69" w14:textId="77777777" w:rsidR="00E71ADC" w:rsidRDefault="00000000">
            <w:pPr>
              <w:pStyle w:val="Compact"/>
            </w:pPr>
            <w:r>
              <w:t>The service provides a common but secure facility for all end-users to acknowledge the successful updates of AtoN information if requested.</w:t>
            </w:r>
          </w:p>
        </w:tc>
        <w:tc>
          <w:tcPr>
            <w:tcW w:w="1584" w:type="dxa"/>
          </w:tcPr>
          <w:p w14:paraId="48D2362F" w14:textId="77777777" w:rsidR="00E71ADC" w:rsidRDefault="00000000">
            <w:pPr>
              <w:pStyle w:val="Compact"/>
            </w:pPr>
            <w:r>
              <w:t>F011</w:t>
            </w:r>
          </w:p>
        </w:tc>
      </w:tr>
      <w:tr w:rsidR="00E71ADC" w14:paraId="3C8318D9" w14:textId="77777777">
        <w:tc>
          <w:tcPr>
            <w:tcW w:w="1584" w:type="dxa"/>
          </w:tcPr>
          <w:p w14:paraId="0C68D0FD" w14:textId="77777777" w:rsidR="00E71ADC" w:rsidRDefault="00000000">
            <w:pPr>
              <w:pStyle w:val="Compact"/>
            </w:pPr>
            <w:r>
              <w:rPr>
                <w:b/>
                <w:bCs/>
              </w:rPr>
              <w:t>Functional</w:t>
            </w:r>
          </w:p>
        </w:tc>
        <w:tc>
          <w:tcPr>
            <w:tcW w:w="1584" w:type="dxa"/>
          </w:tcPr>
          <w:p w14:paraId="2C2627C5" w14:textId="77777777" w:rsidR="00E71ADC" w:rsidRDefault="00000000">
            <w:pPr>
              <w:pStyle w:val="Compact"/>
            </w:pPr>
            <w:r>
              <w:t>MS2-FR015</w:t>
            </w:r>
          </w:p>
        </w:tc>
        <w:tc>
          <w:tcPr>
            <w:tcW w:w="1584" w:type="dxa"/>
          </w:tcPr>
          <w:p w14:paraId="4ED06A56" w14:textId="77777777" w:rsidR="00E71ADC" w:rsidRDefault="00000000">
            <w:pPr>
              <w:pStyle w:val="Compact"/>
            </w:pPr>
            <w:r>
              <w:t>Subscription Updates</w:t>
            </w:r>
          </w:p>
        </w:tc>
        <w:tc>
          <w:tcPr>
            <w:tcW w:w="1584" w:type="dxa"/>
          </w:tcPr>
          <w:p w14:paraId="2C8C40CE" w14:textId="77777777" w:rsidR="00E71ADC" w:rsidRDefault="00000000">
            <w:pPr>
              <w:pStyle w:val="Compact"/>
            </w:pPr>
            <w:r>
              <w:t>The service is able to identify and contact the subscribed end-users to push updates on the requested dataset(s).</w:t>
            </w:r>
          </w:p>
        </w:tc>
        <w:tc>
          <w:tcPr>
            <w:tcW w:w="1584" w:type="dxa"/>
          </w:tcPr>
          <w:p w14:paraId="1B9EF754" w14:textId="77777777" w:rsidR="00E71ADC" w:rsidRDefault="00000000">
            <w:pPr>
              <w:pStyle w:val="Compact"/>
            </w:pPr>
            <w:r>
              <w:t>F012</w:t>
            </w:r>
          </w:p>
        </w:tc>
      </w:tr>
      <w:tr w:rsidR="00E71ADC" w14:paraId="711DCDFB" w14:textId="77777777">
        <w:tc>
          <w:tcPr>
            <w:tcW w:w="1584" w:type="dxa"/>
          </w:tcPr>
          <w:p w14:paraId="0C5D13AD" w14:textId="77777777" w:rsidR="00E71ADC" w:rsidRDefault="00000000">
            <w:pPr>
              <w:pStyle w:val="Compact"/>
            </w:pPr>
            <w:r>
              <w:rPr>
                <w:b/>
                <w:bCs/>
              </w:rPr>
              <w:t>Functional</w:t>
            </w:r>
          </w:p>
        </w:tc>
        <w:tc>
          <w:tcPr>
            <w:tcW w:w="1584" w:type="dxa"/>
          </w:tcPr>
          <w:p w14:paraId="69C89B54" w14:textId="77777777" w:rsidR="00E71ADC" w:rsidRDefault="00000000">
            <w:pPr>
              <w:pStyle w:val="Compact"/>
            </w:pPr>
            <w:r>
              <w:t>MS2-FR016</w:t>
            </w:r>
          </w:p>
        </w:tc>
        <w:tc>
          <w:tcPr>
            <w:tcW w:w="1584" w:type="dxa"/>
          </w:tcPr>
          <w:p w14:paraId="4FFBCA4B" w14:textId="77777777" w:rsidR="00E71ADC" w:rsidRDefault="00000000">
            <w:pPr>
              <w:pStyle w:val="Compact"/>
            </w:pPr>
            <w:r>
              <w:t>Input Automation</w:t>
            </w:r>
          </w:p>
        </w:tc>
        <w:tc>
          <w:tcPr>
            <w:tcW w:w="1584" w:type="dxa"/>
          </w:tcPr>
          <w:p w14:paraId="098C84DA" w14:textId="77777777" w:rsidR="00E71ADC" w:rsidRDefault="00000000">
            <w:pPr>
              <w:pStyle w:val="Compact"/>
            </w:pPr>
            <w:r>
              <w:t>The service updates the advertised datasets, based on the AtoN status updates received.</w:t>
            </w:r>
          </w:p>
        </w:tc>
        <w:tc>
          <w:tcPr>
            <w:tcW w:w="1584" w:type="dxa"/>
          </w:tcPr>
          <w:p w14:paraId="6ED15E5B" w14:textId="77777777" w:rsidR="00E71ADC" w:rsidRDefault="00000000">
            <w:pPr>
              <w:pStyle w:val="Compact"/>
            </w:pPr>
            <w:r>
              <w:t>F013</w:t>
            </w:r>
          </w:p>
        </w:tc>
      </w:tr>
      <w:tr w:rsidR="00E71ADC" w14:paraId="4099C6B4" w14:textId="77777777">
        <w:tc>
          <w:tcPr>
            <w:tcW w:w="1584" w:type="dxa"/>
          </w:tcPr>
          <w:p w14:paraId="1F73F904" w14:textId="77777777" w:rsidR="00E71ADC" w:rsidRDefault="00000000">
            <w:pPr>
              <w:pStyle w:val="Compact"/>
            </w:pPr>
            <w:r>
              <w:rPr>
                <w:b/>
                <w:bCs/>
              </w:rPr>
              <w:lastRenderedPageBreak/>
              <w:t>Functional</w:t>
            </w:r>
          </w:p>
        </w:tc>
        <w:tc>
          <w:tcPr>
            <w:tcW w:w="1584" w:type="dxa"/>
          </w:tcPr>
          <w:p w14:paraId="3F24D868" w14:textId="77777777" w:rsidR="00E71ADC" w:rsidRDefault="00000000">
            <w:pPr>
              <w:pStyle w:val="Compact"/>
            </w:pPr>
            <w:r>
              <w:t>MS2-FR017</w:t>
            </w:r>
          </w:p>
        </w:tc>
        <w:tc>
          <w:tcPr>
            <w:tcW w:w="1584" w:type="dxa"/>
          </w:tcPr>
          <w:p w14:paraId="038EF257" w14:textId="77777777" w:rsidR="00E71ADC" w:rsidRDefault="00000000">
            <w:pPr>
              <w:pStyle w:val="Compact"/>
            </w:pPr>
            <w:r>
              <w:t>Change Log</w:t>
            </w:r>
          </w:p>
        </w:tc>
        <w:tc>
          <w:tcPr>
            <w:tcW w:w="1584" w:type="dxa"/>
          </w:tcPr>
          <w:p w14:paraId="1DF39DF1" w14:textId="77777777" w:rsidR="00E71ADC" w:rsidRDefault="00000000">
            <w:pPr>
              <w:pStyle w:val="Compact"/>
            </w:pPr>
            <w:r>
              <w:t>The service allows data producers to track the record of changes to the advertised dataset(s) for any time interval required.</w:t>
            </w:r>
          </w:p>
        </w:tc>
        <w:tc>
          <w:tcPr>
            <w:tcW w:w="1584" w:type="dxa"/>
          </w:tcPr>
          <w:p w14:paraId="25FEF215" w14:textId="77777777" w:rsidR="00E71ADC" w:rsidRDefault="00000000">
            <w:pPr>
              <w:pStyle w:val="Compact"/>
            </w:pPr>
            <w:r>
              <w:t>F015</w:t>
            </w:r>
          </w:p>
        </w:tc>
      </w:tr>
      <w:tr w:rsidR="00E71ADC" w14:paraId="5E4AED3E" w14:textId="77777777">
        <w:tc>
          <w:tcPr>
            <w:tcW w:w="1584" w:type="dxa"/>
          </w:tcPr>
          <w:p w14:paraId="6668AE45" w14:textId="77777777" w:rsidR="00E71ADC" w:rsidRDefault="00000000">
            <w:pPr>
              <w:pStyle w:val="Compact"/>
            </w:pPr>
            <w:r>
              <w:rPr>
                <w:b/>
                <w:bCs/>
              </w:rPr>
              <w:t>Functional</w:t>
            </w:r>
          </w:p>
        </w:tc>
        <w:tc>
          <w:tcPr>
            <w:tcW w:w="1584" w:type="dxa"/>
          </w:tcPr>
          <w:p w14:paraId="58F286D3" w14:textId="77777777" w:rsidR="00E71ADC" w:rsidRDefault="00000000">
            <w:pPr>
              <w:pStyle w:val="Compact"/>
            </w:pPr>
            <w:r>
              <w:t>MS2-FR018</w:t>
            </w:r>
          </w:p>
        </w:tc>
        <w:tc>
          <w:tcPr>
            <w:tcW w:w="1584" w:type="dxa"/>
          </w:tcPr>
          <w:p w14:paraId="6B2B2CDC" w14:textId="77777777" w:rsidR="00E71ADC" w:rsidRDefault="00000000">
            <w:pPr>
              <w:pStyle w:val="Compact"/>
            </w:pPr>
            <w:r>
              <w:t>Change Log State</w:t>
            </w:r>
          </w:p>
        </w:tc>
        <w:tc>
          <w:tcPr>
            <w:tcW w:w="1584" w:type="dxa"/>
          </w:tcPr>
          <w:p w14:paraId="7264D673" w14:textId="77777777" w:rsidR="00E71ADC" w:rsidRDefault="00000000">
            <w:pPr>
              <w:pStyle w:val="Compact"/>
            </w:pPr>
            <w:r>
              <w:t>The service allows data producers to view the full state of the AtoN Information as provided to consumers at any past point in time.</w:t>
            </w:r>
          </w:p>
        </w:tc>
        <w:tc>
          <w:tcPr>
            <w:tcW w:w="1584" w:type="dxa"/>
          </w:tcPr>
          <w:p w14:paraId="2183F496" w14:textId="77777777" w:rsidR="00E71ADC" w:rsidRDefault="00000000">
            <w:pPr>
              <w:pStyle w:val="Compact"/>
            </w:pPr>
            <w:r>
              <w:t>F015</w:t>
            </w:r>
          </w:p>
        </w:tc>
      </w:tr>
    </w:tbl>
    <w:bookmarkEnd w:id="23"/>
    <w:p w14:paraId="7B7C39B0" w14:textId="77777777" w:rsidR="00E71ADC" w:rsidRDefault="00000000">
      <w:pPr>
        <w:pStyle w:val="FirstParagraph"/>
      </w:pPr>
      <w:r>
        <w:t>The table below defines non-functional requirements for the S-201 service, as these are defined in the IALA documentation for the IMO MS-2 Aids to Navigation Maritime Service [3]. Please note that the feature identifiers referenced in Table 3, are also referring to service features identified in the IALA MS-2 specification document.</w:t>
      </w:r>
    </w:p>
    <w:p w14:paraId="67BE10CB" w14:textId="77777777" w:rsidR="00E71ADC" w:rsidRDefault="00000000">
      <w:pPr>
        <w:pStyle w:val="TableCaption"/>
      </w:pPr>
      <w:bookmarkStart w:id="29" w:name="_d1aee2a6c49f33016a7b77ce87e9db6ade29b8e"/>
      <w:bookmarkStart w:id="30" w:name="_Toc242095880"/>
      <w:r>
        <w:t>Non-Functional Requirements for the MS-2 – Aids to Navigation Service.</w:t>
      </w:r>
      <w:bookmarkEnd w:id="30"/>
    </w:p>
    <w:tbl>
      <w:tblPr>
        <w:tblStyle w:val="Table"/>
        <w:tblW w:w="5000" w:type="pct"/>
        <w:tblLayout w:type="fixed"/>
        <w:tblLook w:val="0020" w:firstRow="1" w:lastRow="0" w:firstColumn="0" w:lastColumn="0" w:noHBand="0" w:noVBand="0"/>
        <w:tblCaption w:val="Non-Functional Requirements for the MS-2 – Aids to Navigation Service."/>
      </w:tblPr>
      <w:tblGrid>
        <w:gridCol w:w="2039"/>
        <w:gridCol w:w="2039"/>
        <w:gridCol w:w="2039"/>
        <w:gridCol w:w="2039"/>
        <w:gridCol w:w="2039"/>
      </w:tblGrid>
      <w:tr w:rsidR="00E71ADC" w14:paraId="6F2F90F6"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14:paraId="01971F54" w14:textId="77777777" w:rsidR="00E71ADC" w:rsidRDefault="00000000">
            <w:pPr>
              <w:pStyle w:val="Compact"/>
            </w:pPr>
            <w:r>
              <w:t>Requirement Type</w:t>
            </w:r>
          </w:p>
        </w:tc>
        <w:tc>
          <w:tcPr>
            <w:tcW w:w="1584" w:type="dxa"/>
          </w:tcPr>
          <w:p w14:paraId="1D999C5B" w14:textId="77777777" w:rsidR="00E71ADC" w:rsidRDefault="00000000">
            <w:pPr>
              <w:pStyle w:val="Compact"/>
            </w:pPr>
            <w:r>
              <w:t>Requirement ID</w:t>
            </w:r>
          </w:p>
        </w:tc>
        <w:tc>
          <w:tcPr>
            <w:tcW w:w="1584" w:type="dxa"/>
          </w:tcPr>
          <w:p w14:paraId="29100370" w14:textId="77777777" w:rsidR="00E71ADC" w:rsidRDefault="00000000">
            <w:pPr>
              <w:pStyle w:val="Compact"/>
            </w:pPr>
            <w:r>
              <w:t>Requirement Name</w:t>
            </w:r>
          </w:p>
        </w:tc>
        <w:tc>
          <w:tcPr>
            <w:tcW w:w="1584" w:type="dxa"/>
          </w:tcPr>
          <w:p w14:paraId="66609D64" w14:textId="77777777" w:rsidR="00E71ADC" w:rsidRDefault="00000000">
            <w:pPr>
              <w:pStyle w:val="Compact"/>
            </w:pPr>
            <w:r>
              <w:t>Requirement Text</w:t>
            </w:r>
          </w:p>
        </w:tc>
        <w:tc>
          <w:tcPr>
            <w:tcW w:w="1584" w:type="dxa"/>
          </w:tcPr>
          <w:p w14:paraId="2382E247" w14:textId="77777777" w:rsidR="00E71ADC" w:rsidRDefault="00000000">
            <w:pPr>
              <w:pStyle w:val="Compact"/>
            </w:pPr>
            <w:r>
              <w:t>Feature Identifier</w:t>
            </w:r>
          </w:p>
        </w:tc>
      </w:tr>
      <w:tr w:rsidR="00E71ADC" w14:paraId="4E4080B0" w14:textId="77777777">
        <w:tc>
          <w:tcPr>
            <w:tcW w:w="1584" w:type="dxa"/>
          </w:tcPr>
          <w:p w14:paraId="0ED91F09" w14:textId="77777777" w:rsidR="00E71ADC" w:rsidRDefault="00000000">
            <w:pPr>
              <w:pStyle w:val="Compact"/>
            </w:pPr>
            <w:r>
              <w:rPr>
                <w:b/>
                <w:bCs/>
              </w:rPr>
              <w:t>Non-functional</w:t>
            </w:r>
          </w:p>
        </w:tc>
        <w:tc>
          <w:tcPr>
            <w:tcW w:w="1584" w:type="dxa"/>
          </w:tcPr>
          <w:p w14:paraId="3A8864E0" w14:textId="77777777" w:rsidR="00E71ADC" w:rsidRDefault="00000000">
            <w:pPr>
              <w:pStyle w:val="Compact"/>
            </w:pPr>
            <w:r>
              <w:t>MS2-NFR001</w:t>
            </w:r>
          </w:p>
        </w:tc>
        <w:tc>
          <w:tcPr>
            <w:tcW w:w="1584" w:type="dxa"/>
          </w:tcPr>
          <w:p w14:paraId="1D92BF97" w14:textId="77777777" w:rsidR="00E71ADC" w:rsidRDefault="00000000">
            <w:pPr>
              <w:pStyle w:val="Compact"/>
            </w:pPr>
            <w:r>
              <w:t>Authorization</w:t>
            </w:r>
          </w:p>
        </w:tc>
        <w:tc>
          <w:tcPr>
            <w:tcW w:w="1584" w:type="dxa"/>
          </w:tcPr>
          <w:p w14:paraId="21CCD202" w14:textId="77777777" w:rsidR="00E71ADC" w:rsidRDefault="00000000">
            <w:pPr>
              <w:pStyle w:val="Compact"/>
            </w:pPr>
            <w:r>
              <w:t>Service consumers are authorized by the provider for reception of data by the service. This may be public authorization (everyone has access), or limited authorization associated with a transactional service</w:t>
            </w:r>
          </w:p>
        </w:tc>
        <w:tc>
          <w:tcPr>
            <w:tcW w:w="1584" w:type="dxa"/>
          </w:tcPr>
          <w:p w14:paraId="49A15B83" w14:textId="77777777" w:rsidR="00E71ADC" w:rsidRDefault="00000000">
            <w:pPr>
              <w:pStyle w:val="Compact"/>
            </w:pPr>
            <w:r>
              <w:t>F010, F016, F017</w:t>
            </w:r>
          </w:p>
        </w:tc>
      </w:tr>
      <w:tr w:rsidR="00E71ADC" w14:paraId="533658E8" w14:textId="77777777">
        <w:tc>
          <w:tcPr>
            <w:tcW w:w="1584" w:type="dxa"/>
          </w:tcPr>
          <w:p w14:paraId="1B95C073" w14:textId="77777777" w:rsidR="00E71ADC" w:rsidRDefault="00000000">
            <w:pPr>
              <w:pStyle w:val="Compact"/>
            </w:pPr>
            <w:r>
              <w:rPr>
                <w:b/>
                <w:bCs/>
              </w:rPr>
              <w:t>Non-functional</w:t>
            </w:r>
          </w:p>
        </w:tc>
        <w:tc>
          <w:tcPr>
            <w:tcW w:w="1584" w:type="dxa"/>
          </w:tcPr>
          <w:p w14:paraId="5B04AD74" w14:textId="77777777" w:rsidR="00E71ADC" w:rsidRDefault="00000000">
            <w:pPr>
              <w:pStyle w:val="Compact"/>
            </w:pPr>
            <w:r>
              <w:t>MS2-NFR002</w:t>
            </w:r>
          </w:p>
        </w:tc>
        <w:tc>
          <w:tcPr>
            <w:tcW w:w="1584" w:type="dxa"/>
          </w:tcPr>
          <w:p w14:paraId="5D7F2563" w14:textId="77777777" w:rsidR="00E71ADC" w:rsidRDefault="00000000">
            <w:pPr>
              <w:pStyle w:val="Compact"/>
            </w:pPr>
            <w:r>
              <w:t>Authenticity</w:t>
            </w:r>
          </w:p>
        </w:tc>
        <w:tc>
          <w:tcPr>
            <w:tcW w:w="1584" w:type="dxa"/>
          </w:tcPr>
          <w:p w14:paraId="71CA3688" w14:textId="77777777" w:rsidR="00E71ADC" w:rsidRDefault="00000000">
            <w:pPr>
              <w:pStyle w:val="Compact"/>
            </w:pPr>
            <w:r>
              <w:t>Service consumers can verify independently the authenticity of the AtoN information transmitted to them.</w:t>
            </w:r>
          </w:p>
        </w:tc>
        <w:tc>
          <w:tcPr>
            <w:tcW w:w="1584" w:type="dxa"/>
          </w:tcPr>
          <w:p w14:paraId="759AEB00" w14:textId="77777777" w:rsidR="00E71ADC" w:rsidRDefault="00000000">
            <w:pPr>
              <w:pStyle w:val="Compact"/>
            </w:pPr>
            <w:r>
              <w:t>F006, F009</w:t>
            </w:r>
          </w:p>
        </w:tc>
      </w:tr>
      <w:tr w:rsidR="00E71ADC" w14:paraId="4517CA41" w14:textId="77777777">
        <w:tc>
          <w:tcPr>
            <w:tcW w:w="1584" w:type="dxa"/>
          </w:tcPr>
          <w:p w14:paraId="66FDAA80" w14:textId="77777777" w:rsidR="00E71ADC" w:rsidRDefault="00000000">
            <w:pPr>
              <w:pStyle w:val="Compact"/>
            </w:pPr>
            <w:r>
              <w:rPr>
                <w:b/>
                <w:bCs/>
              </w:rPr>
              <w:t>Non-functional</w:t>
            </w:r>
          </w:p>
        </w:tc>
        <w:tc>
          <w:tcPr>
            <w:tcW w:w="1584" w:type="dxa"/>
          </w:tcPr>
          <w:p w14:paraId="2C82D1C2" w14:textId="77777777" w:rsidR="00E71ADC" w:rsidRDefault="00000000">
            <w:pPr>
              <w:pStyle w:val="Compact"/>
            </w:pPr>
            <w:r>
              <w:t>MS2-NFR003</w:t>
            </w:r>
          </w:p>
        </w:tc>
        <w:tc>
          <w:tcPr>
            <w:tcW w:w="1584" w:type="dxa"/>
          </w:tcPr>
          <w:p w14:paraId="31B5D07A" w14:textId="77777777" w:rsidR="00E71ADC" w:rsidRDefault="00000000">
            <w:pPr>
              <w:pStyle w:val="Compact"/>
            </w:pPr>
            <w:r>
              <w:t>Integrity</w:t>
            </w:r>
          </w:p>
        </w:tc>
        <w:tc>
          <w:tcPr>
            <w:tcW w:w="1584" w:type="dxa"/>
          </w:tcPr>
          <w:p w14:paraId="270B995C" w14:textId="77777777" w:rsidR="00E71ADC" w:rsidRDefault="00000000">
            <w:pPr>
              <w:pStyle w:val="Compact"/>
            </w:pPr>
            <w:r>
              <w:t>It is clear to both service provider and consumer whether changes have been made to the AtoN information after this was created.</w:t>
            </w:r>
          </w:p>
        </w:tc>
        <w:tc>
          <w:tcPr>
            <w:tcW w:w="1584" w:type="dxa"/>
          </w:tcPr>
          <w:p w14:paraId="03072B61" w14:textId="77777777" w:rsidR="00E71ADC" w:rsidRDefault="00000000">
            <w:pPr>
              <w:pStyle w:val="Compact"/>
            </w:pPr>
            <w:r>
              <w:t>F006, F009</w:t>
            </w:r>
          </w:p>
        </w:tc>
      </w:tr>
      <w:tr w:rsidR="00E71ADC" w14:paraId="34BEA66A" w14:textId="77777777">
        <w:tc>
          <w:tcPr>
            <w:tcW w:w="1584" w:type="dxa"/>
          </w:tcPr>
          <w:p w14:paraId="3CB70B4A" w14:textId="77777777" w:rsidR="00E71ADC" w:rsidRDefault="00000000">
            <w:pPr>
              <w:pStyle w:val="Compact"/>
            </w:pPr>
            <w:r>
              <w:rPr>
                <w:b/>
                <w:bCs/>
              </w:rPr>
              <w:t>Non-functional</w:t>
            </w:r>
          </w:p>
        </w:tc>
        <w:tc>
          <w:tcPr>
            <w:tcW w:w="1584" w:type="dxa"/>
          </w:tcPr>
          <w:p w14:paraId="5538E109" w14:textId="77777777" w:rsidR="00E71ADC" w:rsidRDefault="00000000">
            <w:pPr>
              <w:pStyle w:val="Compact"/>
            </w:pPr>
            <w:r>
              <w:t>MS2-NFR004</w:t>
            </w:r>
          </w:p>
        </w:tc>
        <w:tc>
          <w:tcPr>
            <w:tcW w:w="1584" w:type="dxa"/>
          </w:tcPr>
          <w:p w14:paraId="021DF73B" w14:textId="77777777" w:rsidR="00E71ADC" w:rsidRDefault="00000000">
            <w:pPr>
              <w:pStyle w:val="Compact"/>
            </w:pPr>
            <w:r>
              <w:t>Availability</w:t>
            </w:r>
          </w:p>
        </w:tc>
        <w:tc>
          <w:tcPr>
            <w:tcW w:w="1584" w:type="dxa"/>
          </w:tcPr>
          <w:p w14:paraId="52A2478F" w14:textId="77777777" w:rsidR="00E71ADC" w:rsidRDefault="00000000">
            <w:pPr>
              <w:pStyle w:val="Compact"/>
            </w:pPr>
            <w:r>
              <w:t>The service is consistently available in its ability to deliver AtoN Information to its consumers. (i.e. Service should have a high availability)</w:t>
            </w:r>
          </w:p>
        </w:tc>
        <w:tc>
          <w:tcPr>
            <w:tcW w:w="1584" w:type="dxa"/>
          </w:tcPr>
          <w:p w14:paraId="36A00A79" w14:textId="77777777" w:rsidR="00E71ADC" w:rsidRDefault="00000000">
            <w:pPr>
              <w:pStyle w:val="Compact"/>
            </w:pPr>
            <w:r>
              <w:t>F001, F002, F004, F005, F011, F013</w:t>
            </w:r>
          </w:p>
        </w:tc>
      </w:tr>
      <w:tr w:rsidR="00E71ADC" w14:paraId="07F482EF" w14:textId="77777777">
        <w:tc>
          <w:tcPr>
            <w:tcW w:w="1584" w:type="dxa"/>
          </w:tcPr>
          <w:p w14:paraId="1102FDE9" w14:textId="77777777" w:rsidR="00E71ADC" w:rsidRDefault="00000000">
            <w:pPr>
              <w:pStyle w:val="Compact"/>
            </w:pPr>
            <w:r>
              <w:rPr>
                <w:b/>
                <w:bCs/>
              </w:rPr>
              <w:lastRenderedPageBreak/>
              <w:t>Non-functional</w:t>
            </w:r>
          </w:p>
        </w:tc>
        <w:tc>
          <w:tcPr>
            <w:tcW w:w="1584" w:type="dxa"/>
          </w:tcPr>
          <w:p w14:paraId="3AD39F79" w14:textId="77777777" w:rsidR="00E71ADC" w:rsidRDefault="00000000">
            <w:pPr>
              <w:pStyle w:val="Compact"/>
            </w:pPr>
            <w:r>
              <w:t>MS2-NFR005</w:t>
            </w:r>
          </w:p>
        </w:tc>
        <w:tc>
          <w:tcPr>
            <w:tcW w:w="1584" w:type="dxa"/>
          </w:tcPr>
          <w:p w14:paraId="6399B7E7" w14:textId="77777777" w:rsidR="00E71ADC" w:rsidRDefault="00000000">
            <w:pPr>
              <w:pStyle w:val="Compact"/>
            </w:pPr>
            <w:r>
              <w:t>Responsiveness</w:t>
            </w:r>
          </w:p>
        </w:tc>
        <w:tc>
          <w:tcPr>
            <w:tcW w:w="1584" w:type="dxa"/>
          </w:tcPr>
          <w:p w14:paraId="1B30F5AF" w14:textId="77777777" w:rsidR="00E71ADC" w:rsidRDefault="00000000">
            <w:pPr>
              <w:pStyle w:val="Compact"/>
            </w:pPr>
            <w:r>
              <w:t>The service provides a response to a service consumer’s request without delay, and the data provided should be (near) real time.</w:t>
            </w:r>
          </w:p>
        </w:tc>
        <w:tc>
          <w:tcPr>
            <w:tcW w:w="1584" w:type="dxa"/>
          </w:tcPr>
          <w:p w14:paraId="404DE91B" w14:textId="77777777" w:rsidR="00E71ADC" w:rsidRDefault="00000000">
            <w:pPr>
              <w:pStyle w:val="Compact"/>
            </w:pPr>
            <w:r>
              <w:t>F001, F002, F011, F016</w:t>
            </w:r>
          </w:p>
        </w:tc>
      </w:tr>
      <w:tr w:rsidR="00E71ADC" w14:paraId="5C868C70" w14:textId="77777777">
        <w:tc>
          <w:tcPr>
            <w:tcW w:w="1584" w:type="dxa"/>
          </w:tcPr>
          <w:p w14:paraId="4A4FC14C" w14:textId="77777777" w:rsidR="00E71ADC" w:rsidRDefault="00000000">
            <w:pPr>
              <w:pStyle w:val="Compact"/>
            </w:pPr>
            <w:r>
              <w:rPr>
                <w:b/>
                <w:bCs/>
              </w:rPr>
              <w:t>Non-functional</w:t>
            </w:r>
          </w:p>
        </w:tc>
        <w:tc>
          <w:tcPr>
            <w:tcW w:w="1584" w:type="dxa"/>
          </w:tcPr>
          <w:p w14:paraId="70B75C78" w14:textId="77777777" w:rsidR="00E71ADC" w:rsidRDefault="00000000">
            <w:pPr>
              <w:pStyle w:val="Compact"/>
            </w:pPr>
            <w:r>
              <w:t>MS2-NFR006</w:t>
            </w:r>
          </w:p>
        </w:tc>
        <w:tc>
          <w:tcPr>
            <w:tcW w:w="1584" w:type="dxa"/>
          </w:tcPr>
          <w:p w14:paraId="45635BF5" w14:textId="77777777" w:rsidR="00E71ADC" w:rsidRDefault="00000000">
            <w:pPr>
              <w:pStyle w:val="Compact"/>
            </w:pPr>
            <w:r>
              <w:t>Performance</w:t>
            </w:r>
          </w:p>
        </w:tc>
        <w:tc>
          <w:tcPr>
            <w:tcW w:w="1584" w:type="dxa"/>
          </w:tcPr>
          <w:p w14:paraId="0FCBA34B" w14:textId="77777777" w:rsidR="00E71ADC" w:rsidRDefault="00000000">
            <w:pPr>
              <w:pStyle w:val="Compact"/>
            </w:pPr>
            <w:r>
              <w:t>The service can handle multiple requests simultaneously (e.g. 1000/sec).</w:t>
            </w:r>
          </w:p>
        </w:tc>
        <w:tc>
          <w:tcPr>
            <w:tcW w:w="1584" w:type="dxa"/>
          </w:tcPr>
          <w:p w14:paraId="12442D32" w14:textId="77777777" w:rsidR="00E71ADC" w:rsidRDefault="00000000">
            <w:pPr>
              <w:pStyle w:val="Compact"/>
            </w:pPr>
            <w:r>
              <w:t>F001, F010, F012</w:t>
            </w:r>
          </w:p>
        </w:tc>
      </w:tr>
      <w:tr w:rsidR="00E71ADC" w14:paraId="46C1D61E" w14:textId="77777777">
        <w:tc>
          <w:tcPr>
            <w:tcW w:w="1584" w:type="dxa"/>
          </w:tcPr>
          <w:p w14:paraId="30C68426" w14:textId="77777777" w:rsidR="00E71ADC" w:rsidRDefault="00000000">
            <w:pPr>
              <w:pStyle w:val="Compact"/>
            </w:pPr>
            <w:r>
              <w:rPr>
                <w:b/>
                <w:bCs/>
              </w:rPr>
              <w:t>Non-functional</w:t>
            </w:r>
          </w:p>
        </w:tc>
        <w:tc>
          <w:tcPr>
            <w:tcW w:w="1584" w:type="dxa"/>
          </w:tcPr>
          <w:p w14:paraId="4AC86904" w14:textId="77777777" w:rsidR="00E71ADC" w:rsidRDefault="00000000">
            <w:pPr>
              <w:pStyle w:val="Compact"/>
            </w:pPr>
            <w:r>
              <w:t>MS2-NFR007</w:t>
            </w:r>
          </w:p>
        </w:tc>
        <w:tc>
          <w:tcPr>
            <w:tcW w:w="1584" w:type="dxa"/>
          </w:tcPr>
          <w:p w14:paraId="057195AC" w14:textId="77777777" w:rsidR="00E71ADC" w:rsidRDefault="00000000">
            <w:pPr>
              <w:pStyle w:val="Compact"/>
            </w:pPr>
            <w:r>
              <w:t>Portability</w:t>
            </w:r>
          </w:p>
        </w:tc>
        <w:tc>
          <w:tcPr>
            <w:tcW w:w="1584" w:type="dxa"/>
          </w:tcPr>
          <w:p w14:paraId="7187AB71" w14:textId="77777777" w:rsidR="00E71ADC" w:rsidRDefault="00000000">
            <w:pPr>
              <w:pStyle w:val="Compact"/>
            </w:pPr>
            <w:r>
              <w:t>The service makes the data available in portable machine-readable formats (e.g. XML/JSON)</w:t>
            </w:r>
          </w:p>
        </w:tc>
        <w:tc>
          <w:tcPr>
            <w:tcW w:w="1584" w:type="dxa"/>
          </w:tcPr>
          <w:p w14:paraId="7CC90495" w14:textId="77777777" w:rsidR="00E71ADC" w:rsidRDefault="00000000">
            <w:pPr>
              <w:pStyle w:val="Compact"/>
            </w:pPr>
            <w:r>
              <w:t>F014</w:t>
            </w:r>
          </w:p>
        </w:tc>
      </w:tr>
      <w:tr w:rsidR="00E71ADC" w14:paraId="16FE07E0" w14:textId="77777777">
        <w:tc>
          <w:tcPr>
            <w:tcW w:w="1584" w:type="dxa"/>
          </w:tcPr>
          <w:p w14:paraId="15401ED5" w14:textId="77777777" w:rsidR="00E71ADC" w:rsidRDefault="00000000">
            <w:pPr>
              <w:pStyle w:val="Compact"/>
            </w:pPr>
            <w:r>
              <w:rPr>
                <w:b/>
                <w:bCs/>
              </w:rPr>
              <w:t>Non-functional</w:t>
            </w:r>
          </w:p>
        </w:tc>
        <w:tc>
          <w:tcPr>
            <w:tcW w:w="1584" w:type="dxa"/>
          </w:tcPr>
          <w:p w14:paraId="57EB945D" w14:textId="77777777" w:rsidR="00E71ADC" w:rsidRDefault="00000000">
            <w:pPr>
              <w:pStyle w:val="Compact"/>
            </w:pPr>
            <w:r>
              <w:t>MS2-NFR008</w:t>
            </w:r>
          </w:p>
        </w:tc>
        <w:tc>
          <w:tcPr>
            <w:tcW w:w="1584" w:type="dxa"/>
          </w:tcPr>
          <w:p w14:paraId="03A79C77" w14:textId="77777777" w:rsidR="00E71ADC" w:rsidRDefault="00000000">
            <w:pPr>
              <w:pStyle w:val="Compact"/>
            </w:pPr>
            <w:r>
              <w:t>Compression</w:t>
            </w:r>
          </w:p>
        </w:tc>
        <w:tc>
          <w:tcPr>
            <w:tcW w:w="1584" w:type="dxa"/>
          </w:tcPr>
          <w:p w14:paraId="502A2B31" w14:textId="77777777" w:rsidR="00E71ADC" w:rsidRDefault="00000000">
            <w:pPr>
              <w:pStyle w:val="Compact"/>
            </w:pPr>
            <w:r>
              <w:t>The service is able transmit the data in compressed format, with the compression method (e.g., gzip) clearly indicated.</w:t>
            </w:r>
          </w:p>
        </w:tc>
        <w:tc>
          <w:tcPr>
            <w:tcW w:w="1584" w:type="dxa"/>
          </w:tcPr>
          <w:p w14:paraId="7CC7C5D9" w14:textId="77777777" w:rsidR="00E71ADC" w:rsidRDefault="00000000">
            <w:pPr>
              <w:pStyle w:val="Compact"/>
            </w:pPr>
            <w:r>
              <w:t>F001, F005, F008</w:t>
            </w:r>
          </w:p>
        </w:tc>
      </w:tr>
      <w:tr w:rsidR="00E71ADC" w14:paraId="2DB227BF" w14:textId="77777777">
        <w:tc>
          <w:tcPr>
            <w:tcW w:w="1584" w:type="dxa"/>
          </w:tcPr>
          <w:p w14:paraId="2A80E189" w14:textId="77777777" w:rsidR="00E71ADC" w:rsidRDefault="00000000">
            <w:pPr>
              <w:pStyle w:val="Compact"/>
            </w:pPr>
            <w:r>
              <w:rPr>
                <w:b/>
                <w:bCs/>
              </w:rPr>
              <w:t>Non-functional</w:t>
            </w:r>
          </w:p>
        </w:tc>
        <w:tc>
          <w:tcPr>
            <w:tcW w:w="1584" w:type="dxa"/>
          </w:tcPr>
          <w:p w14:paraId="2D591159" w14:textId="77777777" w:rsidR="00E71ADC" w:rsidRDefault="00000000">
            <w:pPr>
              <w:pStyle w:val="Compact"/>
            </w:pPr>
            <w:r>
              <w:t>MS2-NFR009</w:t>
            </w:r>
          </w:p>
        </w:tc>
        <w:tc>
          <w:tcPr>
            <w:tcW w:w="1584" w:type="dxa"/>
          </w:tcPr>
          <w:p w14:paraId="4CFB4F3C" w14:textId="77777777" w:rsidR="00E71ADC" w:rsidRDefault="00000000">
            <w:pPr>
              <w:pStyle w:val="Compact"/>
            </w:pPr>
            <w:r>
              <w:t>Accessibility</w:t>
            </w:r>
          </w:p>
        </w:tc>
        <w:tc>
          <w:tcPr>
            <w:tcW w:w="1584" w:type="dxa"/>
          </w:tcPr>
          <w:p w14:paraId="601B8AB6" w14:textId="77777777" w:rsidR="00E71ADC" w:rsidRDefault="00000000">
            <w:pPr>
              <w:pStyle w:val="Compact"/>
            </w:pPr>
            <w:r>
              <w:t>The AtoN information is accessible as much as possible and modern APIs should be supported for machine-to-machine communication.</w:t>
            </w:r>
          </w:p>
        </w:tc>
        <w:tc>
          <w:tcPr>
            <w:tcW w:w="1584" w:type="dxa"/>
          </w:tcPr>
          <w:p w14:paraId="1BA540C3" w14:textId="77777777" w:rsidR="00E71ADC" w:rsidRDefault="00000000">
            <w:pPr>
              <w:pStyle w:val="Compact"/>
            </w:pPr>
            <w:r>
              <w:t>F005, F010, F013, F014</w:t>
            </w:r>
          </w:p>
        </w:tc>
      </w:tr>
      <w:tr w:rsidR="00E71ADC" w14:paraId="2464227A" w14:textId="77777777">
        <w:tc>
          <w:tcPr>
            <w:tcW w:w="1584" w:type="dxa"/>
          </w:tcPr>
          <w:p w14:paraId="26AB98FD" w14:textId="77777777" w:rsidR="00E71ADC" w:rsidRDefault="00000000">
            <w:pPr>
              <w:pStyle w:val="Compact"/>
            </w:pPr>
            <w:r>
              <w:rPr>
                <w:b/>
                <w:bCs/>
              </w:rPr>
              <w:t>Non-functional</w:t>
            </w:r>
          </w:p>
        </w:tc>
        <w:tc>
          <w:tcPr>
            <w:tcW w:w="1584" w:type="dxa"/>
          </w:tcPr>
          <w:p w14:paraId="2018EA25" w14:textId="77777777" w:rsidR="00E71ADC" w:rsidRDefault="00000000">
            <w:pPr>
              <w:pStyle w:val="Compact"/>
            </w:pPr>
            <w:r>
              <w:t>MS2-NFR010</w:t>
            </w:r>
          </w:p>
        </w:tc>
        <w:tc>
          <w:tcPr>
            <w:tcW w:w="1584" w:type="dxa"/>
          </w:tcPr>
          <w:p w14:paraId="76DB44CF" w14:textId="77777777" w:rsidR="00E71ADC" w:rsidRDefault="00000000">
            <w:pPr>
              <w:pStyle w:val="Compact"/>
            </w:pPr>
            <w:r>
              <w:t>Compatibility</w:t>
            </w:r>
          </w:p>
        </w:tc>
        <w:tc>
          <w:tcPr>
            <w:tcW w:w="1584" w:type="dxa"/>
          </w:tcPr>
          <w:p w14:paraId="54EBC251" w14:textId="77777777" w:rsidR="00E71ADC" w:rsidRDefault="00000000">
            <w:pPr>
              <w:pStyle w:val="Compact"/>
            </w:pPr>
            <w:r>
              <w:t>The service is compatible with as many end-user devices as possible and conforms to the latest relevant maritime standards (e.g. IEC 63173-2 (SECOM), S-100 (S-124, S-125, S-201, S-240))</w:t>
            </w:r>
          </w:p>
        </w:tc>
        <w:tc>
          <w:tcPr>
            <w:tcW w:w="1584" w:type="dxa"/>
          </w:tcPr>
          <w:p w14:paraId="738A86D9" w14:textId="77777777" w:rsidR="00E71ADC" w:rsidRDefault="00000000">
            <w:pPr>
              <w:pStyle w:val="Compact"/>
            </w:pPr>
            <w:r>
              <w:t>F005, F010, F013, F014</w:t>
            </w:r>
          </w:p>
        </w:tc>
      </w:tr>
    </w:tbl>
    <w:p w14:paraId="308B6EAC" w14:textId="77777777" w:rsidR="00E71ADC" w:rsidRDefault="00000000">
      <w:pPr>
        <w:pStyle w:val="Heading2"/>
      </w:pPr>
      <w:bookmarkStart w:id="31" w:name="_14fc30dcd5e77c13bc3f9060fde862015a07e69"/>
      <w:bookmarkStart w:id="32" w:name="_Toc242095856"/>
      <w:bookmarkEnd w:id="25"/>
      <w:bookmarkEnd w:id="27"/>
      <w:r>
        <w:t>Other Constraints</w:t>
      </w:r>
      <w:bookmarkEnd w:id="32"/>
    </w:p>
    <w:p w14:paraId="702199D8" w14:textId="77777777" w:rsidR="00E71ADC" w:rsidRDefault="00000000">
      <w:pPr>
        <w:pStyle w:val="Heading3"/>
      </w:pPr>
      <w:bookmarkStart w:id="33" w:name="_873269c4c3f8f12521a617d611b8a6008b85e31"/>
      <w:bookmarkStart w:id="34" w:name="_Toc242095857"/>
      <w:r>
        <w:t>Relevant Industrial Standards</w:t>
      </w:r>
      <w:bookmarkEnd w:id="34"/>
    </w:p>
    <w:p w14:paraId="5417D9BF" w14:textId="77777777" w:rsidR="00E71ADC" w:rsidRDefault="00000000">
      <w:pPr>
        <w:pStyle w:val="FirstParagraph"/>
      </w:pPr>
      <w:r>
        <w:t>Not Applicable</w:t>
      </w:r>
    </w:p>
    <w:p w14:paraId="32094BFB" w14:textId="77777777" w:rsidR="00E71ADC" w:rsidRDefault="00000000">
      <w:pPr>
        <w:pStyle w:val="Heading3"/>
      </w:pPr>
      <w:bookmarkStart w:id="35" w:name="_8163d062d576734fd3b2607387a8ed52d48fce1"/>
      <w:bookmarkStart w:id="36" w:name="_Toc242095858"/>
      <w:bookmarkEnd w:id="29"/>
      <w:r>
        <w:t>Operational Nodes</w:t>
      </w:r>
      <w:bookmarkEnd w:id="36"/>
    </w:p>
    <w:p w14:paraId="29B49CA0" w14:textId="77777777" w:rsidR="00E71ADC" w:rsidRDefault="00000000">
      <w:pPr>
        <w:pStyle w:val="FirstParagraph"/>
      </w:pPr>
      <w:r>
        <w:t>The following tables describe the operational nodes of the service.</w:t>
      </w:r>
    </w:p>
    <w:p w14:paraId="10E961B2" w14:textId="77777777" w:rsidR="00E71ADC" w:rsidRDefault="00000000">
      <w:pPr>
        <w:pStyle w:val="TableCaption"/>
      </w:pPr>
      <w:bookmarkStart w:id="37" w:name="_c6cee0a2aadc5addbd4155c13d15a1a44448423"/>
      <w:bookmarkStart w:id="38" w:name="_Toc242095881"/>
      <w:r>
        <w:lastRenderedPageBreak/>
        <w:t>Operational Nodes providing the S-201 service.</w:t>
      </w:r>
      <w:bookmarkEnd w:id="38"/>
    </w:p>
    <w:tbl>
      <w:tblPr>
        <w:tblStyle w:val="Table"/>
        <w:tblW w:w="5000" w:type="pct"/>
        <w:tblLayout w:type="fixed"/>
        <w:tblLook w:val="0020" w:firstRow="1" w:lastRow="0" w:firstColumn="0" w:lastColumn="0" w:noHBand="0" w:noVBand="0"/>
        <w:tblCaption w:val="Operational Nodes providing the S-201 service."/>
      </w:tblPr>
      <w:tblGrid>
        <w:gridCol w:w="5097"/>
        <w:gridCol w:w="5098"/>
      </w:tblGrid>
      <w:tr w:rsidR="00E71ADC" w14:paraId="6EDC2181"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6455ACA6" w14:textId="77777777" w:rsidR="00E71ADC" w:rsidRDefault="00000000">
            <w:pPr>
              <w:pStyle w:val="Compact"/>
            </w:pPr>
            <w:r>
              <w:t>Operational Node</w:t>
            </w:r>
          </w:p>
        </w:tc>
        <w:tc>
          <w:tcPr>
            <w:tcW w:w="3960" w:type="dxa"/>
          </w:tcPr>
          <w:p w14:paraId="45CD44FB" w14:textId="77777777" w:rsidR="00E71ADC" w:rsidRDefault="00000000">
            <w:pPr>
              <w:pStyle w:val="Compact"/>
            </w:pPr>
            <w:r>
              <w:t>Remarks</w:t>
            </w:r>
          </w:p>
        </w:tc>
      </w:tr>
      <w:tr w:rsidR="00E71ADC" w14:paraId="1D2FD8D7" w14:textId="77777777">
        <w:tc>
          <w:tcPr>
            <w:tcW w:w="3960" w:type="dxa"/>
          </w:tcPr>
          <w:p w14:paraId="0DFE4748" w14:textId="77777777" w:rsidR="00E71ADC" w:rsidRDefault="00000000">
            <w:pPr>
              <w:pStyle w:val="Compact"/>
            </w:pPr>
            <w:r>
              <w:rPr>
                <w:b/>
                <w:bCs/>
                <w:i/>
                <w:iCs/>
              </w:rPr>
              <w:t>AtoN Administration – AtoN Information Management System</w:t>
            </w:r>
          </w:p>
        </w:tc>
        <w:tc>
          <w:tcPr>
            <w:tcW w:w="3960" w:type="dxa"/>
          </w:tcPr>
          <w:p w14:paraId="6F013A8B" w14:textId="77777777" w:rsidR="00E71ADC" w:rsidRDefault="00000000">
            <w:pPr>
              <w:pStyle w:val="Compact"/>
            </w:pPr>
            <w:r>
              <w:t>The AtoN Information Management System collects all AtoN Information available from its Authoritative Source (AtoN Administration).</w:t>
            </w:r>
          </w:p>
        </w:tc>
      </w:tr>
      <w:tr w:rsidR="00E71ADC" w14:paraId="5848735D" w14:textId="77777777">
        <w:tc>
          <w:tcPr>
            <w:tcW w:w="3960" w:type="dxa"/>
          </w:tcPr>
          <w:p w14:paraId="4F9E6AC6" w14:textId="77777777" w:rsidR="00E71ADC" w:rsidRDefault="00000000">
            <w:pPr>
              <w:pStyle w:val="Compact"/>
            </w:pPr>
            <w:r>
              <w:rPr>
                <w:b/>
                <w:bCs/>
                <w:i/>
                <w:iCs/>
              </w:rPr>
              <w:t>Coastal State Authority</w:t>
            </w:r>
          </w:p>
        </w:tc>
        <w:tc>
          <w:tcPr>
            <w:tcW w:w="3960" w:type="dxa"/>
          </w:tcPr>
          <w:p w14:paraId="0B731064" w14:textId="77777777" w:rsidR="00E71ADC" w:rsidRDefault="00000000">
            <w:pPr>
              <w:pStyle w:val="Compact"/>
            </w:pPr>
            <w:r>
              <w:t>Governmental Agency responsible for overseeing vessel arrival within a respective area. Should facilitate dissemination of S-201.</w:t>
            </w:r>
          </w:p>
        </w:tc>
      </w:tr>
      <w:tr w:rsidR="00E71ADC" w14:paraId="0EBEA90B" w14:textId="77777777">
        <w:tc>
          <w:tcPr>
            <w:tcW w:w="3960" w:type="dxa"/>
          </w:tcPr>
          <w:p w14:paraId="6E7EA8F9" w14:textId="77777777" w:rsidR="00E71ADC" w:rsidRDefault="00000000">
            <w:pPr>
              <w:pStyle w:val="Compact"/>
            </w:pPr>
            <w:r>
              <w:rPr>
                <w:b/>
                <w:bCs/>
                <w:i/>
                <w:iCs/>
              </w:rPr>
              <w:t>Discoverable Service</w:t>
            </w:r>
          </w:p>
        </w:tc>
        <w:tc>
          <w:tcPr>
            <w:tcW w:w="3960" w:type="dxa"/>
          </w:tcPr>
          <w:p w14:paraId="0C2551C5" w14:textId="77777777" w:rsidR="00E71ADC" w:rsidRDefault="00000000">
            <w:pPr>
              <w:pStyle w:val="Compact"/>
            </w:pPr>
            <w:r>
              <w:t>S-201 services must be discoverable and may be operated by public or private entities.</w:t>
            </w:r>
          </w:p>
        </w:tc>
      </w:tr>
      <w:tr w:rsidR="00E71ADC" w14:paraId="749C99EC" w14:textId="77777777">
        <w:tc>
          <w:tcPr>
            <w:tcW w:w="3960" w:type="dxa"/>
          </w:tcPr>
          <w:p w14:paraId="4367C07F" w14:textId="77777777" w:rsidR="00E71ADC" w:rsidRDefault="00000000">
            <w:pPr>
              <w:pStyle w:val="Compact"/>
            </w:pPr>
            <w:r>
              <w:rPr>
                <w:b/>
                <w:bCs/>
                <w:i/>
                <w:iCs/>
              </w:rPr>
              <w:t>Service Consumer</w:t>
            </w:r>
          </w:p>
        </w:tc>
        <w:tc>
          <w:tcPr>
            <w:tcW w:w="3960" w:type="dxa"/>
          </w:tcPr>
          <w:p w14:paraId="7E509622" w14:textId="77777777" w:rsidR="00E71ADC" w:rsidRDefault="00000000">
            <w:pPr>
              <w:pStyle w:val="Compact"/>
            </w:pPr>
            <w:r>
              <w:t>Consumers of S-201 service. This includes only state authorities and relevant organisations such as Hydrographic Offices and Coastal State Authorities.</w:t>
            </w:r>
          </w:p>
        </w:tc>
      </w:tr>
    </w:tbl>
    <w:p w14:paraId="36C9F170" w14:textId="77777777" w:rsidR="00E71ADC" w:rsidRDefault="00000000">
      <w:pPr>
        <w:pStyle w:val="Heading3"/>
      </w:pPr>
      <w:bookmarkStart w:id="39" w:name="_3d0d89e38de618286adff8cde90d35fc70c9e93"/>
      <w:bookmarkStart w:id="40" w:name="_Toc242095859"/>
      <w:bookmarkEnd w:id="31"/>
      <w:bookmarkEnd w:id="33"/>
      <w:r>
        <w:t>Operational Activities</w:t>
      </w:r>
      <w:bookmarkEnd w:id="40"/>
    </w:p>
    <w:p w14:paraId="7C403584" w14:textId="77777777" w:rsidR="00E71ADC" w:rsidRDefault="00000000">
      <w:pPr>
        <w:pStyle w:val="FirstParagraph"/>
      </w:pPr>
      <w:r>
        <w:t>The following tables describe the operational activities of the service.</w:t>
      </w:r>
    </w:p>
    <w:p w14:paraId="4652155E" w14:textId="77777777" w:rsidR="00E71ADC" w:rsidRDefault="00000000">
      <w:pPr>
        <w:pStyle w:val="TableCaption"/>
      </w:pPr>
      <w:bookmarkStart w:id="41" w:name="_6a7fdc54116b04a67f7a253c2601719f3395620"/>
      <w:bookmarkStart w:id="42" w:name="_Toc242095882"/>
      <w:r>
        <w:t>Operational Activities supported by the S-201 service.</w:t>
      </w:r>
      <w:bookmarkEnd w:id="42"/>
    </w:p>
    <w:tbl>
      <w:tblPr>
        <w:tblStyle w:val="Table"/>
        <w:tblW w:w="5000" w:type="pct"/>
        <w:tblLayout w:type="fixed"/>
        <w:tblLook w:val="0020" w:firstRow="1" w:lastRow="0" w:firstColumn="0" w:lastColumn="0" w:noHBand="0" w:noVBand="0"/>
        <w:tblCaption w:val="Operational Activities supported by the S-201 service."/>
      </w:tblPr>
      <w:tblGrid>
        <w:gridCol w:w="5097"/>
        <w:gridCol w:w="5098"/>
      </w:tblGrid>
      <w:tr w:rsidR="00E71ADC" w14:paraId="2F0A8E37"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560AA046" w14:textId="77777777" w:rsidR="00E71ADC" w:rsidRDefault="00000000">
            <w:pPr>
              <w:pStyle w:val="Compact"/>
            </w:pPr>
            <w:r>
              <w:t>Operational Activity</w:t>
            </w:r>
          </w:p>
        </w:tc>
        <w:tc>
          <w:tcPr>
            <w:tcW w:w="3960" w:type="dxa"/>
          </w:tcPr>
          <w:p w14:paraId="70B37132" w14:textId="77777777" w:rsidR="00E71ADC" w:rsidRDefault="00000000">
            <w:pPr>
              <w:pStyle w:val="Compact"/>
            </w:pPr>
            <w:r>
              <w:t>Remarks</w:t>
            </w:r>
          </w:p>
        </w:tc>
      </w:tr>
      <w:tr w:rsidR="00E71ADC" w14:paraId="3057B608" w14:textId="77777777">
        <w:tc>
          <w:tcPr>
            <w:tcW w:w="3960" w:type="dxa"/>
          </w:tcPr>
          <w:p w14:paraId="42FEA1FB" w14:textId="77777777" w:rsidR="00E71ADC" w:rsidRDefault="00000000">
            <w:pPr>
              <w:pStyle w:val="Compact"/>
            </w:pPr>
            <w:r>
              <w:rPr>
                <w:b/>
                <w:bCs/>
                <w:i/>
                <w:iCs/>
              </w:rPr>
              <w:t>Identify S-201 Dataset(s)</w:t>
            </w:r>
          </w:p>
        </w:tc>
        <w:tc>
          <w:tcPr>
            <w:tcW w:w="3960" w:type="dxa"/>
          </w:tcPr>
          <w:p w14:paraId="3D98F765" w14:textId="77777777" w:rsidR="00E71ADC" w:rsidRDefault="00000000">
            <w:pPr>
              <w:pStyle w:val="Compact"/>
            </w:pPr>
            <w:r>
              <w:t>The service consumer is able to identify the availability of S-201 dataset(s) for a given area. This includes identification of the authoritative source for the dataset(s).</w:t>
            </w:r>
          </w:p>
        </w:tc>
      </w:tr>
      <w:tr w:rsidR="00E71ADC" w14:paraId="3267CD34" w14:textId="77777777">
        <w:tc>
          <w:tcPr>
            <w:tcW w:w="3960" w:type="dxa"/>
          </w:tcPr>
          <w:p w14:paraId="2FEF30AA" w14:textId="77777777" w:rsidR="00E71ADC" w:rsidRDefault="00000000">
            <w:pPr>
              <w:pStyle w:val="Compact"/>
            </w:pPr>
            <w:r>
              <w:rPr>
                <w:b/>
                <w:bCs/>
                <w:i/>
                <w:iCs/>
              </w:rPr>
              <w:t>Get S-201 Dataset(s)</w:t>
            </w:r>
          </w:p>
        </w:tc>
        <w:tc>
          <w:tcPr>
            <w:tcW w:w="3960" w:type="dxa"/>
          </w:tcPr>
          <w:p w14:paraId="062AC8D8" w14:textId="77777777" w:rsidR="00E71ADC" w:rsidRDefault="00000000">
            <w:pPr>
              <w:pStyle w:val="Compact"/>
            </w:pPr>
            <w:r>
              <w:t>The service consumer is able to retrieve S-201 dataset(s) from the service provider. This includes retrieving archived dataset(s).</w:t>
            </w:r>
          </w:p>
        </w:tc>
      </w:tr>
      <w:tr w:rsidR="00E71ADC" w14:paraId="458B7170" w14:textId="77777777">
        <w:tc>
          <w:tcPr>
            <w:tcW w:w="3960" w:type="dxa"/>
          </w:tcPr>
          <w:p w14:paraId="53380959" w14:textId="77777777" w:rsidR="00E71ADC" w:rsidRDefault="00000000">
            <w:pPr>
              <w:pStyle w:val="Compact"/>
            </w:pPr>
            <w:r>
              <w:rPr>
                <w:b/>
                <w:bCs/>
                <w:i/>
                <w:iCs/>
              </w:rPr>
              <w:t>Subscribe</w:t>
            </w:r>
          </w:p>
        </w:tc>
        <w:tc>
          <w:tcPr>
            <w:tcW w:w="3960" w:type="dxa"/>
          </w:tcPr>
          <w:p w14:paraId="27CB83C9" w14:textId="77777777" w:rsidR="00E71ADC" w:rsidRDefault="00000000">
            <w:pPr>
              <w:pStyle w:val="Compact"/>
            </w:pPr>
            <w:r>
              <w:t>The service consumer is able to subscribe to receive S-201 dataset(s) from the service provider for a given timeframe and area.</w:t>
            </w:r>
          </w:p>
        </w:tc>
      </w:tr>
      <w:tr w:rsidR="00E71ADC" w14:paraId="6197B892" w14:textId="77777777">
        <w:tc>
          <w:tcPr>
            <w:tcW w:w="3960" w:type="dxa"/>
          </w:tcPr>
          <w:p w14:paraId="118BB11A" w14:textId="77777777" w:rsidR="00E71ADC" w:rsidRDefault="00000000">
            <w:pPr>
              <w:pStyle w:val="Compact"/>
            </w:pPr>
            <w:r>
              <w:rPr>
                <w:b/>
                <w:bCs/>
                <w:i/>
                <w:iCs/>
              </w:rPr>
              <w:t>Version Designation</w:t>
            </w:r>
          </w:p>
        </w:tc>
        <w:tc>
          <w:tcPr>
            <w:tcW w:w="3960" w:type="dxa"/>
          </w:tcPr>
          <w:p w14:paraId="3715FD00" w14:textId="77777777" w:rsidR="00E71ADC" w:rsidRDefault="00000000">
            <w:pPr>
              <w:pStyle w:val="Compact"/>
            </w:pPr>
            <w:r>
              <w:t>The service provider needs to track the current version of S-201 dataset(s) and make this discoverable to service consumers.</w:t>
            </w:r>
          </w:p>
        </w:tc>
      </w:tr>
      <w:tr w:rsidR="00E71ADC" w14:paraId="35BA1605" w14:textId="77777777">
        <w:tc>
          <w:tcPr>
            <w:tcW w:w="3960" w:type="dxa"/>
          </w:tcPr>
          <w:p w14:paraId="1490B57F" w14:textId="77777777" w:rsidR="00E71ADC" w:rsidRDefault="00000000">
            <w:pPr>
              <w:pStyle w:val="Compact"/>
            </w:pPr>
            <w:r>
              <w:rPr>
                <w:b/>
                <w:bCs/>
                <w:i/>
                <w:iCs/>
              </w:rPr>
              <w:t>Record of Changes</w:t>
            </w:r>
          </w:p>
        </w:tc>
        <w:tc>
          <w:tcPr>
            <w:tcW w:w="3960" w:type="dxa"/>
          </w:tcPr>
          <w:p w14:paraId="0E8F97AA" w14:textId="77777777" w:rsidR="00E71ADC" w:rsidRDefault="00000000">
            <w:pPr>
              <w:pStyle w:val="Compact"/>
            </w:pPr>
            <w:r>
              <w:t>The service provider needs to log changes between versions of S-201 dataset(s).</w:t>
            </w:r>
          </w:p>
        </w:tc>
      </w:tr>
      <w:tr w:rsidR="00E71ADC" w14:paraId="318BEA15" w14:textId="77777777">
        <w:tc>
          <w:tcPr>
            <w:tcW w:w="3960" w:type="dxa"/>
          </w:tcPr>
          <w:p w14:paraId="3EEB9FAC" w14:textId="77777777" w:rsidR="00E71ADC" w:rsidRDefault="00000000">
            <w:pPr>
              <w:pStyle w:val="Compact"/>
            </w:pPr>
            <w:r>
              <w:rPr>
                <w:b/>
                <w:bCs/>
                <w:i/>
                <w:iCs/>
              </w:rPr>
              <w:t>Dissemination of Changes</w:t>
            </w:r>
          </w:p>
        </w:tc>
        <w:tc>
          <w:tcPr>
            <w:tcW w:w="3960" w:type="dxa"/>
          </w:tcPr>
          <w:p w14:paraId="70596BDD" w14:textId="77777777" w:rsidR="00E71ADC" w:rsidRDefault="00000000">
            <w:pPr>
              <w:pStyle w:val="Compact"/>
            </w:pPr>
            <w:r>
              <w:t>The “delta” compilation of changes made to a dataset(s) since the last version was issued may be made available to service consumer before the release of a new dataset version.</w:t>
            </w:r>
          </w:p>
        </w:tc>
      </w:tr>
    </w:tbl>
    <w:p w14:paraId="5F9FF793" w14:textId="77777777" w:rsidR="00E71ADC" w:rsidRDefault="00000000">
      <w:pPr>
        <w:pStyle w:val="Heading3"/>
      </w:pPr>
      <w:bookmarkStart w:id="43" w:name="_ec415f45fad67e567037ccd55b43803f5371771"/>
      <w:bookmarkStart w:id="44" w:name="_Toc242095860"/>
      <w:bookmarkEnd w:id="35"/>
      <w:bookmarkEnd w:id="37"/>
      <w:r>
        <w:t>Use Cases</w:t>
      </w:r>
      <w:bookmarkEnd w:id="44"/>
    </w:p>
    <w:p w14:paraId="16E9BB57" w14:textId="77777777" w:rsidR="00E71ADC" w:rsidRDefault="00000000">
      <w:pPr>
        <w:pStyle w:val="Heading4"/>
      </w:pPr>
      <w:bookmarkStart w:id="45" w:name="_49ba3fe3fbc8cfbe0b1de69ecf617e1473b2dc0"/>
      <w:r>
        <w:t>Use-case #1</w:t>
      </w:r>
    </w:p>
    <w:p w14:paraId="1FC4B287" w14:textId="77777777" w:rsidR="00E71ADC" w:rsidRDefault="00000000">
      <w:pPr>
        <w:pStyle w:val="FirstParagraph"/>
      </w:pPr>
      <w:r>
        <w:rPr>
          <w:b/>
          <w:bCs/>
        </w:rPr>
        <w:t>Name</w:t>
      </w:r>
      <w:r>
        <w:t>: Retrieve AtoN status indication information for portrayal by a Hydrographic Office</w:t>
      </w:r>
    </w:p>
    <w:p w14:paraId="5801A82D" w14:textId="77777777" w:rsidR="00E71ADC" w:rsidRDefault="00000000">
      <w:pPr>
        <w:pStyle w:val="BodyText"/>
      </w:pPr>
      <w:r>
        <w:rPr>
          <w:b/>
          <w:bCs/>
        </w:rPr>
        <w:t>Description</w:t>
      </w:r>
      <w:r>
        <w:t>: Retrieve and portray changes on the design state of AtoN for charting.</w:t>
      </w:r>
    </w:p>
    <w:p w14:paraId="529DBCF5" w14:textId="77777777" w:rsidR="00E71ADC" w:rsidRDefault="00000000">
      <w:pPr>
        <w:pStyle w:val="BodyText"/>
      </w:pPr>
      <w:r>
        <w:rPr>
          <w:b/>
          <w:bCs/>
        </w:rPr>
        <w:t>Actors</w:t>
      </w:r>
      <w:r>
        <w:t>: AtoN information service, Hydrographic Office</w:t>
      </w:r>
    </w:p>
    <w:p w14:paraId="0866F174" w14:textId="77777777" w:rsidR="00E71ADC" w:rsidRDefault="00000000">
      <w:pPr>
        <w:pStyle w:val="BodyText"/>
      </w:pPr>
      <w:r>
        <w:rPr>
          <w:b/>
          <w:bCs/>
        </w:rPr>
        <w:t>Frequency of Use</w:t>
      </w:r>
      <w:r>
        <w:t>: Ad-hoc, typically triggered upon an update request by the Hydrographic Office</w:t>
      </w:r>
    </w:p>
    <w:p w14:paraId="70499893" w14:textId="77777777" w:rsidR="00E71ADC" w:rsidRDefault="00000000">
      <w:pPr>
        <w:pStyle w:val="BodyText"/>
      </w:pPr>
      <w:r>
        <w:rPr>
          <w:b/>
          <w:bCs/>
        </w:rPr>
        <w:t>Pre-conditions</w:t>
      </w:r>
      <w:r>
        <w:t xml:space="preserve">: The service instance is known to the relevant system or has access to a service registry in which the service instance can be discovered. Data is packaged in S-201 datasets with MRN attributes populated. S-201 </w:t>
      </w:r>
      <w:r>
        <w:lastRenderedPageBreak/>
        <w:t>datasets cannot be broken apart into division beyond those established by the authoritative source for liability reasons.</w:t>
      </w:r>
    </w:p>
    <w:p w14:paraId="526F2A66" w14:textId="77777777" w:rsidR="00E71ADC" w:rsidRDefault="00000000">
      <w:pPr>
        <w:pStyle w:val="BodyText"/>
      </w:pPr>
      <w:r>
        <w:rPr>
          <w:b/>
          <w:bCs/>
        </w:rPr>
        <w:t>Ordinary Sequence</w:t>
      </w:r>
      <w:r>
        <w:t>:</w:t>
      </w:r>
    </w:p>
    <w:p w14:paraId="0DBA7395" w14:textId="77777777" w:rsidR="00E71ADC" w:rsidRDefault="00000000">
      <w:pPr>
        <w:pStyle w:val="Compact"/>
        <w:numPr>
          <w:ilvl w:val="0"/>
          <w:numId w:val="31"/>
        </w:numPr>
      </w:pPr>
      <w:r>
        <w:t>The AtoN status indication information is requested from the service.</w:t>
      </w:r>
    </w:p>
    <w:p w14:paraId="44F0DD84" w14:textId="77777777" w:rsidR="00E71ADC" w:rsidRDefault="00000000">
      <w:pPr>
        <w:pStyle w:val="Compact"/>
        <w:numPr>
          <w:ilvl w:val="0"/>
          <w:numId w:val="31"/>
        </w:numPr>
      </w:pPr>
      <w:r>
        <w:t>The service directly answers the request with the appropriate data. These include the S-201 AtoN status indication features of the data product, but not necessarily the design state AtoN information.</w:t>
      </w:r>
    </w:p>
    <w:p w14:paraId="676EE83E" w14:textId="77777777" w:rsidR="00E71ADC" w:rsidRDefault="00000000">
      <w:pPr>
        <w:pStyle w:val="Compact"/>
        <w:numPr>
          <w:ilvl w:val="0"/>
          <w:numId w:val="31"/>
        </w:numPr>
      </w:pPr>
      <w:r>
        <w:t>The data is rendered and displayed to the user.</w:t>
      </w:r>
    </w:p>
    <w:p w14:paraId="24D083D1" w14:textId="77777777" w:rsidR="00E71ADC" w:rsidRDefault="00000000">
      <w:pPr>
        <w:pStyle w:val="FirstParagraph"/>
      </w:pPr>
      <w:r>
        <w:rPr>
          <w:b/>
          <w:bCs/>
        </w:rPr>
        <w:t>Post-conditions</w:t>
      </w:r>
      <w:r>
        <w:t>: The correct AtoN status indication information is displayed.</w:t>
      </w:r>
    </w:p>
    <w:p w14:paraId="6E5DB4FA" w14:textId="77777777" w:rsidR="00E71ADC" w:rsidRDefault="00000000">
      <w:pPr>
        <w:pStyle w:val="Heading4"/>
      </w:pPr>
      <w:bookmarkStart w:id="46" w:name="_8ddbc7482bacb3eea801960f06377ee405bba81"/>
      <w:bookmarkEnd w:id="39"/>
      <w:r>
        <w:t>Use-case #2</w:t>
      </w:r>
    </w:p>
    <w:p w14:paraId="1BF4C2AC" w14:textId="77777777" w:rsidR="00E71ADC" w:rsidRDefault="00000000">
      <w:pPr>
        <w:pStyle w:val="FirstParagraph"/>
      </w:pPr>
      <w:r>
        <w:rPr>
          <w:b/>
          <w:bCs/>
        </w:rPr>
        <w:t>Name</w:t>
      </w:r>
      <w:r>
        <w:t>: Retrieve AtoN status indication information for portrayal by an ECS Provider</w:t>
      </w:r>
    </w:p>
    <w:p w14:paraId="17DD1109" w14:textId="77777777" w:rsidR="00E71ADC" w:rsidRDefault="00000000">
      <w:pPr>
        <w:pStyle w:val="BodyText"/>
      </w:pPr>
      <w:r>
        <w:rPr>
          <w:b/>
          <w:bCs/>
        </w:rPr>
        <w:t>Description</w:t>
      </w:r>
      <w:r>
        <w:t>: Retrieve and portray changes on the design state of AtoN for charting.</w:t>
      </w:r>
    </w:p>
    <w:p w14:paraId="16E343DD" w14:textId="77777777" w:rsidR="00E71ADC" w:rsidRDefault="00000000">
      <w:pPr>
        <w:pStyle w:val="BodyText"/>
      </w:pPr>
      <w:r>
        <w:rPr>
          <w:b/>
          <w:bCs/>
        </w:rPr>
        <w:t>Actors</w:t>
      </w:r>
      <w:r>
        <w:t>: AtoN information service, ECS Provider</w:t>
      </w:r>
    </w:p>
    <w:p w14:paraId="27AF349A" w14:textId="77777777" w:rsidR="00E71ADC" w:rsidRDefault="00000000">
      <w:pPr>
        <w:pStyle w:val="BodyText"/>
      </w:pPr>
      <w:r>
        <w:rPr>
          <w:b/>
          <w:bCs/>
        </w:rPr>
        <w:t>Frequency of Use</w:t>
      </w:r>
      <w:r>
        <w:t>: Ad-hoc, typically triggered upon an update request by the ECS Provider</w:t>
      </w:r>
    </w:p>
    <w:p w14:paraId="0781BE15" w14:textId="77777777" w:rsidR="00E71ADC" w:rsidRDefault="00000000">
      <w:pPr>
        <w:pStyle w:val="BodyText"/>
      </w:pPr>
      <w:r>
        <w:rPr>
          <w:b/>
          <w:bCs/>
        </w:rPr>
        <w:t>Pre-conditions</w:t>
      </w:r>
      <w:r>
        <w:t>: The service instance is known to the relevant system or has access to a service registry in which the service instance can be discovered. Data is packaged in S-201 datasets with MRN attributes populated. S-201 datasets cannot be broken apart into division beyond those established by the authoritative source for liability reasons.</w:t>
      </w:r>
    </w:p>
    <w:p w14:paraId="1765DFB5" w14:textId="77777777" w:rsidR="00E71ADC" w:rsidRDefault="00000000">
      <w:pPr>
        <w:pStyle w:val="BodyText"/>
      </w:pPr>
      <w:r>
        <w:rPr>
          <w:b/>
          <w:bCs/>
        </w:rPr>
        <w:t>Ordinary Sequence</w:t>
      </w:r>
      <w:r>
        <w:t>:</w:t>
      </w:r>
    </w:p>
    <w:p w14:paraId="3A43DF72" w14:textId="77777777" w:rsidR="00E71ADC" w:rsidRDefault="00000000">
      <w:pPr>
        <w:pStyle w:val="Compact"/>
        <w:numPr>
          <w:ilvl w:val="0"/>
          <w:numId w:val="32"/>
        </w:numPr>
      </w:pPr>
      <w:r>
        <w:t>The AtoN status indication information is requested from the service.</w:t>
      </w:r>
    </w:p>
    <w:p w14:paraId="58DFF732" w14:textId="77777777" w:rsidR="00E71ADC" w:rsidRDefault="00000000">
      <w:pPr>
        <w:pStyle w:val="Compact"/>
        <w:numPr>
          <w:ilvl w:val="0"/>
          <w:numId w:val="32"/>
        </w:numPr>
      </w:pPr>
      <w:r>
        <w:t>The service directly answers the request with the appropriate data. These include the S-201 AtoN status indication features of the data product, but not necessarily the design state AtoN information.</w:t>
      </w:r>
    </w:p>
    <w:p w14:paraId="231B30C0" w14:textId="77777777" w:rsidR="00E71ADC" w:rsidRDefault="00000000">
      <w:pPr>
        <w:pStyle w:val="Compact"/>
        <w:numPr>
          <w:ilvl w:val="0"/>
          <w:numId w:val="32"/>
        </w:numPr>
      </w:pPr>
      <w:r>
        <w:t>The data is rendered and displayed to the user.</w:t>
      </w:r>
    </w:p>
    <w:p w14:paraId="652A0BB1" w14:textId="77777777" w:rsidR="00E71ADC" w:rsidRDefault="00000000">
      <w:pPr>
        <w:pStyle w:val="FirstParagraph"/>
      </w:pPr>
      <w:r>
        <w:rPr>
          <w:b/>
          <w:bCs/>
        </w:rPr>
        <w:t>Post-conditions</w:t>
      </w:r>
      <w:r>
        <w:t>: The correct AtoN status indication information is displayed.</w:t>
      </w:r>
    </w:p>
    <w:p w14:paraId="190F6C41" w14:textId="77777777" w:rsidR="00E71ADC" w:rsidRDefault="00000000">
      <w:r>
        <w:br w:type="page"/>
      </w:r>
    </w:p>
    <w:p w14:paraId="7FB8C31D" w14:textId="77777777" w:rsidR="00E71ADC" w:rsidRDefault="00000000">
      <w:pPr>
        <w:pStyle w:val="Heading1"/>
      </w:pPr>
      <w:bookmarkStart w:id="47" w:name="_c6773ec9deba3dc0e37ed3b00bbf6797c608910"/>
      <w:bookmarkStart w:id="48" w:name="_Toc242095861"/>
      <w:bookmarkEnd w:id="41"/>
      <w:bookmarkEnd w:id="43"/>
      <w:bookmarkEnd w:id="45"/>
      <w:bookmarkEnd w:id="46"/>
      <w:r>
        <w:lastRenderedPageBreak/>
        <w:t>Service Overview</w:t>
      </w:r>
      <w:bookmarkEnd w:id="48"/>
    </w:p>
    <w:p w14:paraId="6E223701" w14:textId="77777777" w:rsidR="00E71ADC" w:rsidRDefault="00000000">
      <w:pPr>
        <w:pStyle w:val="FirstParagraph"/>
      </w:pPr>
      <w:r>
        <w:t>This section aims at providing an overview of the main elements of the service. Architectural elements applicable for this description are:</w:t>
      </w:r>
    </w:p>
    <w:p w14:paraId="31A50ACA" w14:textId="77777777" w:rsidR="00E71ADC" w:rsidRDefault="00000000">
      <w:pPr>
        <w:pStyle w:val="FirstParagraph"/>
        <w:numPr>
          <w:ilvl w:val="0"/>
          <w:numId w:val="33"/>
        </w:numPr>
      </w:pPr>
      <w:r>
        <w:t>Service - the element representing the service, as a whole</w:t>
      </w:r>
    </w:p>
    <w:p w14:paraId="239BB0BD" w14:textId="77777777" w:rsidR="00E71ADC" w:rsidRDefault="00000000">
      <w:pPr>
        <w:pStyle w:val="FirstParagraph"/>
        <w:numPr>
          <w:ilvl w:val="0"/>
          <w:numId w:val="33"/>
        </w:numPr>
      </w:pPr>
      <w:r>
        <w:t>Service Operations - describe the logical operations used to access the service. Actual technical designs may rename some of the operations or ignore some of the operations if the operation is triggered in a different way e.g. API-based designs require more operations than an event-based design. Multiple service operations may also be implemented by a single API endpoint with e.g. different HTTP methods differentiating between operations.</w:t>
      </w:r>
    </w:p>
    <w:p w14:paraId="26D815D5" w14:textId="77777777" w:rsidR="00E71ADC" w:rsidRDefault="00000000">
      <w:pPr>
        <w:pStyle w:val="FirstParagraph"/>
        <w:numPr>
          <w:ilvl w:val="0"/>
          <w:numId w:val="33"/>
        </w:numPr>
      </w:pPr>
      <w:r>
        <w:t>Service Operations Parameter Definitions - identify logical data structures being exchanged via Service Operations. These parameters must not be an exhaustive list but describe the parameters that are required for the business logic to work.</w:t>
      </w:r>
    </w:p>
    <w:p w14:paraId="4ACA57AE" w14:textId="77777777" w:rsidR="00E71ADC" w:rsidRDefault="00000000">
      <w:pPr>
        <w:pStyle w:val="Heading2"/>
      </w:pPr>
      <w:bookmarkStart w:id="49" w:name="_3e1515a25ed25cd3070e37340495b63ecbc6929"/>
      <w:bookmarkStart w:id="50" w:name="_Toc242095862"/>
      <w:r>
        <w:t>The Enhanced AtoN Information Service</w:t>
      </w:r>
      <w:bookmarkEnd w:id="50"/>
    </w:p>
    <w:p w14:paraId="4F929D1B" w14:textId="77777777" w:rsidR="00E71ADC" w:rsidRDefault="00000000">
      <w:pPr>
        <w:pStyle w:val="FirstParagraph"/>
      </w:pPr>
      <w:r>
        <w:t>In Figure 2, below, an overview of the operations of the Enhanced AtoN Information service is shown.</w:t>
      </w:r>
    </w:p>
    <w:p w14:paraId="46A1E80E" w14:textId="77777777" w:rsidR="00E71ADC" w:rsidRDefault="00000000">
      <w:pPr>
        <w:pStyle w:val="CaptionedFigure"/>
      </w:pPr>
      <w:bookmarkStart w:id="51" w:name="_1384d941d0552bf25556574d26836da9fd27d44"/>
      <w:r>
        <w:rPr>
          <w:noProof/>
        </w:rPr>
        <w:drawing>
          <wp:inline distT="0" distB="0" distL="0" distR="0" wp14:anchorId="481258E7" wp14:editId="02E965A5">
            <wp:extent cx="6477000" cy="4501558"/>
            <wp:effectExtent l="0" t="0" r="0" b="0"/>
            <wp:docPr id="2" name="Picture" descr="S-201 Service Operations Definition diagram."/>
            <wp:cNvGraphicFramePr/>
            <a:graphic xmlns:a="http://schemas.openxmlformats.org/drawingml/2006/main">
              <a:graphicData uri="http://schemas.openxmlformats.org/drawingml/2006/picture">
                <pic:pic xmlns:pic="http://schemas.openxmlformats.org/drawingml/2006/picture">
                  <pic:nvPicPr>
                    <pic:cNvPr id="2" name="Picture" descr="source/guideline/../../resources/ServiceInterfaces.png"/>
                    <pic:cNvPicPr>
                      <a:picLocks noChangeAspect="1" noChangeArrowheads="1"/>
                    </pic:cNvPicPr>
                  </pic:nvPicPr>
                  <pic:blipFill>
                    <a:blip r:embed="rId27"/>
                    <a:stretch>
                      <a:fillRect/>
                    </a:stretch>
                  </pic:blipFill>
                  <pic:spPr bwMode="auto">
                    <a:xfrm>
                      <a:off x="0" y="0"/>
                      <a:ext cx="6477000" cy="4501558"/>
                    </a:xfrm>
                    <a:prstGeom prst="rect">
                      <a:avLst/>
                    </a:prstGeom>
                    <a:noFill/>
                    <a:ln w="9525">
                      <a:noFill/>
                      <a:headEnd/>
                      <a:tailEnd/>
                    </a:ln>
                  </pic:spPr>
                </pic:pic>
              </a:graphicData>
            </a:graphic>
          </wp:inline>
        </w:drawing>
      </w:r>
    </w:p>
    <w:p w14:paraId="4C50335B" w14:textId="77777777" w:rsidR="00E71ADC" w:rsidRDefault="00000000">
      <w:pPr>
        <w:pStyle w:val="ImageCaption"/>
      </w:pPr>
      <w:bookmarkStart w:id="52" w:name="_Toc242095899"/>
      <w:r>
        <w:t>S-201 Service Operations Definition diagram.</w:t>
      </w:r>
      <w:bookmarkEnd w:id="52"/>
    </w:p>
    <w:p w14:paraId="3BCF14D5" w14:textId="77777777" w:rsidR="00E71ADC" w:rsidRDefault="00000000">
      <w:pPr>
        <w:pStyle w:val="TableCaption"/>
      </w:pPr>
      <w:bookmarkStart w:id="53" w:name="_Toc242095883"/>
      <w:bookmarkEnd w:id="47"/>
      <w:r>
        <w:lastRenderedPageBreak/>
        <w:t>Service Operations Overview.</w:t>
      </w:r>
      <w:bookmarkEnd w:id="53"/>
    </w:p>
    <w:tbl>
      <w:tblPr>
        <w:tblStyle w:val="Table"/>
        <w:tblW w:w="5000" w:type="pct"/>
        <w:tblLayout w:type="fixed"/>
        <w:tblLook w:val="0020" w:firstRow="1" w:lastRow="0" w:firstColumn="0" w:lastColumn="0" w:noHBand="0" w:noVBand="0"/>
        <w:tblCaption w:val="Service Operations Overview."/>
      </w:tblPr>
      <w:tblGrid>
        <w:gridCol w:w="2548"/>
        <w:gridCol w:w="2549"/>
        <w:gridCol w:w="2549"/>
        <w:gridCol w:w="2549"/>
      </w:tblGrid>
      <w:tr w:rsidR="00E71ADC" w14:paraId="397A89CA"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125F0301" w14:textId="77777777" w:rsidR="00E71ADC" w:rsidRDefault="00E71ADC">
            <w:pPr>
              <w:pStyle w:val="Compact"/>
            </w:pPr>
          </w:p>
        </w:tc>
        <w:tc>
          <w:tcPr>
            <w:tcW w:w="1980" w:type="dxa"/>
          </w:tcPr>
          <w:p w14:paraId="6202E5BF" w14:textId="77777777" w:rsidR="00E71ADC" w:rsidRDefault="00000000">
            <w:pPr>
              <w:pStyle w:val="Compact"/>
            </w:pPr>
            <w:r>
              <w:t>Service Operation</w:t>
            </w:r>
          </w:p>
        </w:tc>
        <w:tc>
          <w:tcPr>
            <w:tcW w:w="1980" w:type="dxa"/>
          </w:tcPr>
          <w:p w14:paraId="2434CCEB" w14:textId="77777777" w:rsidR="00E71ADC" w:rsidRDefault="00000000">
            <w:pPr>
              <w:pStyle w:val="Compact"/>
            </w:pPr>
            <w:r>
              <w:t>Exchange Pattern</w:t>
            </w:r>
          </w:p>
        </w:tc>
        <w:tc>
          <w:tcPr>
            <w:tcW w:w="1980" w:type="dxa"/>
          </w:tcPr>
          <w:p w14:paraId="18A628DE" w14:textId="77777777" w:rsidR="00E71ADC" w:rsidRDefault="00000000">
            <w:pPr>
              <w:pStyle w:val="Compact"/>
            </w:pPr>
            <w:r>
              <w:t>Definition</w:t>
            </w:r>
          </w:p>
        </w:tc>
      </w:tr>
      <w:tr w:rsidR="00E71ADC" w14:paraId="3B23C990" w14:textId="77777777">
        <w:tc>
          <w:tcPr>
            <w:tcW w:w="1980" w:type="dxa"/>
            <w:vMerge w:val="restart"/>
          </w:tcPr>
          <w:p w14:paraId="2D04EC9E" w14:textId="77777777" w:rsidR="00E71ADC" w:rsidRDefault="00000000">
            <w:pPr>
              <w:pStyle w:val="Compact"/>
            </w:pPr>
            <w:r>
              <w:t>PULL</w:t>
            </w:r>
          </w:p>
        </w:tc>
        <w:tc>
          <w:tcPr>
            <w:tcW w:w="1980" w:type="dxa"/>
          </w:tcPr>
          <w:p w14:paraId="30F621E5" w14:textId="77777777" w:rsidR="00E71ADC" w:rsidRDefault="00000000">
            <w:pPr>
              <w:pStyle w:val="Compact"/>
            </w:pPr>
            <w:r>
              <w:t>Get</w:t>
            </w:r>
          </w:p>
        </w:tc>
        <w:tc>
          <w:tcPr>
            <w:tcW w:w="1980" w:type="dxa"/>
          </w:tcPr>
          <w:p w14:paraId="6D7F2661" w14:textId="77777777" w:rsidR="00E71ADC" w:rsidRDefault="00000000">
            <w:pPr>
              <w:pStyle w:val="Compact"/>
            </w:pPr>
            <w:r>
              <w:t>REQUEST_RESPONSE</w:t>
            </w:r>
          </w:p>
        </w:tc>
        <w:tc>
          <w:tcPr>
            <w:tcW w:w="1980" w:type="dxa"/>
          </w:tcPr>
          <w:p w14:paraId="41F04F6C" w14:textId="77777777" w:rsidR="00E71ADC" w:rsidRDefault="00000000">
            <w:pPr>
              <w:pStyle w:val="Compact"/>
            </w:pPr>
            <w:r>
              <w:t>Operation to (pull) ask for AtoN datasets from the producer.</w:t>
            </w:r>
          </w:p>
        </w:tc>
      </w:tr>
      <w:tr w:rsidR="00E71ADC" w14:paraId="6B6011C0" w14:textId="77777777">
        <w:tc>
          <w:tcPr>
            <w:tcW w:w="1980" w:type="dxa"/>
            <w:vMerge/>
          </w:tcPr>
          <w:p w14:paraId="66F85F4B" w14:textId="77777777" w:rsidR="00E71ADC" w:rsidRDefault="00E71ADC"/>
        </w:tc>
        <w:tc>
          <w:tcPr>
            <w:tcW w:w="1980" w:type="dxa"/>
          </w:tcPr>
          <w:p w14:paraId="616CB31C" w14:textId="77777777" w:rsidR="00E71ADC" w:rsidRDefault="00000000">
            <w:pPr>
              <w:pStyle w:val="Compact"/>
            </w:pPr>
            <w:r>
              <w:t>Get Summary</w:t>
            </w:r>
          </w:p>
        </w:tc>
        <w:tc>
          <w:tcPr>
            <w:tcW w:w="1980" w:type="dxa"/>
          </w:tcPr>
          <w:p w14:paraId="22202479" w14:textId="77777777" w:rsidR="00E71ADC" w:rsidRDefault="00000000">
            <w:pPr>
              <w:pStyle w:val="Compact"/>
            </w:pPr>
            <w:r>
              <w:t>REQUEST_RESPONSE</w:t>
            </w:r>
          </w:p>
        </w:tc>
        <w:tc>
          <w:tcPr>
            <w:tcW w:w="1980" w:type="dxa"/>
          </w:tcPr>
          <w:p w14:paraId="4623EDA1" w14:textId="77777777" w:rsidR="00E71ADC" w:rsidRDefault="00000000">
            <w:pPr>
              <w:pStyle w:val="Compact"/>
            </w:pPr>
            <w:r>
              <w:t>Operation to (pull) ask for a list of summary information on the AtoN datasets made available by producer.</w:t>
            </w:r>
          </w:p>
        </w:tc>
      </w:tr>
      <w:tr w:rsidR="00E71ADC" w14:paraId="0CE5C2D2" w14:textId="77777777">
        <w:tc>
          <w:tcPr>
            <w:tcW w:w="1980" w:type="dxa"/>
            <w:vMerge w:val="restart"/>
          </w:tcPr>
          <w:p w14:paraId="5F95F1E7" w14:textId="77777777" w:rsidR="00E71ADC" w:rsidRDefault="00000000">
            <w:pPr>
              <w:pStyle w:val="Compact"/>
            </w:pPr>
            <w:r>
              <w:t>SUBSCRIPTION</w:t>
            </w:r>
          </w:p>
        </w:tc>
        <w:tc>
          <w:tcPr>
            <w:tcW w:w="1980" w:type="dxa"/>
          </w:tcPr>
          <w:p w14:paraId="166E0E33" w14:textId="77777777" w:rsidR="00E71ADC" w:rsidRDefault="00000000">
            <w:pPr>
              <w:pStyle w:val="Compact"/>
            </w:pPr>
            <w:r>
              <w:t>Subscription</w:t>
            </w:r>
          </w:p>
        </w:tc>
        <w:tc>
          <w:tcPr>
            <w:tcW w:w="1980" w:type="dxa"/>
          </w:tcPr>
          <w:p w14:paraId="172387DB" w14:textId="77777777" w:rsidR="00E71ADC" w:rsidRDefault="00000000">
            <w:pPr>
              <w:pStyle w:val="Compact"/>
            </w:pPr>
            <w:r>
              <w:t>REQUEST_CALLBACK</w:t>
            </w:r>
          </w:p>
        </w:tc>
        <w:tc>
          <w:tcPr>
            <w:tcW w:w="1980" w:type="dxa"/>
          </w:tcPr>
          <w:p w14:paraId="491FA16B" w14:textId="77777777" w:rsidR="00E71ADC" w:rsidRDefault="00000000">
            <w:pPr>
              <w:pStyle w:val="Compact"/>
            </w:pPr>
            <w:r>
              <w:t>Operation to create subscriptions on specific AtoN datasets. Relevant Client operations:</w:t>
            </w:r>
          </w:p>
          <w:p w14:paraId="5D805CF0" w14:textId="77777777" w:rsidR="00E71ADC" w:rsidRDefault="00000000">
            <w:pPr>
              <w:pStyle w:val="Compact"/>
              <w:numPr>
                <w:ilvl w:val="0"/>
                <w:numId w:val="35"/>
              </w:numPr>
            </w:pPr>
            <w:r>
              <w:t>Subscription Notification</w:t>
            </w:r>
          </w:p>
          <w:p w14:paraId="207A3F94" w14:textId="77777777" w:rsidR="00E71ADC" w:rsidRDefault="00000000">
            <w:pPr>
              <w:pStyle w:val="Compact"/>
              <w:numPr>
                <w:ilvl w:val="0"/>
                <w:numId w:val="35"/>
              </w:numPr>
            </w:pPr>
            <w:r>
              <w:t>Upload</w:t>
            </w:r>
          </w:p>
        </w:tc>
      </w:tr>
      <w:tr w:rsidR="00E71ADC" w14:paraId="57615ADE" w14:textId="77777777">
        <w:tc>
          <w:tcPr>
            <w:tcW w:w="1980" w:type="dxa"/>
            <w:vMerge/>
          </w:tcPr>
          <w:p w14:paraId="656FB2A7" w14:textId="77777777" w:rsidR="00E71ADC" w:rsidRDefault="00E71ADC"/>
        </w:tc>
        <w:tc>
          <w:tcPr>
            <w:tcW w:w="1980" w:type="dxa"/>
          </w:tcPr>
          <w:p w14:paraId="09258BA2" w14:textId="77777777" w:rsidR="00E71ADC" w:rsidRDefault="00000000">
            <w:pPr>
              <w:pStyle w:val="Compact"/>
            </w:pPr>
            <w:r>
              <w:t>Remove Subscription</w:t>
            </w:r>
          </w:p>
        </w:tc>
        <w:tc>
          <w:tcPr>
            <w:tcW w:w="1980" w:type="dxa"/>
          </w:tcPr>
          <w:p w14:paraId="006A8CF6" w14:textId="77777777" w:rsidR="00E71ADC" w:rsidRDefault="00000000">
            <w:pPr>
              <w:pStyle w:val="Compact"/>
            </w:pPr>
            <w:r>
              <w:t>REQUEST_CALLBACK</w:t>
            </w:r>
          </w:p>
        </w:tc>
        <w:tc>
          <w:tcPr>
            <w:tcW w:w="1980" w:type="dxa"/>
          </w:tcPr>
          <w:p w14:paraId="12AE7B4F" w14:textId="77777777" w:rsidR="00E71ADC" w:rsidRDefault="00000000">
            <w:pPr>
              <w:pStyle w:val="Compact"/>
            </w:pPr>
            <w:r>
              <w:t>Operation to remove existing subscriptions. Relevant Client operations:</w:t>
            </w:r>
          </w:p>
          <w:p w14:paraId="4ABD332E" w14:textId="77777777" w:rsidR="00E71ADC" w:rsidRDefault="00000000">
            <w:pPr>
              <w:pStyle w:val="Compact"/>
              <w:numPr>
                <w:ilvl w:val="0"/>
                <w:numId w:val="35"/>
              </w:numPr>
            </w:pPr>
            <w:r>
              <w:t>Subscription Notification</w:t>
            </w:r>
          </w:p>
        </w:tc>
      </w:tr>
    </w:tbl>
    <w:p w14:paraId="4CE7CF10" w14:textId="77777777" w:rsidR="00E71ADC" w:rsidRDefault="00E71ADC"/>
    <w:p w14:paraId="73FF7F89" w14:textId="77777777" w:rsidR="00E71ADC" w:rsidRDefault="00000000">
      <w:pPr>
        <w:pStyle w:val="TableCaption"/>
      </w:pPr>
      <w:bookmarkStart w:id="54" w:name="_Toc242095884"/>
      <w:r>
        <w:t>Consumer (Client) Operations Overview.</w:t>
      </w:r>
      <w:bookmarkEnd w:id="54"/>
    </w:p>
    <w:tbl>
      <w:tblPr>
        <w:tblStyle w:val="Table"/>
        <w:tblW w:w="0" w:type="auto"/>
        <w:tblLook w:val="0020" w:firstRow="1" w:lastRow="0" w:firstColumn="0" w:lastColumn="0" w:noHBand="0" w:noVBand="0"/>
        <w:tblCaption w:val="Consumer (Client) Operations Overview."/>
      </w:tblPr>
      <w:tblGrid>
        <w:gridCol w:w="1416"/>
        <w:gridCol w:w="1274"/>
        <w:gridCol w:w="2050"/>
        <w:gridCol w:w="5455"/>
      </w:tblGrid>
      <w:tr w:rsidR="00E71ADC" w14:paraId="58DB51E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2BCCAC19" w14:textId="77777777" w:rsidR="00E71ADC" w:rsidRDefault="00E71ADC">
            <w:pPr>
              <w:pStyle w:val="Compact"/>
            </w:pPr>
          </w:p>
        </w:tc>
        <w:tc>
          <w:tcPr>
            <w:tcW w:w="0" w:type="auto"/>
          </w:tcPr>
          <w:p w14:paraId="65F30256" w14:textId="77777777" w:rsidR="00E71ADC" w:rsidRDefault="00000000">
            <w:pPr>
              <w:pStyle w:val="Compact"/>
            </w:pPr>
            <w:r>
              <w:t>Client Operation</w:t>
            </w:r>
          </w:p>
        </w:tc>
        <w:tc>
          <w:tcPr>
            <w:tcW w:w="0" w:type="auto"/>
          </w:tcPr>
          <w:p w14:paraId="36AD937B" w14:textId="77777777" w:rsidR="00E71ADC" w:rsidRDefault="00000000">
            <w:pPr>
              <w:pStyle w:val="Compact"/>
            </w:pPr>
            <w:r>
              <w:t>Exchange Pattern</w:t>
            </w:r>
          </w:p>
        </w:tc>
        <w:tc>
          <w:tcPr>
            <w:tcW w:w="0" w:type="auto"/>
          </w:tcPr>
          <w:p w14:paraId="3BFFA149" w14:textId="77777777" w:rsidR="00E71ADC" w:rsidRDefault="00000000">
            <w:pPr>
              <w:pStyle w:val="Compact"/>
            </w:pPr>
            <w:r>
              <w:t>Definition</w:t>
            </w:r>
          </w:p>
        </w:tc>
      </w:tr>
      <w:tr w:rsidR="00E71ADC" w14:paraId="422C42C4" w14:textId="77777777">
        <w:tc>
          <w:tcPr>
            <w:tcW w:w="0" w:type="auto"/>
          </w:tcPr>
          <w:p w14:paraId="70E2B3DB" w14:textId="77777777" w:rsidR="00E71ADC" w:rsidRDefault="00000000">
            <w:pPr>
              <w:pStyle w:val="Compact"/>
            </w:pPr>
            <w:r>
              <w:t>PUSH</w:t>
            </w:r>
          </w:p>
        </w:tc>
        <w:tc>
          <w:tcPr>
            <w:tcW w:w="0" w:type="auto"/>
          </w:tcPr>
          <w:p w14:paraId="441AD2B1" w14:textId="77777777" w:rsidR="00E71ADC" w:rsidRDefault="00000000">
            <w:pPr>
              <w:pStyle w:val="Compact"/>
            </w:pPr>
            <w:r>
              <w:t>Upload</w:t>
            </w:r>
          </w:p>
        </w:tc>
        <w:tc>
          <w:tcPr>
            <w:tcW w:w="0" w:type="auto"/>
          </w:tcPr>
          <w:p w14:paraId="5411AD23" w14:textId="77777777" w:rsidR="00E71ADC" w:rsidRDefault="00000000">
            <w:pPr>
              <w:pStyle w:val="Compact"/>
            </w:pPr>
            <w:r>
              <w:t>ONE_WAY or REQUEST_CALLBACK</w:t>
            </w:r>
          </w:p>
        </w:tc>
        <w:tc>
          <w:tcPr>
            <w:tcW w:w="0" w:type="auto"/>
          </w:tcPr>
          <w:p w14:paraId="452BF394" w14:textId="77777777" w:rsidR="00E71ADC" w:rsidRDefault="00000000">
            <w:pPr>
              <w:pStyle w:val="Compact"/>
            </w:pPr>
            <w:r>
              <w:t>Operation for (pushing) uploading information to consumer. An acknowledgement whether the data have been successfully received and/or processed can optionally be requested.</w:t>
            </w:r>
          </w:p>
        </w:tc>
      </w:tr>
      <w:tr w:rsidR="00E71ADC" w14:paraId="43574349" w14:textId="77777777">
        <w:tc>
          <w:tcPr>
            <w:tcW w:w="0" w:type="auto"/>
          </w:tcPr>
          <w:p w14:paraId="370A366A" w14:textId="77777777" w:rsidR="00E71ADC" w:rsidRDefault="00000000">
            <w:pPr>
              <w:pStyle w:val="Compact"/>
            </w:pPr>
            <w:r>
              <w:t>SUBSCRIPTION</w:t>
            </w:r>
          </w:p>
        </w:tc>
        <w:tc>
          <w:tcPr>
            <w:tcW w:w="0" w:type="auto"/>
          </w:tcPr>
          <w:p w14:paraId="1DD658DA" w14:textId="77777777" w:rsidR="00E71ADC" w:rsidRDefault="00000000">
            <w:pPr>
              <w:pStyle w:val="Compact"/>
            </w:pPr>
            <w:r>
              <w:t>Subscription</w:t>
            </w:r>
          </w:p>
        </w:tc>
        <w:tc>
          <w:tcPr>
            <w:tcW w:w="0" w:type="auto"/>
          </w:tcPr>
          <w:p w14:paraId="431B5C97" w14:textId="77777777" w:rsidR="00E71ADC" w:rsidRDefault="00000000">
            <w:pPr>
              <w:pStyle w:val="Compact"/>
            </w:pPr>
            <w:r>
              <w:t>ONE_WAY</w:t>
            </w:r>
          </w:p>
        </w:tc>
        <w:tc>
          <w:tcPr>
            <w:tcW w:w="0" w:type="auto"/>
          </w:tcPr>
          <w:p w14:paraId="0BBBEBF1" w14:textId="77777777" w:rsidR="00E71ADC" w:rsidRDefault="00000000">
            <w:pPr>
              <w:pStyle w:val="Compact"/>
            </w:pPr>
            <w:r>
              <w:t>Operation for notification from subscription events. The implementation of a separate subscription notification operation on the AtoN Service clients is not necessarily required, depending on the choice of the underlying technology. When the subscription status information can be embedded onto the data upload operation, this operation may be omitted.</w:t>
            </w:r>
          </w:p>
        </w:tc>
      </w:tr>
    </w:tbl>
    <w:p w14:paraId="05BD0CFB" w14:textId="77777777" w:rsidR="00E71ADC" w:rsidRDefault="00000000">
      <w:pPr>
        <w:pStyle w:val="Heading2"/>
      </w:pPr>
      <w:bookmarkStart w:id="55" w:name="_8ec60c03d81b264660dc44fa5935218694efd0d"/>
      <w:bookmarkStart w:id="56" w:name="_Toc242095863"/>
      <w:bookmarkEnd w:id="49"/>
      <w:r>
        <w:t>Service Operations</w:t>
      </w:r>
      <w:bookmarkEnd w:id="56"/>
    </w:p>
    <w:p w14:paraId="40A7BB45" w14:textId="77777777" w:rsidR="00E71ADC" w:rsidRDefault="00000000">
      <w:pPr>
        <w:pStyle w:val="FirstParagraph"/>
      </w:pPr>
      <w:r>
        <w:t>This section describes the details of each service operation, along with the relevant parameter definitions. The enhanced AtoN Information is mainly provided by a service provider and is requested from a service consumer via the interfaces of the service provider. However, requirement MS2-FR005 states that a consumer must also be able to subscribe to updates of the service information. On the technical level, this may be realized in different ways. For example, the SECOM standard [5] requires the consumer to expose interfaces, to which new information can be pushed directly. Other technical designs may use a message broker as a middleware between consumer and provider, such that the consumer must not expose any public interfaces. For this reason, the relevant consumer operations are modelled separately at the end of this section and may be implemented by other technical means as the service provider’s operations.</w:t>
      </w:r>
    </w:p>
    <w:p w14:paraId="7DC827D8" w14:textId="77777777" w:rsidR="00E71ADC" w:rsidRDefault="00000000">
      <w:pPr>
        <w:pStyle w:val="BodyText"/>
      </w:pPr>
      <w:r>
        <w:t xml:space="preserve">To ensure the integrity of the transmitted information, responses or requests from the service provider must be signed digitally by the service provider, independently from the signature that is applied to the S-201 dataset itself. </w:t>
      </w:r>
      <w:r>
        <w:lastRenderedPageBreak/>
        <w:t>The transmitted data may also be encrypted for transport. The authentication mechanism for service consumers is left as an implementation decision to the service provider.</w:t>
      </w:r>
    </w:p>
    <w:p w14:paraId="02AD8B40" w14:textId="77777777" w:rsidR="00E71ADC" w:rsidRDefault="00000000">
      <w:pPr>
        <w:pStyle w:val="BodyText"/>
      </w:pPr>
      <w:r>
        <w:t>Furthermore, operations that are used internally by an Enhanced AtoN Information service provider to transfer enhanced AtoN information datasets from an internal information management system to the specified service are not discussed, as they are specific to those systems and not relevant for consumers of the service.</w:t>
      </w:r>
    </w:p>
    <w:p w14:paraId="56C3BA70" w14:textId="77777777" w:rsidR="00E71ADC" w:rsidRDefault="00000000">
      <w:pPr>
        <w:pStyle w:val="BodyText"/>
      </w:pPr>
      <w:r>
        <w:t>This section covers only the static design description, while the dynamic design (behaviour) is described in Section 7. The operations are designed to be compliant to the SECOM standard on a basic level. However, the SECOM standard explicitly prescribes the usage of certain technologies (such as REST). Therefore, this service specification provides an abstraction layer above SECOM that makes it possible to also realize the operations with different technology stacks.</w:t>
      </w:r>
    </w:p>
    <w:p w14:paraId="2DD450A1" w14:textId="77777777" w:rsidR="00E71ADC" w:rsidRDefault="00000000">
      <w:pPr>
        <w:pStyle w:val="Heading3"/>
      </w:pPr>
      <w:bookmarkStart w:id="57" w:name="_1d9eb138c247f2be468b221ee477c5d4f6f2a1f"/>
      <w:bookmarkStart w:id="58" w:name="_Toc242095864"/>
      <w:r>
        <w:t>Get Operation</w:t>
      </w:r>
      <w:bookmarkEnd w:id="58"/>
    </w:p>
    <w:p w14:paraId="4525F738" w14:textId="77777777" w:rsidR="00E71ADC" w:rsidRDefault="00000000">
      <w:pPr>
        <w:pStyle w:val="FirstParagraph"/>
      </w:pPr>
      <w:r>
        <w:t xml:space="preserve">The </w:t>
      </w:r>
      <w:r>
        <w:rPr>
          <w:i/>
          <w:iCs/>
        </w:rPr>
        <w:t>Get</w:t>
      </w:r>
      <w:r>
        <w:t xml:space="preserve"> operation is used by service consumers for filtering and retrieving enhanced AtoN information from a service provider, e.g. S-201 datasets that are applicable for a specified geographical area. The consumer can also filter the requested S-201 dataset results by a specific dataset reference identifier, a time period etc.</w:t>
      </w:r>
    </w:p>
    <w:p w14:paraId="5C8A0B2A" w14:textId="77777777" w:rsidR="00E71ADC" w:rsidRDefault="00000000">
      <w:pPr>
        <w:pStyle w:val="CaptionedFigure"/>
      </w:pPr>
      <w:bookmarkStart w:id="59" w:name="_504ba3b37c3b80fc806851828d5f3dcf9d507eb"/>
      <w:r>
        <w:rPr>
          <w:noProof/>
        </w:rPr>
        <w:drawing>
          <wp:inline distT="0" distB="0" distL="0" distR="0" wp14:anchorId="4EED289B" wp14:editId="7B3BAEF4">
            <wp:extent cx="4857750" cy="1412204"/>
            <wp:effectExtent l="0" t="0" r="0" b="0"/>
            <wp:docPr id="3" name="Picture" descr="Get operation."/>
            <wp:cNvGraphicFramePr/>
            <a:graphic xmlns:a="http://schemas.openxmlformats.org/drawingml/2006/main">
              <a:graphicData uri="http://schemas.openxmlformats.org/drawingml/2006/picture">
                <pic:pic xmlns:pic="http://schemas.openxmlformats.org/drawingml/2006/picture">
                  <pic:nvPicPr>
                    <pic:cNvPr id="3" name="Picture" descr="source/guideline/../../resources/GetInterface.png"/>
                    <pic:cNvPicPr>
                      <a:picLocks noChangeAspect="1" noChangeArrowheads="1"/>
                    </pic:cNvPicPr>
                  </pic:nvPicPr>
                  <pic:blipFill>
                    <a:blip r:embed="rId28"/>
                    <a:stretch>
                      <a:fillRect/>
                    </a:stretch>
                  </pic:blipFill>
                  <pic:spPr bwMode="auto">
                    <a:xfrm>
                      <a:off x="0" y="0"/>
                      <a:ext cx="4857750" cy="1412204"/>
                    </a:xfrm>
                    <a:prstGeom prst="rect">
                      <a:avLst/>
                    </a:prstGeom>
                    <a:noFill/>
                    <a:ln w="9525">
                      <a:noFill/>
                      <a:headEnd/>
                      <a:tailEnd/>
                    </a:ln>
                  </pic:spPr>
                </pic:pic>
              </a:graphicData>
            </a:graphic>
          </wp:inline>
        </w:drawing>
      </w:r>
    </w:p>
    <w:p w14:paraId="36DB32B5" w14:textId="77777777" w:rsidR="00E71ADC" w:rsidRDefault="00000000">
      <w:pPr>
        <w:pStyle w:val="ImageCaption"/>
      </w:pPr>
      <w:bookmarkStart w:id="60" w:name="_Toc242095900"/>
      <w:r>
        <w:t>Get operation.</w:t>
      </w:r>
      <w:bookmarkEnd w:id="60"/>
    </w:p>
    <w:p w14:paraId="12352B8A" w14:textId="77777777" w:rsidR="00E71ADC" w:rsidRDefault="00000000">
      <w:pPr>
        <w:pStyle w:val="Heading4"/>
      </w:pPr>
      <w:bookmarkStart w:id="61" w:name="_3239f3487a37edf19db784eb271e64b3b5f2c7c"/>
      <w:bookmarkEnd w:id="51"/>
      <w:r>
        <w:t>Operation Functionality</w:t>
      </w:r>
    </w:p>
    <w:p w14:paraId="1CD4022F" w14:textId="77777777" w:rsidR="00E71ADC" w:rsidRDefault="00000000">
      <w:pPr>
        <w:pStyle w:val="FirstParagraph"/>
      </w:pPr>
      <w:r>
        <w:t xml:space="preserve">This operation can be used for filtering and retrieving S-201 datasets from a service provider. It follows a request-response paradigm (REQUEST_RESPONSE), where a client queries the server, and based on a set of filtering criteria, receives an appropriate response back. The service response must be packaged as an S-100 Exchange Set, which contains all applicable S-201 datasets that match all the provided operation parameters, alongside any necessary metadata and support information. Other packaging formats are not supported by ECDIS and therefore are not mandated in this service specification. Each S-201 dataset contained in the response should include all enhanced AtoN information entries allocated to it, </w:t>
      </w:r>
      <w:r>
        <w:rPr>
          <w:b/>
          <w:bCs/>
        </w:rPr>
        <w:t>not</w:t>
      </w:r>
      <w:r>
        <w:t xml:space="preserve"> just the ones matching the operation parameters.</w:t>
      </w:r>
    </w:p>
    <w:p w14:paraId="0C648FA2" w14:textId="77777777" w:rsidR="00E71ADC" w:rsidRDefault="00000000">
      <w:pPr>
        <w:pStyle w:val="BodyText"/>
      </w:pPr>
      <w:r>
        <w:t>If multiple operation parameters are provided, only the results matching all requested filters are to be returned. If no operation parameters are provided, the response should include all datasets currently made available by the service provider. A service provider may offer different encodings of enhanced AtoN information in accordance with the S-100 standard, which can be specified as an enumeration (XML/GML or binary). A service provider is required to offer at least one of the available encodings.</w:t>
      </w:r>
    </w:p>
    <w:p w14:paraId="08E6E311" w14:textId="77777777" w:rsidR="00E71ADC" w:rsidRDefault="00000000">
      <w:pPr>
        <w:pStyle w:val="BodyText"/>
      </w:pPr>
      <w:r>
        <w:t xml:space="preserve">All instances of services providing enhanced AtoN information are required to support all operation parameters presented in the following Section 4.2.1.2, apart from the </w:t>
      </w:r>
      <w:r>
        <w:rPr>
          <w:rStyle w:val="VerbatimChar"/>
        </w:rPr>
        <w:t>&lt;TimePeriod&gt;</w:t>
      </w:r>
      <w:r>
        <w:t xml:space="preserve"> and </w:t>
      </w:r>
      <w:r>
        <w:rPr>
          <w:rStyle w:val="VerbatimChar"/>
        </w:rPr>
        <w:t>&lt;AtoNDetails&gt;</w:t>
      </w:r>
      <w:r>
        <w:t xml:space="preserve"> which are optional. The specific parameter encodings are left to be decided by the service technical design specification. In most cases the parameter description provides an adequate definition.</w:t>
      </w:r>
    </w:p>
    <w:p w14:paraId="1CA1B2E8" w14:textId="77777777" w:rsidR="00E71ADC" w:rsidRDefault="00000000">
      <w:pPr>
        <w:pStyle w:val="BodyText"/>
      </w:pPr>
      <w:r>
        <w:t xml:space="preserve">The service also supports the AtoN status indication feature type included in the S-201 data product specification, as described in Use-Case #1. By default, the service will return S-201 datasets that only contain the status indication information for the involved AtoN. If the service provider however chooses so, the optional </w:t>
      </w:r>
      <w:r>
        <w:rPr>
          <w:rStyle w:val="VerbatimChar"/>
        </w:rPr>
        <w:t>&lt;AtoNDetails&gt;</w:t>
      </w:r>
      <w:r>
        <w:t xml:space="preserve"> input parameter can be utilised to provide access to the full enhanced AtoN information (including the AtoN structure/equipment features) for the respective datasets. These are expected to be much larger and the AtoN </w:t>
      </w:r>
      <w:r>
        <w:lastRenderedPageBreak/>
        <w:t>feature information may not be processed for portrayal on the ECDIS. If the full AtoN feature information is requested but not available, the service should respond with the default datasets containing only the AtoN status indication features.</w:t>
      </w:r>
    </w:p>
    <w:p w14:paraId="02593CCF" w14:textId="77777777" w:rsidR="00E71ADC" w:rsidRDefault="00000000">
      <w:pPr>
        <w:pStyle w:val="Heading4"/>
      </w:pPr>
      <w:bookmarkStart w:id="62" w:name="_78b6615e0a365e3aacd7bcbc1e1850784773a51"/>
      <w:bookmarkEnd w:id="55"/>
      <w:r>
        <w:t>Operation Parameters</w:t>
      </w:r>
    </w:p>
    <w:p w14:paraId="347E9276" w14:textId="77777777" w:rsidR="00E71ADC" w:rsidRDefault="00000000">
      <w:pPr>
        <w:pStyle w:val="TableCaption"/>
      </w:pPr>
      <w:bookmarkStart w:id="63" w:name="_7d995f6f43475c240ab80a8469096d7a07175d9"/>
      <w:bookmarkStart w:id="64" w:name="_Toc242095885"/>
      <w:r>
        <w:t>The Get Operation Parameters.</w:t>
      </w:r>
      <w:bookmarkEnd w:id="64"/>
    </w:p>
    <w:tbl>
      <w:tblPr>
        <w:tblStyle w:val="Table"/>
        <w:tblW w:w="5000" w:type="pct"/>
        <w:tblLayout w:type="fixed"/>
        <w:tblLook w:val="0020" w:firstRow="1" w:lastRow="0" w:firstColumn="0" w:lastColumn="0" w:noHBand="0" w:noVBand="0"/>
        <w:tblCaption w:val="The Get Operation Parameters."/>
      </w:tblPr>
      <w:tblGrid>
        <w:gridCol w:w="2548"/>
        <w:gridCol w:w="2549"/>
        <w:gridCol w:w="2549"/>
        <w:gridCol w:w="2549"/>
      </w:tblGrid>
      <w:tr w:rsidR="00E71ADC" w14:paraId="78861A32"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76C59AB9" w14:textId="77777777" w:rsidR="00E71ADC" w:rsidRDefault="00000000">
            <w:pPr>
              <w:pStyle w:val="Compact"/>
            </w:pPr>
            <w:r>
              <w:t>Parameters (in)</w:t>
            </w:r>
          </w:p>
        </w:tc>
        <w:tc>
          <w:tcPr>
            <w:tcW w:w="1980" w:type="dxa"/>
          </w:tcPr>
          <w:p w14:paraId="15CDA498" w14:textId="77777777" w:rsidR="00E71ADC" w:rsidRDefault="00000000">
            <w:pPr>
              <w:pStyle w:val="Compact"/>
            </w:pPr>
            <w:r>
              <w:t>Encoding</w:t>
            </w:r>
          </w:p>
        </w:tc>
        <w:tc>
          <w:tcPr>
            <w:tcW w:w="1980" w:type="dxa"/>
          </w:tcPr>
          <w:p w14:paraId="0D301897" w14:textId="77777777" w:rsidR="00E71ADC" w:rsidRDefault="00000000">
            <w:pPr>
              <w:pStyle w:val="Compact"/>
            </w:pPr>
            <w:r>
              <w:t>Mult.</w:t>
            </w:r>
          </w:p>
        </w:tc>
        <w:tc>
          <w:tcPr>
            <w:tcW w:w="1980" w:type="dxa"/>
          </w:tcPr>
          <w:p w14:paraId="092C0345" w14:textId="77777777" w:rsidR="00E71ADC" w:rsidRDefault="00000000">
            <w:pPr>
              <w:pStyle w:val="Compact"/>
            </w:pPr>
            <w:r>
              <w:t>Description</w:t>
            </w:r>
          </w:p>
        </w:tc>
      </w:tr>
      <w:tr w:rsidR="00E71ADC" w14:paraId="527F79DB" w14:textId="77777777">
        <w:tc>
          <w:tcPr>
            <w:tcW w:w="1980" w:type="dxa"/>
          </w:tcPr>
          <w:p w14:paraId="4BA7EFD7" w14:textId="77777777" w:rsidR="00E71ADC" w:rsidRDefault="00000000">
            <w:pPr>
              <w:pStyle w:val="Compact"/>
            </w:pPr>
            <w:r>
              <w:t>DatasetReference</w:t>
            </w:r>
          </w:p>
        </w:tc>
        <w:tc>
          <w:tcPr>
            <w:tcW w:w="1980" w:type="dxa"/>
          </w:tcPr>
          <w:p w14:paraId="04A8F8BB" w14:textId="77777777" w:rsidR="00E71ADC" w:rsidRDefault="00000000">
            <w:pPr>
              <w:pStyle w:val="Compact"/>
            </w:pPr>
            <w:r>
              <w:t>See technical design</w:t>
            </w:r>
          </w:p>
        </w:tc>
        <w:tc>
          <w:tcPr>
            <w:tcW w:w="1980" w:type="dxa"/>
          </w:tcPr>
          <w:p w14:paraId="615AC771" w14:textId="77777777" w:rsidR="00E71ADC" w:rsidRDefault="00000000">
            <w:pPr>
              <w:pStyle w:val="Compact"/>
            </w:pPr>
            <w:r>
              <w:t>0..1</w:t>
            </w:r>
          </w:p>
        </w:tc>
        <w:tc>
          <w:tcPr>
            <w:tcW w:w="1980" w:type="dxa"/>
          </w:tcPr>
          <w:p w14:paraId="72A22C04" w14:textId="77777777" w:rsidR="00E71ADC" w:rsidRDefault="00000000">
            <w:pPr>
              <w:pStyle w:val="Compact"/>
            </w:pPr>
            <w:r>
              <w:t>The dataset identifier of a specific S-201 dataset. A list of all supported references can be retrieved via Get Summary operation. If no references are provided, it’s up to the service to decide what to return.</w:t>
            </w:r>
          </w:p>
        </w:tc>
      </w:tr>
      <w:tr w:rsidR="00E71ADC" w14:paraId="3FED9EE6" w14:textId="77777777">
        <w:tc>
          <w:tcPr>
            <w:tcW w:w="1980" w:type="dxa"/>
          </w:tcPr>
          <w:p w14:paraId="7F72AFAE" w14:textId="77777777" w:rsidR="00E71ADC" w:rsidRDefault="00000000">
            <w:pPr>
              <w:pStyle w:val="Compact"/>
            </w:pPr>
            <w:r>
              <w:t>Geometry</w:t>
            </w:r>
          </w:p>
        </w:tc>
        <w:tc>
          <w:tcPr>
            <w:tcW w:w="1980" w:type="dxa"/>
          </w:tcPr>
          <w:p w14:paraId="6DCAA057" w14:textId="77777777" w:rsidR="00E71ADC" w:rsidRDefault="00000000">
            <w:pPr>
              <w:pStyle w:val="Compact"/>
            </w:pPr>
            <w:r>
              <w:t>See technical design</w:t>
            </w:r>
          </w:p>
        </w:tc>
        <w:tc>
          <w:tcPr>
            <w:tcW w:w="1980" w:type="dxa"/>
          </w:tcPr>
          <w:p w14:paraId="11762CCF" w14:textId="77777777" w:rsidR="00E71ADC" w:rsidRDefault="00000000">
            <w:pPr>
              <w:pStyle w:val="Compact"/>
            </w:pPr>
            <w:r>
              <w:t>0..1</w:t>
            </w:r>
          </w:p>
        </w:tc>
        <w:tc>
          <w:tcPr>
            <w:tcW w:w="1980" w:type="dxa"/>
          </w:tcPr>
          <w:p w14:paraId="7DA1B6C5" w14:textId="77777777" w:rsidR="00E71ADC" w:rsidRDefault="00000000">
            <w:pPr>
              <w:pStyle w:val="Compact"/>
            </w:pPr>
            <w:r>
              <w:t>Geometry condition for geolocated information objects. This can be used to filter on geometric shapes (e.g. filter enhanced AtoN information S-201 datasets by a bounding box).</w:t>
            </w:r>
          </w:p>
        </w:tc>
      </w:tr>
      <w:tr w:rsidR="00E71ADC" w14:paraId="10D20749" w14:textId="77777777">
        <w:tc>
          <w:tcPr>
            <w:tcW w:w="1980" w:type="dxa"/>
          </w:tcPr>
          <w:p w14:paraId="19F5B6CC" w14:textId="77777777" w:rsidR="00E71ADC" w:rsidRDefault="00000000">
            <w:pPr>
              <w:pStyle w:val="Compact"/>
            </w:pPr>
            <w:r>
              <w:t>unlocode</w:t>
            </w:r>
          </w:p>
        </w:tc>
        <w:tc>
          <w:tcPr>
            <w:tcW w:w="1980" w:type="dxa"/>
          </w:tcPr>
          <w:p w14:paraId="02727067" w14:textId="77777777" w:rsidR="00E71ADC" w:rsidRDefault="00000000">
            <w:pPr>
              <w:pStyle w:val="Compact"/>
            </w:pPr>
            <w:r>
              <w:t>See technical design</w:t>
            </w:r>
          </w:p>
        </w:tc>
        <w:tc>
          <w:tcPr>
            <w:tcW w:w="1980" w:type="dxa"/>
          </w:tcPr>
          <w:p w14:paraId="7B4ECD0C" w14:textId="77777777" w:rsidR="00E71ADC" w:rsidRDefault="00000000">
            <w:pPr>
              <w:pStyle w:val="Compact"/>
            </w:pPr>
            <w:r>
              <w:t>0..1</w:t>
            </w:r>
          </w:p>
        </w:tc>
        <w:tc>
          <w:tcPr>
            <w:tcW w:w="1980" w:type="dxa"/>
          </w:tcPr>
          <w:p w14:paraId="191D36F5" w14:textId="77777777" w:rsidR="00E71ADC" w:rsidRDefault="00000000">
            <w:pPr>
              <w:pStyle w:val="Compact"/>
            </w:pPr>
            <w:r>
              <w:t>UN/LOCODE (United Nations Code for Trade and Transport Locations) of a defined object (e.g., “CN” for China).</w:t>
            </w:r>
          </w:p>
        </w:tc>
      </w:tr>
      <w:tr w:rsidR="00E71ADC" w14:paraId="263DF460" w14:textId="77777777">
        <w:tc>
          <w:tcPr>
            <w:tcW w:w="1980" w:type="dxa"/>
          </w:tcPr>
          <w:p w14:paraId="646E2A6C" w14:textId="77777777" w:rsidR="00E71ADC" w:rsidRDefault="00000000">
            <w:pPr>
              <w:pStyle w:val="Compact"/>
            </w:pPr>
            <w:r>
              <w:t>TimePeriod (Optional)</w:t>
            </w:r>
          </w:p>
        </w:tc>
        <w:tc>
          <w:tcPr>
            <w:tcW w:w="1980" w:type="dxa"/>
          </w:tcPr>
          <w:p w14:paraId="715E6632" w14:textId="77777777" w:rsidR="00E71ADC" w:rsidRDefault="00000000">
            <w:pPr>
              <w:pStyle w:val="Compact"/>
            </w:pPr>
            <w:r>
              <w:t>See technical design</w:t>
            </w:r>
          </w:p>
        </w:tc>
        <w:tc>
          <w:tcPr>
            <w:tcW w:w="1980" w:type="dxa"/>
          </w:tcPr>
          <w:p w14:paraId="4D837AC2" w14:textId="77777777" w:rsidR="00E71ADC" w:rsidRDefault="00000000">
            <w:pPr>
              <w:pStyle w:val="Compact"/>
            </w:pPr>
            <w:r>
              <w:t>0..1</w:t>
            </w:r>
          </w:p>
        </w:tc>
        <w:tc>
          <w:tcPr>
            <w:tcW w:w="1980" w:type="dxa"/>
          </w:tcPr>
          <w:p w14:paraId="48094236" w14:textId="77777777" w:rsidR="00E71ADC" w:rsidRDefault="00000000">
            <w:pPr>
              <w:pStyle w:val="Compact"/>
            </w:pPr>
            <w:r>
              <w:t>An optional parameter denoting the time period (ValidFrom, ValidTo) in which a dataset is valid and becomes subject to changes. The service response is expected to encompass all modifications that occurred within the specified interval and should be provided in the form of complete datasets or delta files, adhering to the specifications outlined in the S-100 data model specification.</w:t>
            </w:r>
          </w:p>
        </w:tc>
      </w:tr>
      <w:tr w:rsidR="00E71ADC" w14:paraId="23A7F631" w14:textId="77777777">
        <w:tc>
          <w:tcPr>
            <w:tcW w:w="1980" w:type="dxa"/>
          </w:tcPr>
          <w:p w14:paraId="31D4C9CA" w14:textId="77777777" w:rsidR="00E71ADC" w:rsidRDefault="00000000">
            <w:pPr>
              <w:pStyle w:val="Compact"/>
            </w:pPr>
            <w:r>
              <w:t>AtoNDetails (Optional)</w:t>
            </w:r>
          </w:p>
        </w:tc>
        <w:tc>
          <w:tcPr>
            <w:tcW w:w="1980" w:type="dxa"/>
          </w:tcPr>
          <w:p w14:paraId="4B4E05BA" w14:textId="77777777" w:rsidR="00E71ADC" w:rsidRDefault="00000000">
            <w:pPr>
              <w:pStyle w:val="Compact"/>
            </w:pPr>
            <w:r>
              <w:t>Boolean</w:t>
            </w:r>
          </w:p>
        </w:tc>
        <w:tc>
          <w:tcPr>
            <w:tcW w:w="1980" w:type="dxa"/>
          </w:tcPr>
          <w:p w14:paraId="0B3E8505" w14:textId="77777777" w:rsidR="00E71ADC" w:rsidRDefault="00000000">
            <w:pPr>
              <w:pStyle w:val="Compact"/>
            </w:pPr>
            <w:r>
              <w:t>0..1</w:t>
            </w:r>
          </w:p>
        </w:tc>
        <w:tc>
          <w:tcPr>
            <w:tcW w:w="1980" w:type="dxa"/>
          </w:tcPr>
          <w:p w14:paraId="7881B920" w14:textId="77777777" w:rsidR="00E71ADC" w:rsidRDefault="00000000">
            <w:pPr>
              <w:pStyle w:val="Compact"/>
            </w:pPr>
            <w:r>
              <w:t>Requests that the service returns datasets which include the latest AtoN design state details (not just the default AtoN status indication features), if available.</w:t>
            </w:r>
          </w:p>
        </w:tc>
      </w:tr>
    </w:tbl>
    <w:p w14:paraId="7D9C6920" w14:textId="77777777" w:rsidR="00E71ADC" w:rsidRDefault="00000000">
      <w:pPr>
        <w:pStyle w:val="Heading3"/>
      </w:pPr>
      <w:bookmarkStart w:id="65" w:name="_6d0b26ff9f6bb30d28900da73f0b714df9b8eec"/>
      <w:bookmarkStart w:id="66" w:name="_Toc242095865"/>
      <w:bookmarkEnd w:id="57"/>
      <w:bookmarkEnd w:id="59"/>
      <w:bookmarkEnd w:id="61"/>
      <w:r>
        <w:lastRenderedPageBreak/>
        <w:t>Get Summary Operation</w:t>
      </w:r>
      <w:bookmarkEnd w:id="66"/>
    </w:p>
    <w:p w14:paraId="7479DAB8" w14:textId="77777777" w:rsidR="00E71ADC" w:rsidRDefault="00000000">
      <w:pPr>
        <w:pStyle w:val="FirstParagraph"/>
      </w:pPr>
      <w:r>
        <w:t xml:space="preserve">The </w:t>
      </w:r>
      <w:r>
        <w:rPr>
          <w:i/>
          <w:iCs/>
        </w:rPr>
        <w:t>Get Summary operation</w:t>
      </w:r>
      <w:r>
        <w:t xml:space="preserve"> is used by service consumers for retrieving a list of summary information (without the actual dataset contents), in order to discover which S-201 datasets are being currently made available (and are accessible) by a service provider. The service provider will respond by listing the available (and accessible) S-201 datasets that are of interest to the consumer. This list should only contain summary information on each dataset, not the dataset content itself. The dataset reference identifiers can be used to retrieve the full S-201 datasets via the Get operation. The consumer can filter the requested S-201 dataset summary results by a specific dataset identifier reference, a geometry, a time period etc.</w:t>
      </w:r>
    </w:p>
    <w:p w14:paraId="01C8CCD8" w14:textId="77777777" w:rsidR="00E71ADC" w:rsidRDefault="00000000">
      <w:pPr>
        <w:pStyle w:val="CaptionedFigure"/>
      </w:pPr>
      <w:bookmarkStart w:id="67" w:name="_32203145c7b157dcfcb13050112c246bcbf7c70"/>
      <w:r>
        <w:rPr>
          <w:noProof/>
        </w:rPr>
        <w:drawing>
          <wp:inline distT="0" distB="0" distL="0" distR="0" wp14:anchorId="3BB3C605" wp14:editId="7AC07F8F">
            <wp:extent cx="6477000" cy="1865063"/>
            <wp:effectExtent l="0" t="0" r="0" b="0"/>
            <wp:docPr id="4" name="Picture" descr="Get Summary operation."/>
            <wp:cNvGraphicFramePr/>
            <a:graphic xmlns:a="http://schemas.openxmlformats.org/drawingml/2006/main">
              <a:graphicData uri="http://schemas.openxmlformats.org/drawingml/2006/picture">
                <pic:pic xmlns:pic="http://schemas.openxmlformats.org/drawingml/2006/picture">
                  <pic:nvPicPr>
                    <pic:cNvPr id="4" name="Picture" descr="source/guideline/../../resources/GetSummaryInterface.png"/>
                    <pic:cNvPicPr>
                      <a:picLocks noChangeAspect="1" noChangeArrowheads="1"/>
                    </pic:cNvPicPr>
                  </pic:nvPicPr>
                  <pic:blipFill>
                    <a:blip r:embed="rId29"/>
                    <a:stretch>
                      <a:fillRect/>
                    </a:stretch>
                  </pic:blipFill>
                  <pic:spPr bwMode="auto">
                    <a:xfrm>
                      <a:off x="0" y="0"/>
                      <a:ext cx="6477000" cy="1865063"/>
                    </a:xfrm>
                    <a:prstGeom prst="rect">
                      <a:avLst/>
                    </a:prstGeom>
                    <a:noFill/>
                    <a:ln w="9525">
                      <a:noFill/>
                      <a:headEnd/>
                      <a:tailEnd/>
                    </a:ln>
                  </pic:spPr>
                </pic:pic>
              </a:graphicData>
            </a:graphic>
          </wp:inline>
        </w:drawing>
      </w:r>
    </w:p>
    <w:p w14:paraId="0F6721A9" w14:textId="77777777" w:rsidR="00E71ADC" w:rsidRDefault="00000000">
      <w:pPr>
        <w:pStyle w:val="ImageCaption"/>
      </w:pPr>
      <w:bookmarkStart w:id="68" w:name="_Toc242095901"/>
      <w:r>
        <w:t>Get Summary operation.</w:t>
      </w:r>
      <w:bookmarkEnd w:id="68"/>
    </w:p>
    <w:p w14:paraId="028303CD" w14:textId="77777777" w:rsidR="00E71ADC" w:rsidRDefault="00000000">
      <w:pPr>
        <w:pStyle w:val="Heading4"/>
      </w:pPr>
      <w:bookmarkStart w:id="69" w:name="_5baf5dee8c3a12ade3116800037190120a5b88d"/>
      <w:bookmarkEnd w:id="62"/>
      <w:r>
        <w:t>Operation Functionality</w:t>
      </w:r>
    </w:p>
    <w:p w14:paraId="77358AD0" w14:textId="77777777" w:rsidR="00E71ADC" w:rsidRDefault="00000000">
      <w:pPr>
        <w:pStyle w:val="FirstParagraph"/>
      </w:pPr>
      <w:r>
        <w:t xml:space="preserve">The operation can be used for filtering and retrieving the summary information regarding the S-201 datasets that are currently made available and accessible by the service provider. This operation is typically used to conserve bandwidth and make the query process faster, by initially retrieving only the summary information, and then only querying specific datasets from the service provider via the Get operation. It follows a request-response paradigm (REQUEST_RESPONSE), where a client queries the server, and based on a set of filtering criteria receives an appropriate response back. The server response should be formatted as a list of dataset summary objects. Each object contained in the list should </w:t>
      </w:r>
      <w:r>
        <w:rPr>
          <w:b/>
          <w:bCs/>
        </w:rPr>
        <w:t>only</w:t>
      </w:r>
      <w:r>
        <w:t xml:space="preserve"> include summary information on the corresponding S-201 dataset, such as the data reference identifier, the status, a short description and the dataset size.</w:t>
      </w:r>
    </w:p>
    <w:p w14:paraId="5C1B485F" w14:textId="77777777" w:rsidR="00E71ADC" w:rsidRDefault="00000000">
      <w:pPr>
        <w:pStyle w:val="BodyText"/>
      </w:pPr>
      <w:r>
        <w:t>If multiple operation parameters are provided, only the results that match all requested filters should be included. If no parameters are given, the return should include all available datasets.</w:t>
      </w:r>
    </w:p>
    <w:p w14:paraId="1DB44A31" w14:textId="77777777" w:rsidR="00E71ADC" w:rsidRDefault="00000000">
      <w:pPr>
        <w:pStyle w:val="BodyText"/>
      </w:pPr>
      <w:r>
        <w:t xml:space="preserve">All instances of services providing enhanced AtoN information are required to support all operation parameters presented in the following Section 4.2.2.2, apart from the </w:t>
      </w:r>
      <w:r>
        <w:rPr>
          <w:rStyle w:val="VerbatimChar"/>
        </w:rPr>
        <w:t>&lt;TimePeriod&gt;</w:t>
      </w:r>
      <w:r>
        <w:t xml:space="preserve"> and </w:t>
      </w:r>
      <w:r>
        <w:rPr>
          <w:rStyle w:val="VerbatimChar"/>
        </w:rPr>
        <w:t>&lt;AtoNDetails&gt;</w:t>
      </w:r>
      <w:r>
        <w:t xml:space="preserve"> which are optional. The specific encodings are left to be decided by the respective service technical design specification. In most cases the parameter description provides an adequate definition.</w:t>
      </w:r>
    </w:p>
    <w:p w14:paraId="288EFFEF" w14:textId="77777777" w:rsidR="00E71ADC" w:rsidRDefault="00000000">
      <w:pPr>
        <w:pStyle w:val="BodyText"/>
      </w:pPr>
      <w:r>
        <w:t xml:space="preserve">As discussed previously, the service also supports the AtoN status indication feature type included in S-201, also covering Use-Case #1. Therefore, by default the service will return the summary information of the S-201 datasets that only contain the status indication information for the included AtoN. If the service provider however chooses so, the optional </w:t>
      </w:r>
      <w:r>
        <w:rPr>
          <w:rStyle w:val="VerbatimChar"/>
        </w:rPr>
        <w:t>&lt;AtoNDetails&gt;</w:t>
      </w:r>
      <w:r>
        <w:t xml:space="preserve"> input parameter can be utilised to return the summary information for the full datasets, including the AtoN structure/equipment features. If the full AtoN feature information is requested but not available, the service should respond with the summary of the default datasets containing only the AtoN status indication features.</w:t>
      </w:r>
    </w:p>
    <w:p w14:paraId="10FD4E44" w14:textId="77777777" w:rsidR="00E71ADC" w:rsidRDefault="00000000">
      <w:pPr>
        <w:pStyle w:val="Heading4"/>
      </w:pPr>
      <w:bookmarkStart w:id="70" w:name="_bc9448d5941feda8033efdd14be604d16d06e93"/>
      <w:bookmarkEnd w:id="63"/>
      <w:r>
        <w:lastRenderedPageBreak/>
        <w:t>Operation Parameters</w:t>
      </w:r>
    </w:p>
    <w:p w14:paraId="60B04365" w14:textId="77777777" w:rsidR="00E71ADC" w:rsidRDefault="00000000">
      <w:pPr>
        <w:pStyle w:val="TableCaption"/>
      </w:pPr>
      <w:bookmarkStart w:id="71" w:name="_005fd55acdcdf87d2c3df18ffc3c98e2b3baee3"/>
      <w:bookmarkStart w:id="72" w:name="_Toc242095886"/>
      <w:r>
        <w:t>The Get Summary Operation Parameters.</w:t>
      </w:r>
      <w:bookmarkEnd w:id="72"/>
    </w:p>
    <w:tbl>
      <w:tblPr>
        <w:tblStyle w:val="Table"/>
        <w:tblW w:w="5000" w:type="pct"/>
        <w:tblLayout w:type="fixed"/>
        <w:tblLook w:val="0020" w:firstRow="1" w:lastRow="0" w:firstColumn="0" w:lastColumn="0" w:noHBand="0" w:noVBand="0"/>
        <w:tblCaption w:val="The Get Summary Operation Parameters."/>
      </w:tblPr>
      <w:tblGrid>
        <w:gridCol w:w="2548"/>
        <w:gridCol w:w="2549"/>
        <w:gridCol w:w="2549"/>
        <w:gridCol w:w="2549"/>
      </w:tblGrid>
      <w:tr w:rsidR="00E71ADC" w14:paraId="4DA1BF15"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65165879" w14:textId="77777777" w:rsidR="00E71ADC" w:rsidRDefault="00000000">
            <w:pPr>
              <w:pStyle w:val="Compact"/>
            </w:pPr>
            <w:r>
              <w:t>Parameters (in)</w:t>
            </w:r>
          </w:p>
        </w:tc>
        <w:tc>
          <w:tcPr>
            <w:tcW w:w="1980" w:type="dxa"/>
          </w:tcPr>
          <w:p w14:paraId="254D118B" w14:textId="77777777" w:rsidR="00E71ADC" w:rsidRDefault="00000000">
            <w:pPr>
              <w:pStyle w:val="Compact"/>
            </w:pPr>
            <w:r>
              <w:t>Encoding</w:t>
            </w:r>
          </w:p>
        </w:tc>
        <w:tc>
          <w:tcPr>
            <w:tcW w:w="1980" w:type="dxa"/>
          </w:tcPr>
          <w:p w14:paraId="18A6D771" w14:textId="77777777" w:rsidR="00E71ADC" w:rsidRDefault="00000000">
            <w:pPr>
              <w:pStyle w:val="Compact"/>
            </w:pPr>
            <w:r>
              <w:t>Mult.</w:t>
            </w:r>
          </w:p>
        </w:tc>
        <w:tc>
          <w:tcPr>
            <w:tcW w:w="1980" w:type="dxa"/>
          </w:tcPr>
          <w:p w14:paraId="53A3CAA3" w14:textId="77777777" w:rsidR="00E71ADC" w:rsidRDefault="00000000">
            <w:pPr>
              <w:pStyle w:val="Compact"/>
            </w:pPr>
            <w:r>
              <w:t>Description</w:t>
            </w:r>
          </w:p>
        </w:tc>
      </w:tr>
      <w:tr w:rsidR="00E71ADC" w14:paraId="0F20958A" w14:textId="77777777">
        <w:tc>
          <w:tcPr>
            <w:tcW w:w="1980" w:type="dxa"/>
          </w:tcPr>
          <w:p w14:paraId="512C69BC" w14:textId="77777777" w:rsidR="00E71ADC" w:rsidRDefault="00000000">
            <w:pPr>
              <w:pStyle w:val="Compact"/>
            </w:pPr>
            <w:r>
              <w:t>DatasetReference</w:t>
            </w:r>
          </w:p>
        </w:tc>
        <w:tc>
          <w:tcPr>
            <w:tcW w:w="1980" w:type="dxa"/>
          </w:tcPr>
          <w:p w14:paraId="2FE13AB9" w14:textId="77777777" w:rsidR="00E71ADC" w:rsidRDefault="00000000">
            <w:pPr>
              <w:pStyle w:val="Compact"/>
            </w:pPr>
            <w:r>
              <w:t>See technical design</w:t>
            </w:r>
          </w:p>
        </w:tc>
        <w:tc>
          <w:tcPr>
            <w:tcW w:w="1980" w:type="dxa"/>
          </w:tcPr>
          <w:p w14:paraId="6E96947C" w14:textId="77777777" w:rsidR="00E71ADC" w:rsidRDefault="00000000">
            <w:pPr>
              <w:pStyle w:val="Compact"/>
            </w:pPr>
            <w:r>
              <w:t>0..1</w:t>
            </w:r>
          </w:p>
        </w:tc>
        <w:tc>
          <w:tcPr>
            <w:tcW w:w="1980" w:type="dxa"/>
          </w:tcPr>
          <w:p w14:paraId="21CB4B9D" w14:textId="77777777" w:rsidR="00E71ADC" w:rsidRDefault="00000000">
            <w:pPr>
              <w:pStyle w:val="Compact"/>
            </w:pPr>
            <w:r>
              <w:t>The dataset identifier of a specific S-201 dataset. If no references are provided, it’s up to the service to decide what to return.</w:t>
            </w:r>
          </w:p>
        </w:tc>
      </w:tr>
      <w:tr w:rsidR="00E71ADC" w14:paraId="455EE72F" w14:textId="77777777">
        <w:tc>
          <w:tcPr>
            <w:tcW w:w="1980" w:type="dxa"/>
          </w:tcPr>
          <w:p w14:paraId="701577E4" w14:textId="77777777" w:rsidR="00E71ADC" w:rsidRDefault="00000000">
            <w:pPr>
              <w:pStyle w:val="Compact"/>
            </w:pPr>
            <w:r>
              <w:t>Geometry</w:t>
            </w:r>
          </w:p>
        </w:tc>
        <w:tc>
          <w:tcPr>
            <w:tcW w:w="1980" w:type="dxa"/>
          </w:tcPr>
          <w:p w14:paraId="02A55ED7" w14:textId="77777777" w:rsidR="00E71ADC" w:rsidRDefault="00000000">
            <w:pPr>
              <w:pStyle w:val="Compact"/>
            </w:pPr>
            <w:r>
              <w:t>See technical design</w:t>
            </w:r>
          </w:p>
        </w:tc>
        <w:tc>
          <w:tcPr>
            <w:tcW w:w="1980" w:type="dxa"/>
          </w:tcPr>
          <w:p w14:paraId="1D341F12" w14:textId="77777777" w:rsidR="00E71ADC" w:rsidRDefault="00000000">
            <w:pPr>
              <w:pStyle w:val="Compact"/>
            </w:pPr>
            <w:r>
              <w:t>0..1</w:t>
            </w:r>
          </w:p>
        </w:tc>
        <w:tc>
          <w:tcPr>
            <w:tcW w:w="1980" w:type="dxa"/>
          </w:tcPr>
          <w:p w14:paraId="7398BB86" w14:textId="77777777" w:rsidR="00E71ADC" w:rsidRDefault="00000000">
            <w:pPr>
              <w:pStyle w:val="Compact"/>
            </w:pPr>
            <w:r>
              <w:t>Geometry condition for geolocated information objects. This can be used to filter on geometric shapes (e.g. filter enhanced AtoN information by a bounding box).</w:t>
            </w:r>
          </w:p>
        </w:tc>
      </w:tr>
      <w:tr w:rsidR="00E71ADC" w14:paraId="11CA6C11" w14:textId="77777777">
        <w:tc>
          <w:tcPr>
            <w:tcW w:w="1980" w:type="dxa"/>
          </w:tcPr>
          <w:p w14:paraId="64D7D84E" w14:textId="77777777" w:rsidR="00E71ADC" w:rsidRDefault="00000000">
            <w:pPr>
              <w:pStyle w:val="Compact"/>
            </w:pPr>
            <w:r>
              <w:t>unlocode</w:t>
            </w:r>
          </w:p>
        </w:tc>
        <w:tc>
          <w:tcPr>
            <w:tcW w:w="1980" w:type="dxa"/>
          </w:tcPr>
          <w:p w14:paraId="47920732" w14:textId="77777777" w:rsidR="00E71ADC" w:rsidRDefault="00000000">
            <w:pPr>
              <w:pStyle w:val="Compact"/>
            </w:pPr>
            <w:r>
              <w:t>See technical design</w:t>
            </w:r>
          </w:p>
        </w:tc>
        <w:tc>
          <w:tcPr>
            <w:tcW w:w="1980" w:type="dxa"/>
          </w:tcPr>
          <w:p w14:paraId="482AE15B" w14:textId="77777777" w:rsidR="00E71ADC" w:rsidRDefault="00000000">
            <w:pPr>
              <w:pStyle w:val="Compact"/>
            </w:pPr>
            <w:r>
              <w:t>0..1</w:t>
            </w:r>
          </w:p>
        </w:tc>
        <w:tc>
          <w:tcPr>
            <w:tcW w:w="1980" w:type="dxa"/>
          </w:tcPr>
          <w:p w14:paraId="301431E2" w14:textId="77777777" w:rsidR="00E71ADC" w:rsidRDefault="00000000">
            <w:pPr>
              <w:pStyle w:val="Compact"/>
            </w:pPr>
            <w:r>
              <w:t>UN/LOCODE (United Nations Code for Trade and Transport Locations) of a defined object (e.g., “CN” for China).</w:t>
            </w:r>
          </w:p>
        </w:tc>
      </w:tr>
      <w:tr w:rsidR="00E71ADC" w14:paraId="37A93F41" w14:textId="77777777">
        <w:tc>
          <w:tcPr>
            <w:tcW w:w="1980" w:type="dxa"/>
          </w:tcPr>
          <w:p w14:paraId="1DA08E29" w14:textId="77777777" w:rsidR="00E71ADC" w:rsidRDefault="00000000">
            <w:pPr>
              <w:pStyle w:val="Compact"/>
            </w:pPr>
            <w:r>
              <w:t>TimePeriod (Optional)</w:t>
            </w:r>
          </w:p>
        </w:tc>
        <w:tc>
          <w:tcPr>
            <w:tcW w:w="1980" w:type="dxa"/>
          </w:tcPr>
          <w:p w14:paraId="337A8766" w14:textId="77777777" w:rsidR="00E71ADC" w:rsidRDefault="00000000">
            <w:pPr>
              <w:pStyle w:val="Compact"/>
            </w:pPr>
            <w:r>
              <w:t>See technical design</w:t>
            </w:r>
          </w:p>
        </w:tc>
        <w:tc>
          <w:tcPr>
            <w:tcW w:w="1980" w:type="dxa"/>
          </w:tcPr>
          <w:p w14:paraId="7EA918FC" w14:textId="77777777" w:rsidR="00E71ADC" w:rsidRDefault="00000000">
            <w:pPr>
              <w:pStyle w:val="Compact"/>
            </w:pPr>
            <w:r>
              <w:t>0..1</w:t>
            </w:r>
          </w:p>
        </w:tc>
        <w:tc>
          <w:tcPr>
            <w:tcW w:w="1980" w:type="dxa"/>
          </w:tcPr>
          <w:p w14:paraId="38307FF2" w14:textId="77777777" w:rsidR="00E71ADC" w:rsidRDefault="00000000">
            <w:pPr>
              <w:pStyle w:val="Compact"/>
            </w:pPr>
            <w:r>
              <w:t>An optional parameter denoting the time period (ValidFrom, ValidTo) in which a dataset is valid and becomes subject to changes. The service response should only include the S-201 datasets for which modifications occurred within the specified interval.</w:t>
            </w:r>
          </w:p>
        </w:tc>
      </w:tr>
      <w:tr w:rsidR="00E71ADC" w14:paraId="7B14B34F" w14:textId="77777777">
        <w:tc>
          <w:tcPr>
            <w:tcW w:w="1980" w:type="dxa"/>
          </w:tcPr>
          <w:p w14:paraId="72EC805E" w14:textId="77777777" w:rsidR="00E71ADC" w:rsidRDefault="00000000">
            <w:pPr>
              <w:pStyle w:val="Compact"/>
            </w:pPr>
            <w:r>
              <w:t>AtoNDetails (Optional)</w:t>
            </w:r>
          </w:p>
        </w:tc>
        <w:tc>
          <w:tcPr>
            <w:tcW w:w="1980" w:type="dxa"/>
          </w:tcPr>
          <w:p w14:paraId="76059B98" w14:textId="77777777" w:rsidR="00E71ADC" w:rsidRDefault="00000000">
            <w:pPr>
              <w:pStyle w:val="Compact"/>
            </w:pPr>
            <w:r>
              <w:t>Boolean</w:t>
            </w:r>
          </w:p>
        </w:tc>
        <w:tc>
          <w:tcPr>
            <w:tcW w:w="1980" w:type="dxa"/>
          </w:tcPr>
          <w:p w14:paraId="502F0363" w14:textId="77777777" w:rsidR="00E71ADC" w:rsidRDefault="00000000">
            <w:pPr>
              <w:pStyle w:val="Compact"/>
            </w:pPr>
            <w:r>
              <w:t>0..1</w:t>
            </w:r>
          </w:p>
        </w:tc>
        <w:tc>
          <w:tcPr>
            <w:tcW w:w="1980" w:type="dxa"/>
          </w:tcPr>
          <w:p w14:paraId="36A1DFD5" w14:textId="77777777" w:rsidR="00E71ADC" w:rsidRDefault="00000000">
            <w:pPr>
              <w:pStyle w:val="Compact"/>
            </w:pPr>
            <w:r>
              <w:t>Requests that the service returns the summary for datasets which include the latest AtoN design state details (not just the default AtoN status indication features), if available.</w:t>
            </w:r>
          </w:p>
        </w:tc>
      </w:tr>
      <w:bookmarkEnd w:id="65"/>
    </w:tbl>
    <w:p w14:paraId="642FE218" w14:textId="77777777" w:rsidR="00E71ADC" w:rsidRDefault="00E71ADC"/>
    <w:p w14:paraId="1C01B16D" w14:textId="77777777" w:rsidR="00E71ADC" w:rsidRDefault="00000000">
      <w:pPr>
        <w:pStyle w:val="TableCaption"/>
      </w:pPr>
      <w:bookmarkStart w:id="73" w:name="_72e82e1e02481fa5571d35fe8f28c403bfca816"/>
      <w:bookmarkStart w:id="74" w:name="_Toc242095887"/>
      <w:r>
        <w:t>The Get Summary Operation Return Types.</w:t>
      </w:r>
      <w:bookmarkEnd w:id="74"/>
    </w:p>
    <w:tbl>
      <w:tblPr>
        <w:tblStyle w:val="Table"/>
        <w:tblW w:w="5000" w:type="pct"/>
        <w:tblLayout w:type="fixed"/>
        <w:tblLook w:val="0020" w:firstRow="1" w:lastRow="0" w:firstColumn="0" w:lastColumn="0" w:noHBand="0" w:noVBand="0"/>
        <w:tblCaption w:val="The Get Summary Operation Return Types."/>
      </w:tblPr>
      <w:tblGrid>
        <w:gridCol w:w="2548"/>
        <w:gridCol w:w="2549"/>
        <w:gridCol w:w="2549"/>
        <w:gridCol w:w="2549"/>
      </w:tblGrid>
      <w:tr w:rsidR="00E71ADC" w14:paraId="6ABEAF6F"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005BFF" w14:textId="77777777" w:rsidR="00E71ADC" w:rsidRDefault="00000000">
            <w:pPr>
              <w:pStyle w:val="Compact"/>
            </w:pPr>
            <w:r>
              <w:t>ReturnType (out)</w:t>
            </w:r>
          </w:p>
        </w:tc>
        <w:tc>
          <w:tcPr>
            <w:tcW w:w="1980" w:type="dxa"/>
          </w:tcPr>
          <w:p w14:paraId="10D5FE5C" w14:textId="77777777" w:rsidR="00E71ADC" w:rsidRDefault="00000000">
            <w:pPr>
              <w:pStyle w:val="Compact"/>
            </w:pPr>
            <w:r>
              <w:t>Encoding</w:t>
            </w:r>
          </w:p>
        </w:tc>
        <w:tc>
          <w:tcPr>
            <w:tcW w:w="1980" w:type="dxa"/>
          </w:tcPr>
          <w:p w14:paraId="7C8BD627" w14:textId="77777777" w:rsidR="00E71ADC" w:rsidRDefault="00000000">
            <w:pPr>
              <w:pStyle w:val="Compact"/>
            </w:pPr>
            <w:r>
              <w:t>Mult.</w:t>
            </w:r>
          </w:p>
        </w:tc>
        <w:tc>
          <w:tcPr>
            <w:tcW w:w="1980" w:type="dxa"/>
          </w:tcPr>
          <w:p w14:paraId="1BA381FE" w14:textId="77777777" w:rsidR="00E71ADC" w:rsidRDefault="00000000">
            <w:pPr>
              <w:pStyle w:val="Compact"/>
            </w:pPr>
            <w:r>
              <w:t>Description</w:t>
            </w:r>
          </w:p>
        </w:tc>
      </w:tr>
      <w:tr w:rsidR="00E71ADC" w14:paraId="1EAF006B" w14:textId="77777777">
        <w:tc>
          <w:tcPr>
            <w:tcW w:w="1980" w:type="dxa"/>
          </w:tcPr>
          <w:p w14:paraId="305D1E13" w14:textId="77777777" w:rsidR="00E71ADC" w:rsidRDefault="00000000">
            <w:pPr>
              <w:pStyle w:val="Compact"/>
            </w:pPr>
            <w:r>
              <w:t>List of Dataset Summary Information</w:t>
            </w:r>
          </w:p>
        </w:tc>
        <w:tc>
          <w:tcPr>
            <w:tcW w:w="1980" w:type="dxa"/>
          </w:tcPr>
          <w:p w14:paraId="7F579631" w14:textId="77777777" w:rsidR="00E71ADC" w:rsidRDefault="00000000">
            <w:pPr>
              <w:pStyle w:val="Compact"/>
            </w:pPr>
            <w:r>
              <w:t>List of dataset summary information objects. See technical design.</w:t>
            </w:r>
          </w:p>
        </w:tc>
        <w:tc>
          <w:tcPr>
            <w:tcW w:w="1980" w:type="dxa"/>
          </w:tcPr>
          <w:p w14:paraId="5E29C717" w14:textId="77777777" w:rsidR="00E71ADC" w:rsidRDefault="00000000">
            <w:pPr>
              <w:pStyle w:val="Compact"/>
            </w:pPr>
            <w:r>
              <w:t>0..*</w:t>
            </w:r>
          </w:p>
        </w:tc>
        <w:tc>
          <w:tcPr>
            <w:tcW w:w="1980" w:type="dxa"/>
          </w:tcPr>
          <w:p w14:paraId="03C7AFC6" w14:textId="77777777" w:rsidR="00E71ADC" w:rsidRDefault="00000000">
            <w:pPr>
              <w:pStyle w:val="Compact"/>
            </w:pPr>
            <w:r>
              <w:t>Metadata of available enhanced AtoN information, that match the search parameters.</w:t>
            </w:r>
          </w:p>
        </w:tc>
      </w:tr>
    </w:tbl>
    <w:p w14:paraId="3AAFD945" w14:textId="77777777" w:rsidR="00E71ADC" w:rsidRDefault="00000000">
      <w:pPr>
        <w:pStyle w:val="Heading3"/>
      </w:pPr>
      <w:bookmarkStart w:id="75" w:name="_d3339b598aae3809e0033d7f9c6e49d56b9aee1"/>
      <w:bookmarkStart w:id="76" w:name="_Toc242095866"/>
      <w:bookmarkEnd w:id="67"/>
      <w:bookmarkEnd w:id="69"/>
      <w:bookmarkEnd w:id="70"/>
      <w:r>
        <w:lastRenderedPageBreak/>
        <w:t>Subscription Operation</w:t>
      </w:r>
      <w:bookmarkEnd w:id="76"/>
    </w:p>
    <w:p w14:paraId="072F0216" w14:textId="77777777" w:rsidR="00E71ADC" w:rsidRDefault="00000000">
      <w:pPr>
        <w:pStyle w:val="FirstParagraph"/>
      </w:pPr>
      <w:r>
        <w:t>The purpose of this operation is to facilitate subscriptions initiated by service consumers on specific enhanced AtoN information datasets. The information a service consumer subscribes to, can either determined by the provided operation parameters, or decided upon by the service provider.</w:t>
      </w:r>
    </w:p>
    <w:p w14:paraId="316FCD8D" w14:textId="77777777" w:rsidR="00E71ADC" w:rsidRDefault="00000000">
      <w:pPr>
        <w:pStyle w:val="CaptionedFigure"/>
      </w:pPr>
      <w:bookmarkStart w:id="77" w:name="_a9b64d1ba177956511551c427df313b171f9e93"/>
      <w:r>
        <w:rPr>
          <w:noProof/>
        </w:rPr>
        <w:drawing>
          <wp:inline distT="0" distB="0" distL="0" distR="0" wp14:anchorId="45EA97AC" wp14:editId="53C96BBD">
            <wp:extent cx="4857750" cy="1459082"/>
            <wp:effectExtent l="0" t="0" r="0" b="0"/>
            <wp:docPr id="5" name="Picture" descr="Subscription operation."/>
            <wp:cNvGraphicFramePr/>
            <a:graphic xmlns:a="http://schemas.openxmlformats.org/drawingml/2006/main">
              <a:graphicData uri="http://schemas.openxmlformats.org/drawingml/2006/picture">
                <pic:pic xmlns:pic="http://schemas.openxmlformats.org/drawingml/2006/picture">
                  <pic:nvPicPr>
                    <pic:cNvPr id="5" name="Picture" descr="source/guideline/../../resources/SubscriptionInterface.png"/>
                    <pic:cNvPicPr>
                      <a:picLocks noChangeAspect="1" noChangeArrowheads="1"/>
                    </pic:cNvPicPr>
                  </pic:nvPicPr>
                  <pic:blipFill>
                    <a:blip r:embed="rId30"/>
                    <a:stretch>
                      <a:fillRect/>
                    </a:stretch>
                  </pic:blipFill>
                  <pic:spPr bwMode="auto">
                    <a:xfrm>
                      <a:off x="0" y="0"/>
                      <a:ext cx="4857750" cy="1459082"/>
                    </a:xfrm>
                    <a:prstGeom prst="rect">
                      <a:avLst/>
                    </a:prstGeom>
                    <a:noFill/>
                    <a:ln w="9525">
                      <a:noFill/>
                      <a:headEnd/>
                      <a:tailEnd/>
                    </a:ln>
                  </pic:spPr>
                </pic:pic>
              </a:graphicData>
            </a:graphic>
          </wp:inline>
        </w:drawing>
      </w:r>
    </w:p>
    <w:p w14:paraId="292D5F9C" w14:textId="77777777" w:rsidR="00E71ADC" w:rsidRDefault="00000000">
      <w:pPr>
        <w:pStyle w:val="ImageCaption"/>
      </w:pPr>
      <w:bookmarkStart w:id="78" w:name="_Toc242095902"/>
      <w:r>
        <w:t>Subscription operation.</w:t>
      </w:r>
      <w:bookmarkEnd w:id="78"/>
    </w:p>
    <w:p w14:paraId="4CB99ECA" w14:textId="77777777" w:rsidR="00E71ADC" w:rsidRDefault="00000000">
      <w:pPr>
        <w:pStyle w:val="Heading4"/>
      </w:pPr>
      <w:bookmarkStart w:id="79" w:name="_aa6e759c598bd66a23975841cd89ce2c5fe398a"/>
      <w:bookmarkEnd w:id="71"/>
      <w:r>
        <w:t>Operation Functionality</w:t>
      </w:r>
    </w:p>
    <w:p w14:paraId="080D914A" w14:textId="77777777" w:rsidR="00E71ADC" w:rsidRDefault="00000000">
      <w:pPr>
        <w:pStyle w:val="FirstParagraph"/>
      </w:pPr>
      <w:r>
        <w:t>The Subscription operation can be used by service consumers to subscribe to a specific set of S-201 datasets. The datasets that are covered by each subscription, are limited by the provided operation parameters, which include the dataset reference identifier. Note that the dataset reference identifiers of the S-201 datasets can be retrieved by the Get Summary operation. If no operational parameters are specified, the consumer is assumed to subscribe to updates on all available and valid datasets.</w:t>
      </w:r>
    </w:p>
    <w:p w14:paraId="0B8B7890" w14:textId="77777777" w:rsidR="00E71ADC" w:rsidRDefault="00000000">
      <w:pPr>
        <w:pStyle w:val="BodyText"/>
      </w:pPr>
      <w:r>
        <w:t>The operation follows a request-callback paradigm (REQUEST_CALLBACK), in which the consumers register their interest in a set of enhanced AtoN information and receive updates whenever one of the corresponding S-201 datasets change. The subscription can be cancelled through the Remove Subscription operation or can be limited by specifying a subscription period.</w:t>
      </w:r>
    </w:p>
    <w:p w14:paraId="009CD407" w14:textId="77777777" w:rsidR="00E71ADC" w:rsidRDefault="00000000">
      <w:pPr>
        <w:pStyle w:val="BodyText"/>
      </w:pPr>
      <w:r>
        <w:t>While on an active subscription, the service consumers will receive enhanced AtoN information packaged as an S-100 Exchange Set, which includes either the complete S-201 datasets for which updates exist, or just the incurred changes in the form of delta files, as these are defined in the S-100 data model specification [6]. In the latter case, it is recommended that before a consumer subscribes to updates, it initially requests all applicable S-201 datasets via the Get operation.</w:t>
      </w:r>
    </w:p>
    <w:p w14:paraId="1B7ECE5D" w14:textId="77777777" w:rsidR="00E71ADC" w:rsidRDefault="00000000">
      <w:pPr>
        <w:pStyle w:val="BodyText"/>
      </w:pPr>
      <w:r>
        <w:t>This operation consumes the following consumer operations:</w:t>
      </w:r>
    </w:p>
    <w:p w14:paraId="6ABF73A4" w14:textId="77777777" w:rsidR="00E71ADC" w:rsidRDefault="00000000">
      <w:pPr>
        <w:pStyle w:val="Compact"/>
        <w:numPr>
          <w:ilvl w:val="0"/>
          <w:numId w:val="36"/>
        </w:numPr>
      </w:pPr>
      <w:r>
        <w:t>Upload</w:t>
      </w:r>
    </w:p>
    <w:p w14:paraId="4DC44636" w14:textId="77777777" w:rsidR="00E71ADC" w:rsidRDefault="00000000">
      <w:pPr>
        <w:pStyle w:val="Compact"/>
        <w:numPr>
          <w:ilvl w:val="0"/>
          <w:numId w:val="36"/>
        </w:numPr>
      </w:pPr>
      <w:r>
        <w:t>Subscription Notification</w:t>
      </w:r>
    </w:p>
    <w:p w14:paraId="7DC66FDD" w14:textId="77777777" w:rsidR="00E71ADC" w:rsidRDefault="00000000">
      <w:pPr>
        <w:pStyle w:val="FirstParagraph"/>
      </w:pPr>
      <w:r>
        <w:t>The Upload consumer operation is utilised by the service provider to push the incurred S-201 dataset changes to the subscribed service consumer. The Subscription Notification operation on the other hand, is used to inform the consumer that on the status of the subscription, i.e. when it has been successfully activated or removed. More information on this operation can be found in the Section 7, describing the dynamic behaviour of the Subscription operation. Note that for each new subscription, a subscription identifier should be made available to the consumer.</w:t>
      </w:r>
    </w:p>
    <w:p w14:paraId="40BE60DB" w14:textId="77777777" w:rsidR="00E71ADC" w:rsidRDefault="00000000">
      <w:pPr>
        <w:pStyle w:val="BodyText"/>
      </w:pPr>
      <w:r>
        <w:t xml:space="preserve">All instances of services providing enhanced AtoN information are required to support all operation parameters presented in the following Section 4.2.3.2, apart from </w:t>
      </w:r>
      <w:r>
        <w:rPr>
          <w:rStyle w:val="VerbatimChar"/>
        </w:rPr>
        <w:t>&lt;AtoNDetails&gt;</w:t>
      </w:r>
      <w:r>
        <w:t xml:space="preserve"> which is optional. The specific encodings are left to be decided by the service technical design specification. In most cases the parameter description provides an adequate definition.</w:t>
      </w:r>
    </w:p>
    <w:p w14:paraId="629676DE" w14:textId="77777777" w:rsidR="00E71ADC" w:rsidRDefault="00000000">
      <w:pPr>
        <w:pStyle w:val="BodyText"/>
      </w:pPr>
      <w:r>
        <w:t xml:space="preserve">As discussed previously, the service also supports the AtoN status indication feature type included in the S-201, also covering Use-Case #1. Therefore, by default the service will return the S-201 dataset updates that only contain the status indication information for the involved AtoN. If the service provider however chooses so, the optional </w:t>
      </w:r>
      <w:r>
        <w:rPr>
          <w:rStyle w:val="VerbatimChar"/>
        </w:rPr>
        <w:t>&lt;AtoNDetails&gt;</w:t>
      </w:r>
      <w:r>
        <w:t xml:space="preserve"> input parameter can be utilised to allow subscriptions to the full datasets, including the AtoN </w:t>
      </w:r>
      <w:r>
        <w:lastRenderedPageBreak/>
        <w:t>structure/equipment features. If the full AtoN feature information is requested but not available, the service should respond with the default datasets containing only the AtoN status indication features.</w:t>
      </w:r>
    </w:p>
    <w:p w14:paraId="415AFD29" w14:textId="77777777" w:rsidR="00E71ADC" w:rsidRDefault="00000000">
      <w:pPr>
        <w:pStyle w:val="Heading4"/>
      </w:pPr>
      <w:bookmarkStart w:id="80" w:name="_f236ddb4e87f275a17f21d07069515c1539ecbf"/>
      <w:bookmarkEnd w:id="73"/>
      <w:r>
        <w:t>Operation Parameters</w:t>
      </w:r>
    </w:p>
    <w:p w14:paraId="5AAEF7EB" w14:textId="77777777" w:rsidR="00E71ADC" w:rsidRDefault="00000000">
      <w:pPr>
        <w:pStyle w:val="TableCaption"/>
      </w:pPr>
      <w:bookmarkStart w:id="81" w:name="_c90fac741592ba5f757ac023d8ebf9a4a481e45"/>
      <w:bookmarkStart w:id="82" w:name="_Toc242095888"/>
      <w:r>
        <w:t>The Subscription Operation Parameters.</w:t>
      </w:r>
      <w:bookmarkEnd w:id="82"/>
    </w:p>
    <w:tbl>
      <w:tblPr>
        <w:tblStyle w:val="Table"/>
        <w:tblW w:w="5000" w:type="pct"/>
        <w:tblLayout w:type="fixed"/>
        <w:tblLook w:val="0020" w:firstRow="1" w:lastRow="0" w:firstColumn="0" w:lastColumn="0" w:noHBand="0" w:noVBand="0"/>
        <w:tblCaption w:val="The Subscription Operation Parameters."/>
      </w:tblPr>
      <w:tblGrid>
        <w:gridCol w:w="2548"/>
        <w:gridCol w:w="2549"/>
        <w:gridCol w:w="2549"/>
        <w:gridCol w:w="2549"/>
      </w:tblGrid>
      <w:tr w:rsidR="00E71ADC" w14:paraId="178701D8"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69CD0A" w14:textId="77777777" w:rsidR="00E71ADC" w:rsidRDefault="00000000">
            <w:pPr>
              <w:pStyle w:val="Compact"/>
            </w:pPr>
            <w:r>
              <w:t>Parameters (in)</w:t>
            </w:r>
          </w:p>
        </w:tc>
        <w:tc>
          <w:tcPr>
            <w:tcW w:w="1980" w:type="dxa"/>
          </w:tcPr>
          <w:p w14:paraId="46EBA3DE" w14:textId="77777777" w:rsidR="00E71ADC" w:rsidRDefault="00000000">
            <w:pPr>
              <w:pStyle w:val="Compact"/>
            </w:pPr>
            <w:r>
              <w:t>Encoding</w:t>
            </w:r>
          </w:p>
        </w:tc>
        <w:tc>
          <w:tcPr>
            <w:tcW w:w="1980" w:type="dxa"/>
          </w:tcPr>
          <w:p w14:paraId="58FA4E12" w14:textId="77777777" w:rsidR="00E71ADC" w:rsidRDefault="00000000">
            <w:pPr>
              <w:pStyle w:val="Compact"/>
            </w:pPr>
            <w:r>
              <w:t>Mult.</w:t>
            </w:r>
          </w:p>
        </w:tc>
        <w:tc>
          <w:tcPr>
            <w:tcW w:w="1980" w:type="dxa"/>
          </w:tcPr>
          <w:p w14:paraId="1591DAE3" w14:textId="77777777" w:rsidR="00E71ADC" w:rsidRDefault="00000000">
            <w:pPr>
              <w:pStyle w:val="Compact"/>
            </w:pPr>
            <w:r>
              <w:t>Description</w:t>
            </w:r>
          </w:p>
        </w:tc>
      </w:tr>
      <w:tr w:rsidR="00E71ADC" w14:paraId="234AE46D" w14:textId="77777777">
        <w:tc>
          <w:tcPr>
            <w:tcW w:w="1980" w:type="dxa"/>
          </w:tcPr>
          <w:p w14:paraId="315E8AF8" w14:textId="77777777" w:rsidR="00E71ADC" w:rsidRDefault="00000000">
            <w:pPr>
              <w:pStyle w:val="Compact"/>
            </w:pPr>
            <w:r>
              <w:t>DatasetReference</w:t>
            </w:r>
          </w:p>
        </w:tc>
        <w:tc>
          <w:tcPr>
            <w:tcW w:w="1980" w:type="dxa"/>
          </w:tcPr>
          <w:p w14:paraId="13061B39" w14:textId="77777777" w:rsidR="00E71ADC" w:rsidRDefault="00000000">
            <w:pPr>
              <w:pStyle w:val="Compact"/>
            </w:pPr>
            <w:r>
              <w:t>See technical design</w:t>
            </w:r>
          </w:p>
        </w:tc>
        <w:tc>
          <w:tcPr>
            <w:tcW w:w="1980" w:type="dxa"/>
          </w:tcPr>
          <w:p w14:paraId="6C4F05FD" w14:textId="77777777" w:rsidR="00E71ADC" w:rsidRDefault="00000000">
            <w:pPr>
              <w:pStyle w:val="Compact"/>
            </w:pPr>
            <w:r>
              <w:t>0..1</w:t>
            </w:r>
          </w:p>
        </w:tc>
        <w:tc>
          <w:tcPr>
            <w:tcW w:w="1980" w:type="dxa"/>
          </w:tcPr>
          <w:p w14:paraId="2EA5A22A" w14:textId="77777777" w:rsidR="00E71ADC" w:rsidRDefault="00000000">
            <w:pPr>
              <w:pStyle w:val="Compact"/>
            </w:pPr>
            <w:r>
              <w:t>The dataset identifier of a specific S-201 dataset. A list of all supported references can be retrieved via Get Summary operation. If no references are provided, it’s up to the service to decide what to return.</w:t>
            </w:r>
          </w:p>
        </w:tc>
      </w:tr>
      <w:tr w:rsidR="00E71ADC" w14:paraId="2AE97088" w14:textId="77777777">
        <w:tc>
          <w:tcPr>
            <w:tcW w:w="1980" w:type="dxa"/>
          </w:tcPr>
          <w:p w14:paraId="0B29E1CC" w14:textId="77777777" w:rsidR="00E71ADC" w:rsidRDefault="00000000">
            <w:pPr>
              <w:pStyle w:val="Compact"/>
            </w:pPr>
            <w:r>
              <w:t>Geometry</w:t>
            </w:r>
          </w:p>
        </w:tc>
        <w:tc>
          <w:tcPr>
            <w:tcW w:w="1980" w:type="dxa"/>
          </w:tcPr>
          <w:p w14:paraId="60C80B6D" w14:textId="77777777" w:rsidR="00E71ADC" w:rsidRDefault="00000000">
            <w:pPr>
              <w:pStyle w:val="Compact"/>
            </w:pPr>
            <w:r>
              <w:t>See technical design</w:t>
            </w:r>
          </w:p>
        </w:tc>
        <w:tc>
          <w:tcPr>
            <w:tcW w:w="1980" w:type="dxa"/>
          </w:tcPr>
          <w:p w14:paraId="756B36E7" w14:textId="77777777" w:rsidR="00E71ADC" w:rsidRDefault="00000000">
            <w:pPr>
              <w:pStyle w:val="Compact"/>
            </w:pPr>
            <w:r>
              <w:t>0..1</w:t>
            </w:r>
          </w:p>
        </w:tc>
        <w:tc>
          <w:tcPr>
            <w:tcW w:w="1980" w:type="dxa"/>
          </w:tcPr>
          <w:p w14:paraId="2D2621BF" w14:textId="77777777" w:rsidR="00E71ADC" w:rsidRDefault="00000000">
            <w:pPr>
              <w:pStyle w:val="Compact"/>
            </w:pPr>
            <w:r>
              <w:t>Geometry condition for geolocated information objects. This can be used to filter on geometric shapes (e.g. filter enhanced AtoN information by a bounding box).</w:t>
            </w:r>
          </w:p>
        </w:tc>
      </w:tr>
      <w:tr w:rsidR="00E71ADC" w14:paraId="216123D0" w14:textId="77777777">
        <w:tc>
          <w:tcPr>
            <w:tcW w:w="1980" w:type="dxa"/>
          </w:tcPr>
          <w:p w14:paraId="588EEA92" w14:textId="77777777" w:rsidR="00E71ADC" w:rsidRDefault="00000000">
            <w:pPr>
              <w:pStyle w:val="Compact"/>
            </w:pPr>
            <w:r>
              <w:t>unlocode</w:t>
            </w:r>
          </w:p>
        </w:tc>
        <w:tc>
          <w:tcPr>
            <w:tcW w:w="1980" w:type="dxa"/>
          </w:tcPr>
          <w:p w14:paraId="7DC9C2B8" w14:textId="77777777" w:rsidR="00E71ADC" w:rsidRDefault="00000000">
            <w:pPr>
              <w:pStyle w:val="Compact"/>
            </w:pPr>
            <w:r>
              <w:t>See technical design</w:t>
            </w:r>
          </w:p>
        </w:tc>
        <w:tc>
          <w:tcPr>
            <w:tcW w:w="1980" w:type="dxa"/>
          </w:tcPr>
          <w:p w14:paraId="40400B53" w14:textId="77777777" w:rsidR="00E71ADC" w:rsidRDefault="00000000">
            <w:pPr>
              <w:pStyle w:val="Compact"/>
            </w:pPr>
            <w:r>
              <w:t>0..1</w:t>
            </w:r>
          </w:p>
        </w:tc>
        <w:tc>
          <w:tcPr>
            <w:tcW w:w="1980" w:type="dxa"/>
          </w:tcPr>
          <w:p w14:paraId="73FF3A01" w14:textId="77777777" w:rsidR="00E71ADC" w:rsidRDefault="00000000">
            <w:pPr>
              <w:pStyle w:val="Compact"/>
            </w:pPr>
            <w:r>
              <w:t>UN/LOCODE (United Nations Code for Trade and Transport Locations) of a defined object (e.g., “CN” for China).</w:t>
            </w:r>
          </w:p>
        </w:tc>
      </w:tr>
      <w:tr w:rsidR="00E71ADC" w14:paraId="241118E6" w14:textId="77777777">
        <w:tc>
          <w:tcPr>
            <w:tcW w:w="1980" w:type="dxa"/>
          </w:tcPr>
          <w:p w14:paraId="26A7A853" w14:textId="77777777" w:rsidR="00E71ADC" w:rsidRDefault="00000000">
            <w:pPr>
              <w:pStyle w:val="Compact"/>
            </w:pPr>
            <w:r>
              <w:t>SubscriptionPeriod</w:t>
            </w:r>
          </w:p>
        </w:tc>
        <w:tc>
          <w:tcPr>
            <w:tcW w:w="1980" w:type="dxa"/>
          </w:tcPr>
          <w:p w14:paraId="08F12FC1" w14:textId="77777777" w:rsidR="00E71ADC" w:rsidRDefault="00000000">
            <w:pPr>
              <w:pStyle w:val="Compact"/>
            </w:pPr>
            <w:r>
              <w:t>See technical design</w:t>
            </w:r>
          </w:p>
        </w:tc>
        <w:tc>
          <w:tcPr>
            <w:tcW w:w="1980" w:type="dxa"/>
          </w:tcPr>
          <w:p w14:paraId="27C1AA0D" w14:textId="77777777" w:rsidR="00E71ADC" w:rsidRDefault="00000000">
            <w:pPr>
              <w:pStyle w:val="Compact"/>
            </w:pPr>
            <w:r>
              <w:t>0..1</w:t>
            </w:r>
          </w:p>
        </w:tc>
        <w:tc>
          <w:tcPr>
            <w:tcW w:w="1980" w:type="dxa"/>
          </w:tcPr>
          <w:p w14:paraId="4BA56B45" w14:textId="77777777" w:rsidR="00E71ADC" w:rsidRDefault="00000000">
            <w:pPr>
              <w:pStyle w:val="Compact"/>
            </w:pPr>
            <w:r>
              <w:t>The period for which the subscription is active (start and end date/time).</w:t>
            </w:r>
          </w:p>
        </w:tc>
      </w:tr>
      <w:tr w:rsidR="00E71ADC" w14:paraId="70756B8E" w14:textId="77777777">
        <w:tc>
          <w:tcPr>
            <w:tcW w:w="1980" w:type="dxa"/>
          </w:tcPr>
          <w:p w14:paraId="3EF4F96F" w14:textId="77777777" w:rsidR="00E71ADC" w:rsidRDefault="00000000">
            <w:pPr>
              <w:pStyle w:val="Compact"/>
            </w:pPr>
            <w:r>
              <w:t>AtoNDetails (Optional)</w:t>
            </w:r>
          </w:p>
        </w:tc>
        <w:tc>
          <w:tcPr>
            <w:tcW w:w="1980" w:type="dxa"/>
          </w:tcPr>
          <w:p w14:paraId="5711F4E9" w14:textId="77777777" w:rsidR="00E71ADC" w:rsidRDefault="00000000">
            <w:pPr>
              <w:pStyle w:val="Compact"/>
            </w:pPr>
            <w:r>
              <w:t>Boolean</w:t>
            </w:r>
          </w:p>
        </w:tc>
        <w:tc>
          <w:tcPr>
            <w:tcW w:w="1980" w:type="dxa"/>
          </w:tcPr>
          <w:p w14:paraId="66ED6376" w14:textId="77777777" w:rsidR="00E71ADC" w:rsidRDefault="00000000">
            <w:pPr>
              <w:pStyle w:val="Compact"/>
            </w:pPr>
            <w:r>
              <w:t>0..1</w:t>
            </w:r>
          </w:p>
        </w:tc>
        <w:tc>
          <w:tcPr>
            <w:tcW w:w="1980" w:type="dxa"/>
          </w:tcPr>
          <w:p w14:paraId="3C0D9762" w14:textId="77777777" w:rsidR="00E71ADC" w:rsidRDefault="00000000">
            <w:pPr>
              <w:pStyle w:val="Compact"/>
            </w:pPr>
            <w:r>
              <w:t>Requests that the service returns datasets which include the latest AtoN design state details (not just the default AtoN status indication features), if available.</w:t>
            </w:r>
          </w:p>
        </w:tc>
      </w:tr>
      <w:bookmarkEnd w:id="75"/>
    </w:tbl>
    <w:p w14:paraId="63AC286F" w14:textId="77777777" w:rsidR="00E71ADC" w:rsidRDefault="00E71ADC"/>
    <w:p w14:paraId="5E982248" w14:textId="77777777" w:rsidR="00E71ADC" w:rsidRDefault="00000000">
      <w:pPr>
        <w:pStyle w:val="TableCaption"/>
      </w:pPr>
      <w:bookmarkStart w:id="83" w:name="_26cec743a1f3439248fdbe67fa70884f8a7370c"/>
      <w:bookmarkStart w:id="84" w:name="_Toc242095889"/>
      <w:r>
        <w:t>The Subscription Operation Return Types.</w:t>
      </w:r>
      <w:bookmarkEnd w:id="84"/>
    </w:p>
    <w:tbl>
      <w:tblPr>
        <w:tblStyle w:val="Table"/>
        <w:tblW w:w="5000" w:type="pct"/>
        <w:tblLayout w:type="fixed"/>
        <w:tblLook w:val="0020" w:firstRow="1" w:lastRow="0" w:firstColumn="0" w:lastColumn="0" w:noHBand="0" w:noVBand="0"/>
        <w:tblCaption w:val="The Subscription Operation Return Types."/>
      </w:tblPr>
      <w:tblGrid>
        <w:gridCol w:w="2548"/>
        <w:gridCol w:w="2549"/>
        <w:gridCol w:w="2549"/>
        <w:gridCol w:w="2549"/>
      </w:tblGrid>
      <w:tr w:rsidR="00E71ADC" w14:paraId="424D7805"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681CF2" w14:textId="77777777" w:rsidR="00E71ADC" w:rsidRDefault="00000000">
            <w:pPr>
              <w:pStyle w:val="Compact"/>
            </w:pPr>
            <w:r>
              <w:t>ReturnType (out)</w:t>
            </w:r>
          </w:p>
        </w:tc>
        <w:tc>
          <w:tcPr>
            <w:tcW w:w="1980" w:type="dxa"/>
          </w:tcPr>
          <w:p w14:paraId="6E2B1BE5" w14:textId="77777777" w:rsidR="00E71ADC" w:rsidRDefault="00000000">
            <w:pPr>
              <w:pStyle w:val="Compact"/>
            </w:pPr>
            <w:r>
              <w:t>Encoding</w:t>
            </w:r>
          </w:p>
        </w:tc>
        <w:tc>
          <w:tcPr>
            <w:tcW w:w="1980" w:type="dxa"/>
          </w:tcPr>
          <w:p w14:paraId="06DA11F0" w14:textId="77777777" w:rsidR="00E71ADC" w:rsidRDefault="00000000">
            <w:pPr>
              <w:pStyle w:val="Compact"/>
            </w:pPr>
            <w:r>
              <w:t>Mult.</w:t>
            </w:r>
          </w:p>
        </w:tc>
        <w:tc>
          <w:tcPr>
            <w:tcW w:w="1980" w:type="dxa"/>
          </w:tcPr>
          <w:p w14:paraId="76EECD78" w14:textId="77777777" w:rsidR="00E71ADC" w:rsidRDefault="00000000">
            <w:pPr>
              <w:pStyle w:val="Compact"/>
            </w:pPr>
            <w:r>
              <w:t>Description</w:t>
            </w:r>
          </w:p>
        </w:tc>
      </w:tr>
      <w:tr w:rsidR="00E71ADC" w14:paraId="05EDD195" w14:textId="77777777">
        <w:tc>
          <w:tcPr>
            <w:tcW w:w="1980" w:type="dxa"/>
          </w:tcPr>
          <w:p w14:paraId="3102225F" w14:textId="77777777" w:rsidR="00E71ADC" w:rsidRDefault="00000000">
            <w:pPr>
              <w:pStyle w:val="Compact"/>
            </w:pPr>
            <w:r>
              <w:t>Result</w:t>
            </w:r>
          </w:p>
        </w:tc>
        <w:tc>
          <w:tcPr>
            <w:tcW w:w="1980" w:type="dxa"/>
          </w:tcPr>
          <w:p w14:paraId="39ED6616" w14:textId="77777777" w:rsidR="00E71ADC" w:rsidRDefault="00000000">
            <w:pPr>
              <w:pStyle w:val="Compact"/>
            </w:pPr>
            <w:r>
              <w:t>See technical design.</w:t>
            </w:r>
          </w:p>
        </w:tc>
        <w:tc>
          <w:tcPr>
            <w:tcW w:w="1980" w:type="dxa"/>
          </w:tcPr>
          <w:p w14:paraId="63723015" w14:textId="77777777" w:rsidR="00E71ADC" w:rsidRDefault="00000000">
            <w:pPr>
              <w:pStyle w:val="Compact"/>
            </w:pPr>
            <w:r>
              <w:t>0..1</w:t>
            </w:r>
          </w:p>
        </w:tc>
        <w:tc>
          <w:tcPr>
            <w:tcW w:w="1980" w:type="dxa"/>
          </w:tcPr>
          <w:p w14:paraId="2EAB8A85" w14:textId="77777777" w:rsidR="00E71ADC" w:rsidRDefault="00000000">
            <w:pPr>
              <w:pStyle w:val="Compact"/>
            </w:pPr>
            <w:r>
              <w:t xml:space="preserve">Confirmation or error message. On confirmation, it must include a Subscription Identifier for the created subscription, which can then be used to remove the subscription. If the subscription corresponds to more than one information object, all </w:t>
            </w:r>
            <w:r>
              <w:lastRenderedPageBreak/>
              <w:t>information objects will be part of one subscription.</w:t>
            </w:r>
          </w:p>
        </w:tc>
      </w:tr>
    </w:tbl>
    <w:p w14:paraId="0F8DFCA0" w14:textId="77777777" w:rsidR="00E71ADC" w:rsidRDefault="00000000">
      <w:pPr>
        <w:pStyle w:val="Heading3"/>
      </w:pPr>
      <w:bookmarkStart w:id="85" w:name="_f95ab5260366de099655af5e19d7bf5355eb33a"/>
      <w:bookmarkStart w:id="86" w:name="_Toc242095867"/>
      <w:bookmarkEnd w:id="77"/>
      <w:bookmarkEnd w:id="79"/>
      <w:bookmarkEnd w:id="80"/>
      <w:r>
        <w:lastRenderedPageBreak/>
        <w:t>Remove Subscription Operation</w:t>
      </w:r>
      <w:bookmarkEnd w:id="86"/>
    </w:p>
    <w:p w14:paraId="55214224" w14:textId="77777777" w:rsidR="00E71ADC" w:rsidRDefault="00000000">
      <w:pPr>
        <w:pStyle w:val="FirstParagraph"/>
      </w:pPr>
      <w:r>
        <w:t>Subscriptions are removed either internally by the service provider, or externally by the service consumer. This operation can be used by the consumer to request the removal of an active subscription.</w:t>
      </w:r>
    </w:p>
    <w:p w14:paraId="77F34BDF" w14:textId="77777777" w:rsidR="00E71ADC" w:rsidRDefault="00000000">
      <w:pPr>
        <w:pStyle w:val="CaptionedFigure"/>
      </w:pPr>
      <w:bookmarkStart w:id="87" w:name="_3388d7f4d974d0a07a43863800c1643e3dcee52"/>
      <w:r>
        <w:rPr>
          <w:noProof/>
        </w:rPr>
        <w:drawing>
          <wp:inline distT="0" distB="0" distL="0" distR="0" wp14:anchorId="71370BB9" wp14:editId="67C99EC8">
            <wp:extent cx="4857750" cy="1406344"/>
            <wp:effectExtent l="0" t="0" r="0" b="0"/>
            <wp:docPr id="6" name="Picture" descr="Remove Subscription operation."/>
            <wp:cNvGraphicFramePr/>
            <a:graphic xmlns:a="http://schemas.openxmlformats.org/drawingml/2006/main">
              <a:graphicData uri="http://schemas.openxmlformats.org/drawingml/2006/picture">
                <pic:pic xmlns:pic="http://schemas.openxmlformats.org/drawingml/2006/picture">
                  <pic:nvPicPr>
                    <pic:cNvPr id="6" name="Picture" descr="source/guideline/../../resources/RemoveSubscriptionInterface.png"/>
                    <pic:cNvPicPr>
                      <a:picLocks noChangeAspect="1" noChangeArrowheads="1"/>
                    </pic:cNvPicPr>
                  </pic:nvPicPr>
                  <pic:blipFill>
                    <a:blip r:embed="rId31"/>
                    <a:stretch>
                      <a:fillRect/>
                    </a:stretch>
                  </pic:blipFill>
                  <pic:spPr bwMode="auto">
                    <a:xfrm>
                      <a:off x="0" y="0"/>
                      <a:ext cx="4857750" cy="1406344"/>
                    </a:xfrm>
                    <a:prstGeom prst="rect">
                      <a:avLst/>
                    </a:prstGeom>
                    <a:noFill/>
                    <a:ln w="9525">
                      <a:noFill/>
                      <a:headEnd/>
                      <a:tailEnd/>
                    </a:ln>
                  </pic:spPr>
                </pic:pic>
              </a:graphicData>
            </a:graphic>
          </wp:inline>
        </w:drawing>
      </w:r>
    </w:p>
    <w:p w14:paraId="4BB2A053" w14:textId="77777777" w:rsidR="00E71ADC" w:rsidRDefault="00000000">
      <w:pPr>
        <w:pStyle w:val="ImageCaption"/>
      </w:pPr>
      <w:bookmarkStart w:id="88" w:name="_Toc242095903"/>
      <w:r>
        <w:t>Remove Subscription operation.</w:t>
      </w:r>
      <w:bookmarkEnd w:id="88"/>
    </w:p>
    <w:p w14:paraId="1EBD62CD" w14:textId="77777777" w:rsidR="00E71ADC" w:rsidRDefault="00000000">
      <w:pPr>
        <w:pStyle w:val="Heading4"/>
      </w:pPr>
      <w:bookmarkStart w:id="89" w:name="_1bac26e8d63e8df3e8ad5f896e815deeaf16fc5"/>
      <w:bookmarkEnd w:id="81"/>
      <w:r>
        <w:t>Operation Functionality</w:t>
      </w:r>
    </w:p>
    <w:p w14:paraId="6284135C" w14:textId="77777777" w:rsidR="00E71ADC" w:rsidRDefault="00000000">
      <w:pPr>
        <w:pStyle w:val="FirstParagraph"/>
      </w:pPr>
      <w:r>
        <w:t>The Remove Subscription operation should be used to remove subscriptions that were created earlier through the Subscription operation. The operation follows a request-callback paradigm (REQUEST_CALLBACK), where a client expects a subscription notification to be sent back asynchronously, in order to confirm the successful removal of the requested subscriptions. In this operation, the consumer can optionally provide the subscription identifier, acquired through the Subscription operation response, to select the individual subscription to be removed. Alternatively, if no subscription identifier is provided, all active subscriptions for this consumer will be removed.</w:t>
      </w:r>
    </w:p>
    <w:p w14:paraId="7FE795CC" w14:textId="77777777" w:rsidR="00E71ADC" w:rsidRDefault="00000000">
      <w:pPr>
        <w:pStyle w:val="BodyText"/>
      </w:pPr>
      <w:r>
        <w:t>This operation consumes the following operations:</w:t>
      </w:r>
    </w:p>
    <w:p w14:paraId="726AAA18" w14:textId="77777777" w:rsidR="00E71ADC" w:rsidRDefault="00000000">
      <w:pPr>
        <w:pStyle w:val="Compact"/>
        <w:numPr>
          <w:ilvl w:val="0"/>
          <w:numId w:val="37"/>
        </w:numPr>
      </w:pPr>
      <w:r>
        <w:t>Subscription Notification</w:t>
      </w:r>
    </w:p>
    <w:p w14:paraId="010C45A5" w14:textId="77777777" w:rsidR="00E71ADC" w:rsidRDefault="00000000">
      <w:pPr>
        <w:pStyle w:val="FirstParagraph"/>
      </w:pPr>
      <w:r>
        <w:t>The Subscription Notification operation is used to inform the consumer that on the status of the subscription, i.e. when it has been successfully removed.</w:t>
      </w:r>
    </w:p>
    <w:p w14:paraId="4ED88636" w14:textId="77777777" w:rsidR="00E71ADC" w:rsidRDefault="00000000">
      <w:pPr>
        <w:pStyle w:val="Heading4"/>
      </w:pPr>
      <w:bookmarkStart w:id="90" w:name="_653cbdac61d28b5a4c7ce709f8481fbd9679310"/>
      <w:bookmarkEnd w:id="83"/>
      <w:r>
        <w:t>Operation Parameters</w:t>
      </w:r>
    </w:p>
    <w:p w14:paraId="63A19318" w14:textId="77777777" w:rsidR="00E71ADC" w:rsidRDefault="00000000">
      <w:pPr>
        <w:pStyle w:val="TableCaption"/>
      </w:pPr>
      <w:bookmarkStart w:id="91" w:name="_7db507f1f511da79f3c73c1a4b447f5ebbffc00"/>
      <w:bookmarkStart w:id="92" w:name="_Toc242095890"/>
      <w:r>
        <w:t>The Remove Subscription Operation Parameters.</w:t>
      </w:r>
      <w:bookmarkEnd w:id="92"/>
    </w:p>
    <w:tbl>
      <w:tblPr>
        <w:tblStyle w:val="Table"/>
        <w:tblW w:w="5000" w:type="pct"/>
        <w:tblLayout w:type="fixed"/>
        <w:tblLook w:val="0020" w:firstRow="1" w:lastRow="0" w:firstColumn="0" w:lastColumn="0" w:noHBand="0" w:noVBand="0"/>
        <w:tblCaption w:val="The Remove Subscription Operation Parameters."/>
      </w:tblPr>
      <w:tblGrid>
        <w:gridCol w:w="2548"/>
        <w:gridCol w:w="2549"/>
        <w:gridCol w:w="2549"/>
        <w:gridCol w:w="2549"/>
      </w:tblGrid>
      <w:tr w:rsidR="00E71ADC" w14:paraId="2DD41837"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4894DDFA" w14:textId="77777777" w:rsidR="00E71ADC" w:rsidRDefault="00000000">
            <w:pPr>
              <w:pStyle w:val="Compact"/>
            </w:pPr>
            <w:r>
              <w:t>Parameters (in)</w:t>
            </w:r>
          </w:p>
        </w:tc>
        <w:tc>
          <w:tcPr>
            <w:tcW w:w="1980" w:type="dxa"/>
          </w:tcPr>
          <w:p w14:paraId="1214ACFE" w14:textId="77777777" w:rsidR="00E71ADC" w:rsidRDefault="00000000">
            <w:pPr>
              <w:pStyle w:val="Compact"/>
            </w:pPr>
            <w:r>
              <w:t>Encoding</w:t>
            </w:r>
          </w:p>
        </w:tc>
        <w:tc>
          <w:tcPr>
            <w:tcW w:w="1980" w:type="dxa"/>
          </w:tcPr>
          <w:p w14:paraId="3E3D58B3" w14:textId="77777777" w:rsidR="00E71ADC" w:rsidRDefault="00000000">
            <w:pPr>
              <w:pStyle w:val="Compact"/>
            </w:pPr>
            <w:r>
              <w:t>Mult.</w:t>
            </w:r>
          </w:p>
        </w:tc>
        <w:tc>
          <w:tcPr>
            <w:tcW w:w="1980" w:type="dxa"/>
          </w:tcPr>
          <w:p w14:paraId="5280AF5B" w14:textId="77777777" w:rsidR="00E71ADC" w:rsidRDefault="00000000">
            <w:pPr>
              <w:pStyle w:val="Compact"/>
            </w:pPr>
            <w:r>
              <w:t>Description</w:t>
            </w:r>
          </w:p>
        </w:tc>
      </w:tr>
      <w:tr w:rsidR="00E71ADC" w14:paraId="1F06978D" w14:textId="77777777">
        <w:tc>
          <w:tcPr>
            <w:tcW w:w="1980" w:type="dxa"/>
          </w:tcPr>
          <w:p w14:paraId="3CB1CDDF" w14:textId="77777777" w:rsidR="00E71ADC" w:rsidRDefault="00000000">
            <w:pPr>
              <w:pStyle w:val="Compact"/>
            </w:pPr>
            <w:r>
              <w:t>SubscriptionIdentifier</w:t>
            </w:r>
          </w:p>
        </w:tc>
        <w:tc>
          <w:tcPr>
            <w:tcW w:w="1980" w:type="dxa"/>
          </w:tcPr>
          <w:p w14:paraId="0C33C054" w14:textId="77777777" w:rsidR="00E71ADC" w:rsidRDefault="00000000">
            <w:pPr>
              <w:pStyle w:val="Compact"/>
            </w:pPr>
            <w:r>
              <w:t>See technical design</w:t>
            </w:r>
          </w:p>
        </w:tc>
        <w:tc>
          <w:tcPr>
            <w:tcW w:w="1980" w:type="dxa"/>
          </w:tcPr>
          <w:p w14:paraId="3866019A" w14:textId="77777777" w:rsidR="00E71ADC" w:rsidRDefault="00000000">
            <w:pPr>
              <w:pStyle w:val="Compact"/>
            </w:pPr>
            <w:r>
              <w:t>0..1</w:t>
            </w:r>
          </w:p>
        </w:tc>
        <w:tc>
          <w:tcPr>
            <w:tcW w:w="1980" w:type="dxa"/>
          </w:tcPr>
          <w:p w14:paraId="3C58356E" w14:textId="77777777" w:rsidR="00E71ADC" w:rsidRDefault="00000000">
            <w:pPr>
              <w:pStyle w:val="Compact"/>
            </w:pPr>
            <w:r>
              <w:t>A specific identifier of the information object to remove the subscription for. If no subscription identifier is provided, all subscriptions for the consumer are removed.</w:t>
            </w:r>
          </w:p>
        </w:tc>
      </w:tr>
      <w:bookmarkEnd w:id="85"/>
    </w:tbl>
    <w:p w14:paraId="5AF0C6DA" w14:textId="77777777" w:rsidR="00E71ADC" w:rsidRDefault="00E71ADC"/>
    <w:p w14:paraId="62096FBC" w14:textId="77777777" w:rsidR="00E71ADC" w:rsidRDefault="00000000">
      <w:pPr>
        <w:pStyle w:val="TableCaption"/>
      </w:pPr>
      <w:bookmarkStart w:id="93" w:name="_f223d2f4094eef579c43a6c708e9bce53efc609"/>
      <w:bookmarkStart w:id="94" w:name="_Toc242095891"/>
      <w:r>
        <w:t>The Remove Subscription Operation Return Types.</w:t>
      </w:r>
      <w:bookmarkEnd w:id="94"/>
    </w:p>
    <w:tbl>
      <w:tblPr>
        <w:tblStyle w:val="Table"/>
        <w:tblW w:w="5000" w:type="pct"/>
        <w:tblLayout w:type="fixed"/>
        <w:tblLook w:val="0020" w:firstRow="1" w:lastRow="0" w:firstColumn="0" w:lastColumn="0" w:noHBand="0" w:noVBand="0"/>
        <w:tblCaption w:val="The Remove Subscription Operation Return Types."/>
      </w:tblPr>
      <w:tblGrid>
        <w:gridCol w:w="2548"/>
        <w:gridCol w:w="2549"/>
        <w:gridCol w:w="2549"/>
        <w:gridCol w:w="2549"/>
      </w:tblGrid>
      <w:tr w:rsidR="00E71ADC" w14:paraId="18209075"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1F1077A2" w14:textId="77777777" w:rsidR="00E71ADC" w:rsidRDefault="00000000">
            <w:pPr>
              <w:pStyle w:val="Compact"/>
            </w:pPr>
            <w:r>
              <w:t>ReturnType (out)</w:t>
            </w:r>
          </w:p>
        </w:tc>
        <w:tc>
          <w:tcPr>
            <w:tcW w:w="1980" w:type="dxa"/>
          </w:tcPr>
          <w:p w14:paraId="55CA50C0" w14:textId="77777777" w:rsidR="00E71ADC" w:rsidRDefault="00000000">
            <w:pPr>
              <w:pStyle w:val="Compact"/>
            </w:pPr>
            <w:r>
              <w:t>Encoding</w:t>
            </w:r>
          </w:p>
        </w:tc>
        <w:tc>
          <w:tcPr>
            <w:tcW w:w="1980" w:type="dxa"/>
          </w:tcPr>
          <w:p w14:paraId="4D88B9DB" w14:textId="77777777" w:rsidR="00E71ADC" w:rsidRDefault="00000000">
            <w:pPr>
              <w:pStyle w:val="Compact"/>
            </w:pPr>
            <w:r>
              <w:t>Mult.</w:t>
            </w:r>
          </w:p>
        </w:tc>
        <w:tc>
          <w:tcPr>
            <w:tcW w:w="1980" w:type="dxa"/>
          </w:tcPr>
          <w:p w14:paraId="114ED3D0" w14:textId="77777777" w:rsidR="00E71ADC" w:rsidRDefault="00000000">
            <w:pPr>
              <w:pStyle w:val="Compact"/>
            </w:pPr>
            <w:r>
              <w:t>Description</w:t>
            </w:r>
          </w:p>
        </w:tc>
      </w:tr>
      <w:tr w:rsidR="00E71ADC" w14:paraId="0A39B869" w14:textId="77777777">
        <w:tc>
          <w:tcPr>
            <w:tcW w:w="1980" w:type="dxa"/>
          </w:tcPr>
          <w:p w14:paraId="34528D54" w14:textId="77777777" w:rsidR="00E71ADC" w:rsidRDefault="00000000">
            <w:pPr>
              <w:pStyle w:val="Compact"/>
            </w:pPr>
            <w:r>
              <w:t>Result</w:t>
            </w:r>
          </w:p>
        </w:tc>
        <w:tc>
          <w:tcPr>
            <w:tcW w:w="1980" w:type="dxa"/>
          </w:tcPr>
          <w:p w14:paraId="5E04AB87" w14:textId="77777777" w:rsidR="00E71ADC" w:rsidRDefault="00000000">
            <w:pPr>
              <w:pStyle w:val="Compact"/>
            </w:pPr>
            <w:r>
              <w:t>See technical design.</w:t>
            </w:r>
          </w:p>
        </w:tc>
        <w:tc>
          <w:tcPr>
            <w:tcW w:w="1980" w:type="dxa"/>
          </w:tcPr>
          <w:p w14:paraId="743535FA" w14:textId="77777777" w:rsidR="00E71ADC" w:rsidRDefault="00000000">
            <w:pPr>
              <w:pStyle w:val="Compact"/>
            </w:pPr>
            <w:r>
              <w:t>0..1</w:t>
            </w:r>
          </w:p>
        </w:tc>
        <w:tc>
          <w:tcPr>
            <w:tcW w:w="1980" w:type="dxa"/>
          </w:tcPr>
          <w:p w14:paraId="3864B327" w14:textId="77777777" w:rsidR="00E71ADC" w:rsidRDefault="00000000">
            <w:pPr>
              <w:pStyle w:val="Compact"/>
            </w:pPr>
            <w:r>
              <w:t>Confirmation or error message.</w:t>
            </w:r>
          </w:p>
        </w:tc>
      </w:tr>
    </w:tbl>
    <w:p w14:paraId="6364546E" w14:textId="77777777" w:rsidR="00E71ADC" w:rsidRDefault="00000000">
      <w:pPr>
        <w:pStyle w:val="Heading3"/>
      </w:pPr>
      <w:bookmarkStart w:id="95" w:name="_1d03e9ec6097c442edb3211b4889eee4c242c8b"/>
      <w:bookmarkStart w:id="96" w:name="_Toc242095868"/>
      <w:bookmarkEnd w:id="87"/>
      <w:bookmarkEnd w:id="89"/>
      <w:bookmarkEnd w:id="90"/>
      <w:r>
        <w:lastRenderedPageBreak/>
        <w:t>Upload Operation (Consumer Operation - Optional)</w:t>
      </w:r>
      <w:bookmarkEnd w:id="96"/>
    </w:p>
    <w:p w14:paraId="1B07FA52" w14:textId="77777777" w:rsidR="00E71ADC" w:rsidRDefault="00000000">
      <w:pPr>
        <w:pStyle w:val="FirstParagraph"/>
      </w:pPr>
      <w:r>
        <w:t>The purpose of this operation is to allow service providers to upload (push) enhanced AtoN information to a service consumer. Hence, a consumer needs to implement this functionality as a separate operation or support it through the technology selected for the subscription operation, in order to receive S-201 datasets from a subscription or a unicast/broadcast operation.</w:t>
      </w:r>
    </w:p>
    <w:p w14:paraId="1C1AE705" w14:textId="77777777" w:rsidR="00E71ADC" w:rsidRDefault="00000000">
      <w:pPr>
        <w:pStyle w:val="BodyText"/>
      </w:pPr>
      <w:r>
        <w:rPr>
          <w:b/>
          <w:bCs/>
        </w:rPr>
        <w:t>Note</w:t>
      </w:r>
      <w:r>
        <w:t>: This may not be implemented as a separate interface as different technologies already implement this functionality on other levels (e.g., by using a message-oriented middleware like the MCP MMS, RabbitMQ or Kafka).</w:t>
      </w:r>
    </w:p>
    <w:p w14:paraId="4F1D6C61" w14:textId="77777777" w:rsidR="00E71ADC" w:rsidRDefault="00000000">
      <w:pPr>
        <w:pStyle w:val="CaptionedFigure"/>
      </w:pPr>
      <w:bookmarkStart w:id="97" w:name="_405bfeb55735570071dee063a014904e692379f"/>
      <w:r>
        <w:rPr>
          <w:noProof/>
        </w:rPr>
        <w:drawing>
          <wp:inline distT="0" distB="0" distL="0" distR="0" wp14:anchorId="3CDD521F" wp14:editId="11A44595">
            <wp:extent cx="4857750" cy="2208068"/>
            <wp:effectExtent l="0" t="0" r="0" b="0"/>
            <wp:docPr id="7" name="Picture" descr="Upload operation."/>
            <wp:cNvGraphicFramePr/>
            <a:graphic xmlns:a="http://schemas.openxmlformats.org/drawingml/2006/main">
              <a:graphicData uri="http://schemas.openxmlformats.org/drawingml/2006/picture">
                <pic:pic xmlns:pic="http://schemas.openxmlformats.org/drawingml/2006/picture">
                  <pic:nvPicPr>
                    <pic:cNvPr id="7" name="Picture" descr="source/guideline/../../resources/UploadInterface.png"/>
                    <pic:cNvPicPr>
                      <a:picLocks noChangeAspect="1" noChangeArrowheads="1"/>
                    </pic:cNvPicPr>
                  </pic:nvPicPr>
                  <pic:blipFill>
                    <a:blip r:embed="rId32"/>
                    <a:stretch>
                      <a:fillRect/>
                    </a:stretch>
                  </pic:blipFill>
                  <pic:spPr bwMode="auto">
                    <a:xfrm>
                      <a:off x="0" y="0"/>
                      <a:ext cx="4857750" cy="2208068"/>
                    </a:xfrm>
                    <a:prstGeom prst="rect">
                      <a:avLst/>
                    </a:prstGeom>
                    <a:noFill/>
                    <a:ln w="9525">
                      <a:noFill/>
                      <a:headEnd/>
                      <a:tailEnd/>
                    </a:ln>
                  </pic:spPr>
                </pic:pic>
              </a:graphicData>
            </a:graphic>
          </wp:inline>
        </w:drawing>
      </w:r>
    </w:p>
    <w:p w14:paraId="36D39C9B" w14:textId="77777777" w:rsidR="00E71ADC" w:rsidRDefault="00000000">
      <w:pPr>
        <w:pStyle w:val="ImageCaption"/>
      </w:pPr>
      <w:bookmarkStart w:id="98" w:name="_Toc242095904"/>
      <w:r>
        <w:t>Upload operation.</w:t>
      </w:r>
      <w:bookmarkEnd w:id="98"/>
    </w:p>
    <w:p w14:paraId="6F2BB834" w14:textId="77777777" w:rsidR="00E71ADC" w:rsidRDefault="00000000">
      <w:pPr>
        <w:pStyle w:val="Heading4"/>
      </w:pPr>
      <w:bookmarkStart w:id="99" w:name="_84b853ba3341563e290e91782ed1f99198056db"/>
      <w:bookmarkEnd w:id="91"/>
      <w:r>
        <w:t>Operation Functionality</w:t>
      </w:r>
    </w:p>
    <w:p w14:paraId="7B46912F" w14:textId="77777777" w:rsidR="00E71ADC" w:rsidRDefault="00000000">
      <w:pPr>
        <w:pStyle w:val="FirstParagraph"/>
      </w:pPr>
      <w:r>
        <w:t>This operation allows service consumers to be directly informed about new or updated S-201 datasets made available. The operation may follow two types of exchange patterns. The first one is a one-way paradigm (ONE_WAY), where a service sends data to the consumer without expecting information back, other than a technical response. Alternatively, a request-callback paradigm (REQUEST_CALLBACK) can be employed, where uploads are expected to result in an acknowledgement message sent asynchronously back. This acknowledgement should be directed to an Acknowledgement operation of the service provider. This mechanism however, as well as the operation specification, is left to be defined at the service design level, as it is considered to be implementation specific.</w:t>
      </w:r>
    </w:p>
    <w:p w14:paraId="5D3CA04C" w14:textId="77777777" w:rsidR="00E71ADC" w:rsidRDefault="00000000">
      <w:pPr>
        <w:pStyle w:val="BodyText"/>
      </w:pPr>
      <w:r>
        <w:t xml:space="preserve">This operation can be used both in single uploads and uploads under a subscription. The parameter </w:t>
      </w:r>
      <w:r>
        <w:rPr>
          <w:rStyle w:val="VerbatimChar"/>
        </w:rPr>
        <w:t>&lt;SubscriptionIdentifier&gt;</w:t>
      </w:r>
      <w:r>
        <w:t xml:space="preserve"> indicates whether the upload took place within or outside a subscription, by specifying the subscription identifier.</w:t>
      </w:r>
    </w:p>
    <w:p w14:paraId="79DE76EC" w14:textId="77777777" w:rsidR="00E71ADC" w:rsidRDefault="00000000">
      <w:pPr>
        <w:pStyle w:val="BodyText"/>
      </w:pPr>
      <w:r>
        <w:t>As stated previously, this operation may optionally consume the following operations:</w:t>
      </w:r>
    </w:p>
    <w:p w14:paraId="66852A7A" w14:textId="77777777" w:rsidR="00E71ADC" w:rsidRDefault="00000000">
      <w:pPr>
        <w:pStyle w:val="Compact"/>
        <w:numPr>
          <w:ilvl w:val="0"/>
          <w:numId w:val="38"/>
        </w:numPr>
      </w:pPr>
      <w:r>
        <w:t>Acknowledgement</w:t>
      </w:r>
    </w:p>
    <w:p w14:paraId="1DBB7625" w14:textId="77777777" w:rsidR="00E71ADC" w:rsidRDefault="00000000">
      <w:pPr>
        <w:pStyle w:val="FirstParagraph"/>
      </w:pPr>
      <w:r>
        <w:t xml:space="preserve">When uploading enhanced AtoN information to a consumer, and if this functionality is actually supported by the service provider, the acknowledgement can be requested through the </w:t>
      </w:r>
      <w:r>
        <w:rPr>
          <w:rStyle w:val="VerbatimChar"/>
        </w:rPr>
        <w:t>&lt;AckRequest&gt;</w:t>
      </w:r>
      <w:r>
        <w:t xml:space="preserve"> operational parameter. The encoding of this parameter is left to be defined by the technical design, as it is implementation specific. For example, in SECOM this would be represented by a simple Boolean value, while other technologies may require to a more complex structure that defines the location of the provider service endpoint, as well as authentication information.</w:t>
      </w:r>
    </w:p>
    <w:p w14:paraId="3BB02B87" w14:textId="77777777" w:rsidR="00E71ADC" w:rsidRDefault="00000000">
      <w:pPr>
        <w:pStyle w:val="BodyText"/>
      </w:pPr>
      <w:r>
        <w:t>The acknowledgement message may be expected to be received when the uploaded message has been delivered to end system (technical acknowledgement), and/or if supported, when the message has been opened (read) by the end-user (operational acknowledgement). More information on this can be found in Section 7.2, describing the dynamic behaviour description of the subscription operation.</w:t>
      </w:r>
    </w:p>
    <w:p w14:paraId="7082BBD2" w14:textId="77777777" w:rsidR="00E71ADC" w:rsidRDefault="00000000">
      <w:pPr>
        <w:pStyle w:val="Heading4"/>
      </w:pPr>
      <w:bookmarkStart w:id="100" w:name="_0c9dcad903314eb0bd5551a0f47ca26c28a48d8"/>
      <w:bookmarkEnd w:id="93"/>
      <w:r>
        <w:lastRenderedPageBreak/>
        <w:t>Operation Parameters</w:t>
      </w:r>
    </w:p>
    <w:p w14:paraId="626C6910" w14:textId="77777777" w:rsidR="00E71ADC" w:rsidRDefault="00000000">
      <w:pPr>
        <w:pStyle w:val="TableCaption"/>
      </w:pPr>
      <w:bookmarkStart w:id="101" w:name="_47b917f8d654b070a77bb628cb9aee05c4d3c5b"/>
      <w:bookmarkStart w:id="102" w:name="_Toc242095892"/>
      <w:r>
        <w:t>The Upload Operation Parameters.</w:t>
      </w:r>
      <w:bookmarkEnd w:id="102"/>
    </w:p>
    <w:tbl>
      <w:tblPr>
        <w:tblStyle w:val="Table"/>
        <w:tblW w:w="5000" w:type="pct"/>
        <w:tblLayout w:type="fixed"/>
        <w:tblLook w:val="0020" w:firstRow="1" w:lastRow="0" w:firstColumn="0" w:lastColumn="0" w:noHBand="0" w:noVBand="0"/>
        <w:tblCaption w:val="The Upload Operation Parameters."/>
      </w:tblPr>
      <w:tblGrid>
        <w:gridCol w:w="2548"/>
        <w:gridCol w:w="2549"/>
        <w:gridCol w:w="2549"/>
        <w:gridCol w:w="2549"/>
      </w:tblGrid>
      <w:tr w:rsidR="00E71ADC" w14:paraId="3A4C9D9F"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74077BBA" w14:textId="77777777" w:rsidR="00E71ADC" w:rsidRDefault="00000000">
            <w:pPr>
              <w:pStyle w:val="Compact"/>
            </w:pPr>
            <w:r>
              <w:t>Parameters (in)</w:t>
            </w:r>
          </w:p>
        </w:tc>
        <w:tc>
          <w:tcPr>
            <w:tcW w:w="1980" w:type="dxa"/>
          </w:tcPr>
          <w:p w14:paraId="5E228482" w14:textId="77777777" w:rsidR="00E71ADC" w:rsidRDefault="00000000">
            <w:pPr>
              <w:pStyle w:val="Compact"/>
            </w:pPr>
            <w:r>
              <w:t>Encoding</w:t>
            </w:r>
          </w:p>
        </w:tc>
        <w:tc>
          <w:tcPr>
            <w:tcW w:w="1980" w:type="dxa"/>
          </w:tcPr>
          <w:p w14:paraId="6D424577" w14:textId="77777777" w:rsidR="00E71ADC" w:rsidRDefault="00000000">
            <w:pPr>
              <w:pStyle w:val="Compact"/>
            </w:pPr>
            <w:r>
              <w:t>Mult.</w:t>
            </w:r>
          </w:p>
        </w:tc>
        <w:tc>
          <w:tcPr>
            <w:tcW w:w="1980" w:type="dxa"/>
          </w:tcPr>
          <w:p w14:paraId="226FE90F" w14:textId="77777777" w:rsidR="00E71ADC" w:rsidRDefault="00000000">
            <w:pPr>
              <w:pStyle w:val="Compact"/>
            </w:pPr>
            <w:r>
              <w:t>Description</w:t>
            </w:r>
          </w:p>
        </w:tc>
      </w:tr>
      <w:tr w:rsidR="00E71ADC" w14:paraId="0448844F" w14:textId="77777777">
        <w:tc>
          <w:tcPr>
            <w:tcW w:w="1980" w:type="dxa"/>
          </w:tcPr>
          <w:p w14:paraId="2847A6F1" w14:textId="77777777" w:rsidR="00E71ADC" w:rsidRDefault="00000000">
            <w:pPr>
              <w:pStyle w:val="Compact"/>
            </w:pPr>
            <w:r>
              <w:t>Data</w:t>
            </w:r>
          </w:p>
        </w:tc>
        <w:tc>
          <w:tcPr>
            <w:tcW w:w="1980" w:type="dxa"/>
          </w:tcPr>
          <w:p w14:paraId="5FDC3EA5" w14:textId="77777777" w:rsidR="00E71ADC" w:rsidRDefault="00000000">
            <w:pPr>
              <w:pStyle w:val="Compact"/>
            </w:pPr>
            <w:r>
              <w:t>See technical design</w:t>
            </w:r>
          </w:p>
        </w:tc>
        <w:tc>
          <w:tcPr>
            <w:tcW w:w="1980" w:type="dxa"/>
          </w:tcPr>
          <w:p w14:paraId="1F5C2AA4" w14:textId="77777777" w:rsidR="00E71ADC" w:rsidRDefault="00000000">
            <w:pPr>
              <w:pStyle w:val="Compact"/>
            </w:pPr>
            <w:r>
              <w:t>1</w:t>
            </w:r>
          </w:p>
        </w:tc>
        <w:tc>
          <w:tcPr>
            <w:tcW w:w="1980" w:type="dxa"/>
          </w:tcPr>
          <w:p w14:paraId="2DDCA23B" w14:textId="77777777" w:rsidR="00E71ADC" w:rsidRDefault="00000000">
            <w:pPr>
              <w:pStyle w:val="Compact"/>
            </w:pPr>
            <w:r>
              <w:t>S-201 datasets which conform to the data product specification including the service metadata (see Section 5).</w:t>
            </w:r>
          </w:p>
        </w:tc>
      </w:tr>
      <w:tr w:rsidR="00E71ADC" w14:paraId="3D3CDE75" w14:textId="77777777">
        <w:tc>
          <w:tcPr>
            <w:tcW w:w="1980" w:type="dxa"/>
          </w:tcPr>
          <w:p w14:paraId="6D087A20" w14:textId="77777777" w:rsidR="00E71ADC" w:rsidRDefault="00000000">
            <w:pPr>
              <w:pStyle w:val="Compact"/>
            </w:pPr>
            <w:r>
              <w:t>SubscriptionIdentifier (Optional)</w:t>
            </w:r>
          </w:p>
        </w:tc>
        <w:tc>
          <w:tcPr>
            <w:tcW w:w="1980" w:type="dxa"/>
          </w:tcPr>
          <w:p w14:paraId="79421D00" w14:textId="77777777" w:rsidR="00E71ADC" w:rsidRDefault="00000000">
            <w:pPr>
              <w:pStyle w:val="Compact"/>
            </w:pPr>
            <w:r>
              <w:t>See technical design</w:t>
            </w:r>
          </w:p>
        </w:tc>
        <w:tc>
          <w:tcPr>
            <w:tcW w:w="1980" w:type="dxa"/>
          </w:tcPr>
          <w:p w14:paraId="785F811B" w14:textId="77777777" w:rsidR="00E71ADC" w:rsidRDefault="00000000">
            <w:pPr>
              <w:pStyle w:val="Compact"/>
            </w:pPr>
            <w:r>
              <w:t>0..1</w:t>
            </w:r>
          </w:p>
        </w:tc>
        <w:tc>
          <w:tcPr>
            <w:tcW w:w="1980" w:type="dxa"/>
          </w:tcPr>
          <w:p w14:paraId="02E8EF9C" w14:textId="77777777" w:rsidR="00E71ADC" w:rsidRDefault="00000000">
            <w:pPr>
              <w:pStyle w:val="Compact"/>
            </w:pPr>
            <w:r>
              <w:t>Specific identifier of the subscription as part of which the data is being uploaded for.</w:t>
            </w:r>
          </w:p>
        </w:tc>
      </w:tr>
      <w:tr w:rsidR="00E71ADC" w14:paraId="307FB870" w14:textId="77777777">
        <w:tc>
          <w:tcPr>
            <w:tcW w:w="1980" w:type="dxa"/>
          </w:tcPr>
          <w:p w14:paraId="632EFD7B" w14:textId="77777777" w:rsidR="00E71ADC" w:rsidRDefault="00000000">
            <w:pPr>
              <w:pStyle w:val="Compact"/>
            </w:pPr>
            <w:r>
              <w:t>AckRequest (Optional)</w:t>
            </w:r>
          </w:p>
        </w:tc>
        <w:tc>
          <w:tcPr>
            <w:tcW w:w="1980" w:type="dxa"/>
          </w:tcPr>
          <w:p w14:paraId="1CBF3366" w14:textId="77777777" w:rsidR="00E71ADC" w:rsidRDefault="00000000">
            <w:pPr>
              <w:pStyle w:val="Compact"/>
            </w:pPr>
            <w:r>
              <w:t>See technical design</w:t>
            </w:r>
          </w:p>
        </w:tc>
        <w:tc>
          <w:tcPr>
            <w:tcW w:w="1980" w:type="dxa"/>
          </w:tcPr>
          <w:p w14:paraId="6E23901E" w14:textId="77777777" w:rsidR="00E71ADC" w:rsidRDefault="00000000">
            <w:pPr>
              <w:pStyle w:val="Compact"/>
            </w:pPr>
            <w:r>
              <w:t>0..1</w:t>
            </w:r>
          </w:p>
        </w:tc>
        <w:tc>
          <w:tcPr>
            <w:tcW w:w="1980" w:type="dxa"/>
          </w:tcPr>
          <w:p w14:paraId="655CB459" w14:textId="77777777" w:rsidR="00E71ADC" w:rsidRDefault="00000000">
            <w:pPr>
              <w:pStyle w:val="Compact"/>
            </w:pPr>
            <w:r>
              <w:t>Flag to indicate that acknowledgement is expected when delivered, and an acknowledgement when message has been opened (read) by end-user.</w:t>
            </w:r>
          </w:p>
        </w:tc>
      </w:tr>
      <w:bookmarkEnd w:id="95"/>
    </w:tbl>
    <w:p w14:paraId="2ED36F10" w14:textId="77777777" w:rsidR="00E71ADC" w:rsidRDefault="00E71ADC"/>
    <w:p w14:paraId="00589282" w14:textId="77777777" w:rsidR="00E71ADC" w:rsidRDefault="00000000">
      <w:pPr>
        <w:pStyle w:val="TableCaption"/>
      </w:pPr>
      <w:bookmarkStart w:id="103" w:name="_a14dbf3642db4ecf522d1d333a3d82d247e9596"/>
      <w:bookmarkStart w:id="104" w:name="_Toc242095893"/>
      <w:r>
        <w:t>The Upload Operation Return Types.</w:t>
      </w:r>
      <w:bookmarkEnd w:id="104"/>
    </w:p>
    <w:tbl>
      <w:tblPr>
        <w:tblStyle w:val="Table"/>
        <w:tblW w:w="0" w:type="auto"/>
        <w:tblLook w:val="0020" w:firstRow="1" w:lastRow="0" w:firstColumn="0" w:lastColumn="0" w:noHBand="0" w:noVBand="0"/>
        <w:tblCaption w:val="The Upload Operation Return Types."/>
      </w:tblPr>
      <w:tblGrid>
        <w:gridCol w:w="1641"/>
        <w:gridCol w:w="1859"/>
        <w:gridCol w:w="671"/>
        <w:gridCol w:w="2770"/>
      </w:tblGrid>
      <w:tr w:rsidR="00E71ADC" w14:paraId="739342C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60F92299" w14:textId="77777777" w:rsidR="00E71ADC" w:rsidRDefault="00000000">
            <w:pPr>
              <w:pStyle w:val="Compact"/>
            </w:pPr>
            <w:r>
              <w:t>ReturnType (out)</w:t>
            </w:r>
          </w:p>
        </w:tc>
        <w:tc>
          <w:tcPr>
            <w:tcW w:w="0" w:type="auto"/>
          </w:tcPr>
          <w:p w14:paraId="50B12937" w14:textId="77777777" w:rsidR="00E71ADC" w:rsidRDefault="00000000">
            <w:pPr>
              <w:pStyle w:val="Compact"/>
            </w:pPr>
            <w:r>
              <w:t>Encoding</w:t>
            </w:r>
          </w:p>
        </w:tc>
        <w:tc>
          <w:tcPr>
            <w:tcW w:w="0" w:type="auto"/>
          </w:tcPr>
          <w:p w14:paraId="3786FED8" w14:textId="77777777" w:rsidR="00E71ADC" w:rsidRDefault="00000000">
            <w:pPr>
              <w:pStyle w:val="Compact"/>
            </w:pPr>
            <w:r>
              <w:t>Mult.</w:t>
            </w:r>
          </w:p>
        </w:tc>
        <w:tc>
          <w:tcPr>
            <w:tcW w:w="0" w:type="auto"/>
          </w:tcPr>
          <w:p w14:paraId="50EB7278" w14:textId="77777777" w:rsidR="00E71ADC" w:rsidRDefault="00000000">
            <w:pPr>
              <w:pStyle w:val="Compact"/>
            </w:pPr>
            <w:r>
              <w:t>Description</w:t>
            </w:r>
          </w:p>
        </w:tc>
      </w:tr>
      <w:tr w:rsidR="00E71ADC" w14:paraId="7741AFA6" w14:textId="77777777">
        <w:tc>
          <w:tcPr>
            <w:tcW w:w="0" w:type="auto"/>
          </w:tcPr>
          <w:p w14:paraId="7376B12C" w14:textId="77777777" w:rsidR="00E71ADC" w:rsidRDefault="00000000">
            <w:pPr>
              <w:pStyle w:val="Compact"/>
            </w:pPr>
            <w:r>
              <w:t>Result</w:t>
            </w:r>
          </w:p>
        </w:tc>
        <w:tc>
          <w:tcPr>
            <w:tcW w:w="0" w:type="auto"/>
          </w:tcPr>
          <w:p w14:paraId="2B77EB2F" w14:textId="77777777" w:rsidR="00E71ADC" w:rsidRDefault="00000000">
            <w:pPr>
              <w:pStyle w:val="Compact"/>
            </w:pPr>
            <w:r>
              <w:t>See technical design</w:t>
            </w:r>
          </w:p>
        </w:tc>
        <w:tc>
          <w:tcPr>
            <w:tcW w:w="0" w:type="auto"/>
          </w:tcPr>
          <w:p w14:paraId="328629D7" w14:textId="77777777" w:rsidR="00E71ADC" w:rsidRDefault="00000000">
            <w:pPr>
              <w:pStyle w:val="Compact"/>
            </w:pPr>
            <w:r>
              <w:t>1</w:t>
            </w:r>
          </w:p>
        </w:tc>
        <w:tc>
          <w:tcPr>
            <w:tcW w:w="0" w:type="auto"/>
          </w:tcPr>
          <w:p w14:paraId="5FFFE6AF" w14:textId="77777777" w:rsidR="00E71ADC" w:rsidRDefault="00000000">
            <w:pPr>
              <w:pStyle w:val="Compact"/>
            </w:pPr>
            <w:r>
              <w:t>Confirmation or error message.</w:t>
            </w:r>
          </w:p>
        </w:tc>
      </w:tr>
    </w:tbl>
    <w:p w14:paraId="2DFC589C" w14:textId="77777777" w:rsidR="00E71ADC" w:rsidRDefault="00000000">
      <w:pPr>
        <w:pStyle w:val="Heading3"/>
      </w:pPr>
      <w:bookmarkStart w:id="105" w:name="_de8099684741534585c057cd8b05d02ac56c529"/>
      <w:bookmarkStart w:id="106" w:name="_Toc242095869"/>
      <w:bookmarkEnd w:id="97"/>
      <w:bookmarkEnd w:id="99"/>
      <w:bookmarkEnd w:id="100"/>
      <w:r>
        <w:t>Subscription Notification Operation (Consumer Operation - Optional)</w:t>
      </w:r>
      <w:bookmarkEnd w:id="106"/>
    </w:p>
    <w:p w14:paraId="44E02254" w14:textId="77777777" w:rsidR="00E71ADC" w:rsidRDefault="00000000">
      <w:pPr>
        <w:pStyle w:val="FirstParagraph"/>
      </w:pPr>
      <w:r>
        <w:t>This operation is used by service consumers to receive notifications by a service provider, when a subscription is created or removed.</w:t>
      </w:r>
    </w:p>
    <w:p w14:paraId="6591B932" w14:textId="77777777" w:rsidR="00E71ADC" w:rsidRDefault="00000000">
      <w:pPr>
        <w:pStyle w:val="BodyText"/>
      </w:pPr>
      <w:r>
        <w:rPr>
          <w:b/>
          <w:bCs/>
        </w:rPr>
        <w:t>Note</w:t>
      </w:r>
      <w:r>
        <w:t>: This may not be implemented as a separate operation as different technologies already implement this functionality on other levels (e.g., by using a message-oriented middleware like the MCP MMS, RabbitMQ or Kafka).</w:t>
      </w:r>
    </w:p>
    <w:p w14:paraId="227A9459" w14:textId="77777777" w:rsidR="00E71ADC" w:rsidRDefault="00000000">
      <w:pPr>
        <w:pStyle w:val="CaptionedFigure"/>
      </w:pPr>
      <w:bookmarkStart w:id="107" w:name="_785f54fde5f8a87e219565937575f16c9545427"/>
      <w:r>
        <w:rPr>
          <w:noProof/>
        </w:rPr>
        <w:drawing>
          <wp:inline distT="0" distB="0" distL="0" distR="0" wp14:anchorId="660E2232" wp14:editId="4742B36D">
            <wp:extent cx="4857750" cy="2069522"/>
            <wp:effectExtent l="0" t="0" r="0" b="0"/>
            <wp:docPr id="8" name="Picture" descr="Subscription Notification operation."/>
            <wp:cNvGraphicFramePr/>
            <a:graphic xmlns:a="http://schemas.openxmlformats.org/drawingml/2006/main">
              <a:graphicData uri="http://schemas.openxmlformats.org/drawingml/2006/picture">
                <pic:pic xmlns:pic="http://schemas.openxmlformats.org/drawingml/2006/picture">
                  <pic:nvPicPr>
                    <pic:cNvPr id="8" name="Picture" descr="source/guideline/../../resources/SubscriptionNotificationInterface.png"/>
                    <pic:cNvPicPr>
                      <a:picLocks noChangeAspect="1" noChangeArrowheads="1"/>
                    </pic:cNvPicPr>
                  </pic:nvPicPr>
                  <pic:blipFill>
                    <a:blip r:embed="rId33"/>
                    <a:stretch>
                      <a:fillRect/>
                    </a:stretch>
                  </pic:blipFill>
                  <pic:spPr bwMode="auto">
                    <a:xfrm>
                      <a:off x="0" y="0"/>
                      <a:ext cx="4857750" cy="2069522"/>
                    </a:xfrm>
                    <a:prstGeom prst="rect">
                      <a:avLst/>
                    </a:prstGeom>
                    <a:noFill/>
                    <a:ln w="9525">
                      <a:noFill/>
                      <a:headEnd/>
                      <a:tailEnd/>
                    </a:ln>
                  </pic:spPr>
                </pic:pic>
              </a:graphicData>
            </a:graphic>
          </wp:inline>
        </w:drawing>
      </w:r>
    </w:p>
    <w:p w14:paraId="5399E45C" w14:textId="77777777" w:rsidR="00E71ADC" w:rsidRDefault="00000000">
      <w:pPr>
        <w:pStyle w:val="ImageCaption"/>
      </w:pPr>
      <w:bookmarkStart w:id="108" w:name="_Toc242095905"/>
      <w:r>
        <w:t>Subscription Notification operation.</w:t>
      </w:r>
      <w:bookmarkEnd w:id="108"/>
    </w:p>
    <w:p w14:paraId="51DA88F1" w14:textId="77777777" w:rsidR="00E71ADC" w:rsidRDefault="00000000">
      <w:pPr>
        <w:pStyle w:val="Heading4"/>
      </w:pPr>
      <w:bookmarkStart w:id="109" w:name="_f78cb36710e7a9a8ad84a401a976abedcbd7e82"/>
      <w:bookmarkEnd w:id="101"/>
      <w:r>
        <w:t>Operation Functionality</w:t>
      </w:r>
    </w:p>
    <w:p w14:paraId="47C4787E" w14:textId="77777777" w:rsidR="00E71ADC" w:rsidRDefault="00000000">
      <w:pPr>
        <w:pStyle w:val="FirstParagraph"/>
      </w:pPr>
      <w:r>
        <w:t xml:space="preserve">The operation receives notifications by the service provider, when a subscription is created or removed, either internally by the information owner, or externally on request. This operation follows a one-way paradigm (ONE_WAY), where a service sends data to consumer without expecting information back, other than a technical </w:t>
      </w:r>
      <w:r>
        <w:lastRenderedPageBreak/>
        <w:t>response. More information on this operation can be found in Section Section 7, describing the dynamic behaviour description of the subscription on enhanced AtoN information.</w:t>
      </w:r>
    </w:p>
    <w:p w14:paraId="574F45AD" w14:textId="77777777" w:rsidR="00E71ADC" w:rsidRDefault="00000000">
      <w:pPr>
        <w:pStyle w:val="Heading4"/>
      </w:pPr>
      <w:bookmarkStart w:id="110" w:name="_52b47f999cb38430c43d8c4a932ea67b6509eec"/>
      <w:bookmarkEnd w:id="103"/>
      <w:r>
        <w:t>Operation Parameters</w:t>
      </w:r>
    </w:p>
    <w:p w14:paraId="1730D7C4" w14:textId="77777777" w:rsidR="00E71ADC" w:rsidRDefault="00000000">
      <w:pPr>
        <w:pStyle w:val="TableCaption"/>
      </w:pPr>
      <w:bookmarkStart w:id="111" w:name="_4a5f9649b449730308343b9f9c6324addca667f"/>
      <w:bookmarkStart w:id="112" w:name="_Toc242095894"/>
      <w:r>
        <w:t>The Subscription Notification Operation Parameters.</w:t>
      </w:r>
      <w:bookmarkEnd w:id="112"/>
    </w:p>
    <w:tbl>
      <w:tblPr>
        <w:tblStyle w:val="Table"/>
        <w:tblW w:w="5000" w:type="pct"/>
        <w:tblLayout w:type="fixed"/>
        <w:tblLook w:val="0020" w:firstRow="1" w:lastRow="0" w:firstColumn="0" w:lastColumn="0" w:noHBand="0" w:noVBand="0"/>
        <w:tblCaption w:val="The Subscription Notification Operation Parameters."/>
      </w:tblPr>
      <w:tblGrid>
        <w:gridCol w:w="2548"/>
        <w:gridCol w:w="2549"/>
        <w:gridCol w:w="2549"/>
        <w:gridCol w:w="2549"/>
      </w:tblGrid>
      <w:tr w:rsidR="00E71ADC" w14:paraId="45FF25D9"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47D22C7B" w14:textId="77777777" w:rsidR="00E71ADC" w:rsidRDefault="00000000">
            <w:pPr>
              <w:pStyle w:val="Compact"/>
            </w:pPr>
            <w:r>
              <w:t>Parameters (in)</w:t>
            </w:r>
          </w:p>
        </w:tc>
        <w:tc>
          <w:tcPr>
            <w:tcW w:w="1980" w:type="dxa"/>
          </w:tcPr>
          <w:p w14:paraId="65013FF3" w14:textId="77777777" w:rsidR="00E71ADC" w:rsidRDefault="00000000">
            <w:pPr>
              <w:pStyle w:val="Compact"/>
            </w:pPr>
            <w:r>
              <w:t>Encoding</w:t>
            </w:r>
          </w:p>
        </w:tc>
        <w:tc>
          <w:tcPr>
            <w:tcW w:w="1980" w:type="dxa"/>
          </w:tcPr>
          <w:p w14:paraId="7BFF423D" w14:textId="77777777" w:rsidR="00E71ADC" w:rsidRDefault="00000000">
            <w:pPr>
              <w:pStyle w:val="Compact"/>
            </w:pPr>
            <w:r>
              <w:t>Mult.</w:t>
            </w:r>
          </w:p>
        </w:tc>
        <w:tc>
          <w:tcPr>
            <w:tcW w:w="1980" w:type="dxa"/>
          </w:tcPr>
          <w:p w14:paraId="0A9D0CC2" w14:textId="77777777" w:rsidR="00E71ADC" w:rsidRDefault="00000000">
            <w:pPr>
              <w:pStyle w:val="Compact"/>
            </w:pPr>
            <w:r>
              <w:t>Description</w:t>
            </w:r>
          </w:p>
        </w:tc>
      </w:tr>
      <w:tr w:rsidR="00E71ADC" w14:paraId="441B2B08" w14:textId="77777777">
        <w:tc>
          <w:tcPr>
            <w:tcW w:w="1980" w:type="dxa"/>
          </w:tcPr>
          <w:p w14:paraId="685BD896" w14:textId="77777777" w:rsidR="00E71ADC" w:rsidRDefault="00000000">
            <w:pPr>
              <w:pStyle w:val="Compact"/>
            </w:pPr>
            <w:r>
              <w:t>SubscriptionIdentifier (Optional)</w:t>
            </w:r>
          </w:p>
        </w:tc>
        <w:tc>
          <w:tcPr>
            <w:tcW w:w="1980" w:type="dxa"/>
          </w:tcPr>
          <w:p w14:paraId="2690DBC5" w14:textId="77777777" w:rsidR="00E71ADC" w:rsidRDefault="00000000">
            <w:pPr>
              <w:pStyle w:val="Compact"/>
            </w:pPr>
            <w:r>
              <w:t>See technical design</w:t>
            </w:r>
          </w:p>
        </w:tc>
        <w:tc>
          <w:tcPr>
            <w:tcW w:w="1980" w:type="dxa"/>
          </w:tcPr>
          <w:p w14:paraId="1E4BCFE9" w14:textId="77777777" w:rsidR="00E71ADC" w:rsidRDefault="00000000">
            <w:pPr>
              <w:pStyle w:val="Compact"/>
            </w:pPr>
            <w:r>
              <w:t>1</w:t>
            </w:r>
          </w:p>
        </w:tc>
        <w:tc>
          <w:tcPr>
            <w:tcW w:w="1980" w:type="dxa"/>
          </w:tcPr>
          <w:p w14:paraId="5D73F216" w14:textId="77777777" w:rsidR="00E71ADC" w:rsidRDefault="00000000">
            <w:pPr>
              <w:pStyle w:val="Compact"/>
            </w:pPr>
            <w:r>
              <w:t>Specific identifier of the subscription for which the status has being updated.</w:t>
            </w:r>
          </w:p>
        </w:tc>
      </w:tr>
      <w:tr w:rsidR="00E71ADC" w14:paraId="4AD0E83C" w14:textId="77777777">
        <w:tc>
          <w:tcPr>
            <w:tcW w:w="1980" w:type="dxa"/>
          </w:tcPr>
          <w:p w14:paraId="614EA11B" w14:textId="77777777" w:rsidR="00E71ADC" w:rsidRDefault="00000000">
            <w:pPr>
              <w:pStyle w:val="Compact"/>
            </w:pPr>
            <w:r>
              <w:t>SubscriptionEvent</w:t>
            </w:r>
          </w:p>
        </w:tc>
        <w:tc>
          <w:tcPr>
            <w:tcW w:w="1980" w:type="dxa"/>
          </w:tcPr>
          <w:p w14:paraId="2087626D" w14:textId="77777777" w:rsidR="00E71ADC" w:rsidRDefault="00000000">
            <w:pPr>
              <w:pStyle w:val="Compact"/>
            </w:pPr>
            <w:r>
              <w:t>See technical design</w:t>
            </w:r>
          </w:p>
        </w:tc>
        <w:tc>
          <w:tcPr>
            <w:tcW w:w="1980" w:type="dxa"/>
          </w:tcPr>
          <w:p w14:paraId="04D7AC5E" w14:textId="77777777" w:rsidR="00E71ADC" w:rsidRDefault="00000000">
            <w:pPr>
              <w:pStyle w:val="Compact"/>
            </w:pPr>
            <w:r>
              <w:t>1</w:t>
            </w:r>
          </w:p>
        </w:tc>
        <w:tc>
          <w:tcPr>
            <w:tcW w:w="1980" w:type="dxa"/>
          </w:tcPr>
          <w:p w14:paraId="60FC5189" w14:textId="77777777" w:rsidR="00E71ADC" w:rsidRDefault="00000000">
            <w:pPr>
              <w:pStyle w:val="Compact"/>
            </w:pPr>
            <w:r>
              <w:t>Type of subscription status update event; Created or Deleted/Removed.</w:t>
            </w:r>
          </w:p>
        </w:tc>
      </w:tr>
      <w:bookmarkEnd w:id="105"/>
    </w:tbl>
    <w:p w14:paraId="4B6A1C1D" w14:textId="77777777" w:rsidR="00E71ADC" w:rsidRDefault="00E71ADC"/>
    <w:p w14:paraId="40C567F7" w14:textId="77777777" w:rsidR="00E71ADC" w:rsidRDefault="00000000">
      <w:pPr>
        <w:pStyle w:val="TableCaption"/>
      </w:pPr>
      <w:bookmarkStart w:id="113" w:name="_5fec97643d09b5c2a4a9e63015cd3cbbbc867cd"/>
      <w:bookmarkStart w:id="114" w:name="_Toc242095895"/>
      <w:r>
        <w:t>The Subscription Notification Operation Return Types.</w:t>
      </w:r>
      <w:bookmarkEnd w:id="114"/>
    </w:p>
    <w:tbl>
      <w:tblPr>
        <w:tblStyle w:val="Table"/>
        <w:tblW w:w="0" w:type="auto"/>
        <w:tblLook w:val="0020" w:firstRow="1" w:lastRow="0" w:firstColumn="0" w:lastColumn="0" w:noHBand="0" w:noVBand="0"/>
        <w:tblCaption w:val="The Subscription Notification Operation Return Types."/>
      </w:tblPr>
      <w:tblGrid>
        <w:gridCol w:w="1641"/>
        <w:gridCol w:w="1859"/>
        <w:gridCol w:w="671"/>
        <w:gridCol w:w="2770"/>
      </w:tblGrid>
      <w:tr w:rsidR="00E71ADC" w14:paraId="6C0AB1C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03249FE" w14:textId="77777777" w:rsidR="00E71ADC" w:rsidRDefault="00000000">
            <w:pPr>
              <w:pStyle w:val="Compact"/>
            </w:pPr>
            <w:r>
              <w:t>ReturnType (out)</w:t>
            </w:r>
          </w:p>
        </w:tc>
        <w:tc>
          <w:tcPr>
            <w:tcW w:w="0" w:type="auto"/>
          </w:tcPr>
          <w:p w14:paraId="544D7841" w14:textId="77777777" w:rsidR="00E71ADC" w:rsidRDefault="00000000">
            <w:pPr>
              <w:pStyle w:val="Compact"/>
            </w:pPr>
            <w:r>
              <w:t>Encoding</w:t>
            </w:r>
          </w:p>
        </w:tc>
        <w:tc>
          <w:tcPr>
            <w:tcW w:w="0" w:type="auto"/>
          </w:tcPr>
          <w:p w14:paraId="3B0B2D81" w14:textId="77777777" w:rsidR="00E71ADC" w:rsidRDefault="00000000">
            <w:pPr>
              <w:pStyle w:val="Compact"/>
            </w:pPr>
            <w:r>
              <w:t>Mult.</w:t>
            </w:r>
          </w:p>
        </w:tc>
        <w:tc>
          <w:tcPr>
            <w:tcW w:w="0" w:type="auto"/>
          </w:tcPr>
          <w:p w14:paraId="36DD8A2D" w14:textId="77777777" w:rsidR="00E71ADC" w:rsidRDefault="00000000">
            <w:pPr>
              <w:pStyle w:val="Compact"/>
            </w:pPr>
            <w:r>
              <w:t>Description</w:t>
            </w:r>
          </w:p>
        </w:tc>
      </w:tr>
      <w:tr w:rsidR="00E71ADC" w14:paraId="48C75837" w14:textId="77777777">
        <w:tc>
          <w:tcPr>
            <w:tcW w:w="0" w:type="auto"/>
          </w:tcPr>
          <w:p w14:paraId="7153A397" w14:textId="77777777" w:rsidR="00E71ADC" w:rsidRDefault="00000000">
            <w:pPr>
              <w:pStyle w:val="Compact"/>
            </w:pPr>
            <w:r>
              <w:t>Result</w:t>
            </w:r>
          </w:p>
        </w:tc>
        <w:tc>
          <w:tcPr>
            <w:tcW w:w="0" w:type="auto"/>
          </w:tcPr>
          <w:p w14:paraId="30B7D8F5" w14:textId="77777777" w:rsidR="00E71ADC" w:rsidRDefault="00000000">
            <w:pPr>
              <w:pStyle w:val="Compact"/>
            </w:pPr>
            <w:r>
              <w:t>See technical design</w:t>
            </w:r>
          </w:p>
        </w:tc>
        <w:tc>
          <w:tcPr>
            <w:tcW w:w="0" w:type="auto"/>
          </w:tcPr>
          <w:p w14:paraId="180B07A6" w14:textId="77777777" w:rsidR="00E71ADC" w:rsidRDefault="00000000">
            <w:pPr>
              <w:pStyle w:val="Compact"/>
            </w:pPr>
            <w:r>
              <w:t>1</w:t>
            </w:r>
          </w:p>
        </w:tc>
        <w:tc>
          <w:tcPr>
            <w:tcW w:w="0" w:type="auto"/>
          </w:tcPr>
          <w:p w14:paraId="7A311A35" w14:textId="77777777" w:rsidR="00E71ADC" w:rsidRDefault="00000000">
            <w:pPr>
              <w:pStyle w:val="Compact"/>
            </w:pPr>
            <w:r>
              <w:t>Confirmation or error message.</w:t>
            </w:r>
          </w:p>
        </w:tc>
      </w:tr>
      <w:bookmarkEnd w:id="107"/>
    </w:tbl>
    <w:p w14:paraId="229024A7" w14:textId="77777777" w:rsidR="00E71ADC" w:rsidRDefault="00000000">
      <w:r>
        <w:br w:type="page"/>
      </w:r>
    </w:p>
    <w:p w14:paraId="0EDAD903" w14:textId="77777777" w:rsidR="00E71ADC" w:rsidRDefault="00000000">
      <w:pPr>
        <w:pStyle w:val="Heading1"/>
      </w:pPr>
      <w:bookmarkStart w:id="115" w:name="_5bf6f463f5552839b8532210262bd375968e263"/>
      <w:bookmarkStart w:id="116" w:name="_Toc242095870"/>
      <w:bookmarkEnd w:id="109"/>
      <w:bookmarkEnd w:id="110"/>
      <w:bookmarkEnd w:id="111"/>
      <w:bookmarkEnd w:id="113"/>
      <w:r>
        <w:lastRenderedPageBreak/>
        <w:t>Service Data Model</w:t>
      </w:r>
      <w:bookmarkEnd w:id="116"/>
    </w:p>
    <w:p w14:paraId="7CC4005C" w14:textId="77777777" w:rsidR="00E71ADC" w:rsidRDefault="00000000">
      <w:pPr>
        <w:pStyle w:val="FirstParagraph"/>
      </w:pPr>
      <w:r>
        <w:t>This section describes the logical data structures to be exchanged between providers and consumers of the service. The service data model is bound by the current definition of the IALA S-201. For complete and updated documentation refer to the latest S-201 Product Specification which can be found at:</w:t>
      </w:r>
    </w:p>
    <w:p w14:paraId="064EB313" w14:textId="77777777" w:rsidR="00E71ADC" w:rsidRDefault="00000000">
      <w:pPr>
        <w:pStyle w:val="SourceCode"/>
      </w:pPr>
      <w:r>
        <w:rPr>
          <w:rStyle w:val="VerbatimChar"/>
        </w:rPr>
        <w:t>https://www.iala.int/technical/data-modelling/iala-s-200-development-status/s-201/</w:t>
      </w:r>
    </w:p>
    <w:p w14:paraId="143897E0" w14:textId="77777777" w:rsidR="00E71ADC" w:rsidRDefault="00000000">
      <w:pPr>
        <w:pStyle w:val="FirstParagraph"/>
      </w:pPr>
      <w:r>
        <w:t>Included in the service data model is a full description followed by specific extracts for;</w:t>
      </w:r>
    </w:p>
    <w:p w14:paraId="5A273A26" w14:textId="77777777" w:rsidR="00E71ADC" w:rsidRDefault="00000000">
      <w:pPr>
        <w:pStyle w:val="Compact"/>
        <w:numPr>
          <w:ilvl w:val="0"/>
          <w:numId w:val="39"/>
        </w:numPr>
      </w:pPr>
      <w:r>
        <w:t>AtoN Information Features and Information types</w:t>
      </w:r>
    </w:p>
    <w:p w14:paraId="2DEEB27A" w14:textId="77777777" w:rsidR="00E71ADC" w:rsidRDefault="00000000">
      <w:pPr>
        <w:pStyle w:val="Compact"/>
        <w:numPr>
          <w:ilvl w:val="0"/>
          <w:numId w:val="39"/>
        </w:numPr>
      </w:pPr>
      <w:r>
        <w:t>Enumerations</w:t>
      </w:r>
    </w:p>
    <w:p w14:paraId="3941B0A9" w14:textId="77777777" w:rsidR="00E71ADC" w:rsidRDefault="00000000">
      <w:pPr>
        <w:pStyle w:val="Compact"/>
        <w:numPr>
          <w:ilvl w:val="0"/>
          <w:numId w:val="39"/>
        </w:numPr>
      </w:pPr>
      <w:r>
        <w:t>Complex Attributes</w:t>
      </w:r>
    </w:p>
    <w:p w14:paraId="28232208" w14:textId="77777777" w:rsidR="00E71ADC" w:rsidRDefault="00000000">
      <w:pPr>
        <w:pStyle w:val="FirstParagraph"/>
      </w:pPr>
      <w:r>
        <w:t>Note that the S-100 specification [6] describes in Appendix 9-B how S-100 based data models shall be formulated in XML schema format.</w:t>
      </w:r>
    </w:p>
    <w:p w14:paraId="66DD5031" w14:textId="77777777" w:rsidR="00E71ADC" w:rsidRDefault="00000000">
      <w:pPr>
        <w:pStyle w:val="BodyText"/>
      </w:pPr>
      <w:r>
        <w:t>Since the main purpose of the discussed service is to provide enhanced AtoN information for AtoN authorities, the S-201 information should be packaged as S-100 datasets, alongside any necessary metadata and other support information. The S-100 data model specification [6] in Appendix 4aS-100 Part 17, introduces the Exchange Set data structure, precisely for supporting this functionality. To indicate that S-201 datasets are coupled with additional service metadata, we refer to the type S100ExchangeSet (see Figure 9).</w:t>
      </w:r>
    </w:p>
    <w:p w14:paraId="535A45FC" w14:textId="77777777" w:rsidR="00E71ADC" w:rsidRDefault="00000000">
      <w:pPr>
        <w:pStyle w:val="CaptionedFigure"/>
      </w:pPr>
      <w:bookmarkStart w:id="117" w:name="_0910f56a61d41cfa4eb323b2ad2b28bc273375f"/>
      <w:r>
        <w:rPr>
          <w:noProof/>
        </w:rPr>
        <w:drawing>
          <wp:inline distT="0" distB="0" distL="0" distR="0" wp14:anchorId="64EA3F93" wp14:editId="0995E896">
            <wp:extent cx="4210050" cy="1666875"/>
            <wp:effectExtent l="0" t="0" r="0" b="0"/>
            <wp:docPr id="9" name="Picture" descr="S-201 dataset coupled with service metadata in an S-100 Exchange Set."/>
            <wp:cNvGraphicFramePr/>
            <a:graphic xmlns:a="http://schemas.openxmlformats.org/drawingml/2006/main">
              <a:graphicData uri="http://schemas.openxmlformats.org/drawingml/2006/picture">
                <pic:pic xmlns:pic="http://schemas.openxmlformats.org/drawingml/2006/picture">
                  <pic:nvPicPr>
                    <pic:cNvPr id="9" name="Picture" descr="source/guideline/../../resources/S201WithMetadata.png"/>
                    <pic:cNvPicPr>
                      <a:picLocks noChangeAspect="1" noChangeArrowheads="1"/>
                    </pic:cNvPicPr>
                  </pic:nvPicPr>
                  <pic:blipFill>
                    <a:blip r:embed="rId34"/>
                    <a:stretch>
                      <a:fillRect/>
                    </a:stretch>
                  </pic:blipFill>
                  <pic:spPr bwMode="auto">
                    <a:xfrm>
                      <a:off x="0" y="0"/>
                      <a:ext cx="4210050" cy="1666875"/>
                    </a:xfrm>
                    <a:prstGeom prst="rect">
                      <a:avLst/>
                    </a:prstGeom>
                    <a:noFill/>
                    <a:ln w="9525">
                      <a:noFill/>
                      <a:headEnd/>
                      <a:tailEnd/>
                    </a:ln>
                  </pic:spPr>
                </pic:pic>
              </a:graphicData>
            </a:graphic>
          </wp:inline>
        </w:drawing>
      </w:r>
    </w:p>
    <w:p w14:paraId="493BBAC0" w14:textId="77777777" w:rsidR="00E71ADC" w:rsidRDefault="00000000">
      <w:pPr>
        <w:pStyle w:val="ImageCaption"/>
      </w:pPr>
      <w:bookmarkStart w:id="118" w:name="_Toc242095906"/>
      <w:r>
        <w:t>S-201 dataset coupled with service metadata in an S-100 Exchange Set.</w:t>
      </w:r>
      <w:bookmarkEnd w:id="118"/>
    </w:p>
    <w:p w14:paraId="1378284D" w14:textId="77777777" w:rsidR="00E71ADC" w:rsidRDefault="00000000">
      <w:pPr>
        <w:pStyle w:val="Heading1"/>
      </w:pPr>
      <w:bookmarkStart w:id="119" w:name="_ec001e09143d562855064df11849a1b5aa6de8c"/>
      <w:bookmarkStart w:id="120" w:name="_Toc242095871"/>
      <w:bookmarkEnd w:id="115"/>
      <w:bookmarkEnd w:id="117"/>
      <w:r>
        <w:t>Service Internal Data Model</w:t>
      </w:r>
      <w:bookmarkEnd w:id="120"/>
    </w:p>
    <w:p w14:paraId="03AECF91" w14:textId="77777777" w:rsidR="00E71ADC" w:rsidRDefault="00000000">
      <w:pPr>
        <w:pStyle w:val="FirstParagraph"/>
      </w:pPr>
      <w:r>
        <w:t>As the S-201 data model, used to represent the transmitted data, is developed independently from this service specification, the internal data model of the service should be adequate to generate the required S-201 datasets. In addition, a way to store service metadata that are not directly related to the data model (internal service identifies, signatures, etc.) is required. For further information, refer to IALA Guideline 1157 [7]. However, these metadata are mostly implementation specific and therefore are not discussed in this service specification. Examples on how to implement this functionality can also be found in the IHO S-100 data model specification [6], as well as the SECOM standard [5].</w:t>
      </w:r>
    </w:p>
    <w:p w14:paraId="645DACFD" w14:textId="77777777" w:rsidR="00E71ADC" w:rsidRDefault="00000000">
      <w:r>
        <w:br w:type="page"/>
      </w:r>
    </w:p>
    <w:p w14:paraId="78C25267" w14:textId="77777777" w:rsidR="00E71ADC" w:rsidRDefault="00000000">
      <w:pPr>
        <w:pStyle w:val="Heading1"/>
      </w:pPr>
      <w:bookmarkStart w:id="121" w:name="_d3e58ffce74e5b4345ae6466f84876dd9e0371c"/>
      <w:bookmarkStart w:id="122" w:name="_Toc242095872"/>
      <w:bookmarkEnd w:id="119"/>
      <w:r>
        <w:lastRenderedPageBreak/>
        <w:t>Service Dynamic Behaviour</w:t>
      </w:r>
      <w:bookmarkEnd w:id="122"/>
    </w:p>
    <w:p w14:paraId="51E03A38" w14:textId="77777777" w:rsidR="00E71ADC" w:rsidRDefault="00000000">
      <w:pPr>
        <w:pStyle w:val="FirstParagraph"/>
      </w:pPr>
      <w:r>
        <w:t>This section describes the interactive behaviour of the operations between the service provider and the service consumers. The Enhanced AtoN Information service supports two different types of operations, namely the client-initiated retrieval of AtoN information, and the subscription-based AtoN information distribution. Both are discussed in the following sections respectively.</w:t>
      </w:r>
    </w:p>
    <w:p w14:paraId="2226597A" w14:textId="77777777" w:rsidR="00E71ADC" w:rsidRDefault="00000000">
      <w:pPr>
        <w:pStyle w:val="BodyText"/>
      </w:pPr>
      <w:r>
        <w:rPr>
          <w:b/>
          <w:bCs/>
        </w:rPr>
        <w:t>Note</w:t>
      </w:r>
      <w:r>
        <w:t>: The description of the behaviour of the aforementioned operations, is provided in an abstract manner, where generic actions are performed on technology-agnostic endpoints. The implementation of each of these operations is left to be decided by the extending service design documents. In addition, any specific authentication procedure that is being applied is out of scope of the service specification and should be described in the service designs of this service.</w:t>
      </w:r>
    </w:p>
    <w:p w14:paraId="34435CB6" w14:textId="77777777" w:rsidR="00E71ADC" w:rsidRDefault="00000000">
      <w:pPr>
        <w:pStyle w:val="Heading2"/>
      </w:pPr>
      <w:bookmarkStart w:id="123" w:name="_a8c46ada8d3a71107c9f5d2dc04e5eb37dc6132"/>
      <w:bookmarkStart w:id="124" w:name="_Toc242095873"/>
      <w:r>
        <w:t>Client-initiated Retrieval of AtoN Information</w:t>
      </w:r>
      <w:bookmarkEnd w:id="124"/>
    </w:p>
    <w:p w14:paraId="17487F39" w14:textId="77777777" w:rsidR="00E71ADC" w:rsidRDefault="00000000">
      <w:pPr>
        <w:pStyle w:val="FirstParagraph"/>
      </w:pPr>
      <w:r>
        <w:t xml:space="preserve">The client-initiated retrieval is triggered by the service consumer, when it issues request on the appropriate service provider operations (i.e. Get and Get Summary). This operation covers Use </w:t>
      </w:r>
      <w:r>
        <w:rPr>
          <w:b/>
          <w:bCs/>
          <w:i/>
          <w:iCs/>
        </w:rPr>
        <w:t>Case #1</w:t>
      </w:r>
      <w:r>
        <w:t>, as outlined in Section 3.4.4. All use cases can be achieved by two methods; either by directly requesting specific S-201 datasets, using the operation parameters of the Get operation, or by first requesting the S-201 dataset summary information through the Get Summary operation, and then using the provided dataset reference identifiers, to retrieve the corresponding S-201 datasets.</w:t>
      </w:r>
    </w:p>
    <w:p w14:paraId="53455DA9" w14:textId="77777777" w:rsidR="00E71ADC" w:rsidRDefault="00000000">
      <w:pPr>
        <w:pStyle w:val="BodyText"/>
      </w:pPr>
      <w:r>
        <w:t>The first method is presented in Figure 10, where the service consumer uses directly the Get operation of the service provider. By utilising the available operation parameters such as the geometry and the time-period, only specific S-201 datasets matching the specified criteria and/or have updates on the specified time-period interval, will be retrieved, packaged into an S-100 Exchange Set, and returned as a response.</w:t>
      </w:r>
    </w:p>
    <w:p w14:paraId="2726FFD4" w14:textId="77777777" w:rsidR="00E71ADC" w:rsidRDefault="00000000">
      <w:pPr>
        <w:pStyle w:val="CaptionedFigure"/>
      </w:pPr>
      <w:bookmarkStart w:id="125" w:name="_1ff642e4fecce5a17548c87c91df23cd22776e8"/>
      <w:r>
        <w:rPr>
          <w:noProof/>
        </w:rPr>
        <w:drawing>
          <wp:inline distT="0" distB="0" distL="0" distR="0" wp14:anchorId="57087179" wp14:editId="79F60486">
            <wp:extent cx="6477000" cy="2829652"/>
            <wp:effectExtent l="0" t="0" r="0" b="0"/>
            <wp:docPr id="10" name="Picture" descr="diagram"/>
            <wp:cNvGraphicFramePr/>
            <a:graphic xmlns:a="http://schemas.openxmlformats.org/drawingml/2006/main">
              <a:graphicData uri="http://schemas.openxmlformats.org/drawingml/2006/picture">
                <pic:pic xmlns:pic="http://schemas.openxmlformats.org/drawingml/2006/picture">
                  <pic:nvPicPr>
                    <pic:cNvPr id="10" name="Picture" descr="source/guideline/./dynamic_behaviour-1.png"/>
                    <pic:cNvPicPr>
                      <a:picLocks noChangeAspect="1" noChangeArrowheads="1"/>
                    </pic:cNvPicPr>
                  </pic:nvPicPr>
                  <pic:blipFill>
                    <a:blip r:embed="rId35"/>
                    <a:stretch>
                      <a:fillRect/>
                    </a:stretch>
                  </pic:blipFill>
                  <pic:spPr bwMode="auto">
                    <a:xfrm>
                      <a:off x="0" y="0"/>
                      <a:ext cx="6477000" cy="2829652"/>
                    </a:xfrm>
                    <a:prstGeom prst="rect">
                      <a:avLst/>
                    </a:prstGeom>
                    <a:noFill/>
                    <a:ln w="9525">
                      <a:noFill/>
                      <a:headEnd/>
                      <a:tailEnd/>
                    </a:ln>
                  </pic:spPr>
                </pic:pic>
              </a:graphicData>
            </a:graphic>
          </wp:inline>
        </w:drawing>
      </w:r>
    </w:p>
    <w:p w14:paraId="1E311CEB" w14:textId="77777777" w:rsidR="00E71ADC" w:rsidRDefault="00000000">
      <w:pPr>
        <w:pStyle w:val="ImageCaption"/>
      </w:pPr>
      <w:bookmarkStart w:id="126" w:name="_Toc242095907"/>
      <w:r>
        <w:t>Client-Initiated AtoN Information Retrieval through the Get operation.</w:t>
      </w:r>
      <w:bookmarkEnd w:id="126"/>
    </w:p>
    <w:bookmarkEnd w:id="121"/>
    <w:p w14:paraId="5D2F1FFD" w14:textId="77777777" w:rsidR="00E71ADC" w:rsidRDefault="00000000">
      <w:pPr>
        <w:pStyle w:val="FirstParagraph"/>
      </w:pPr>
      <w:r>
        <w:t xml:space="preserve">In cases where the service consumer requires more information, before making a decision on which datasets should be downloaded, the latter “Client-initiated AtoN Information Retrieval” method can be utilised, by contacting the Get Summary operation beforehand. This is demonstrated in Figure 11, where the service consumer requests the list of the available S-201 dataset metadata via the summary operation and directly receives a response from the service provider. The service consumer can then select a dataset reference identifier from the returned list and request the detailed information (i.e. the complete S-201 dataset) back, through the Get operation of the service </w:t>
      </w:r>
      <w:r>
        <w:lastRenderedPageBreak/>
        <w:t>provider. The corresponding S-201 dataset (and/or its corresponding updates) will be packaged as an S-100 Exchange Set and then get sent back to the service consumer as direct response.</w:t>
      </w:r>
    </w:p>
    <w:p w14:paraId="73EB04B9" w14:textId="77777777" w:rsidR="00E71ADC" w:rsidRDefault="00000000">
      <w:pPr>
        <w:pStyle w:val="CaptionedFigure"/>
      </w:pPr>
      <w:bookmarkStart w:id="127" w:name="_a799260ab5ee587eb408857f814c1960d725c5c"/>
      <w:r>
        <w:rPr>
          <w:noProof/>
        </w:rPr>
        <w:drawing>
          <wp:inline distT="0" distB="0" distL="0" distR="0" wp14:anchorId="6E187326" wp14:editId="3B067D5A">
            <wp:extent cx="6477000" cy="3436973"/>
            <wp:effectExtent l="0" t="0" r="0" b="0"/>
            <wp:docPr id="11" name="Picture" descr="diagram"/>
            <wp:cNvGraphicFramePr/>
            <a:graphic xmlns:a="http://schemas.openxmlformats.org/drawingml/2006/main">
              <a:graphicData uri="http://schemas.openxmlformats.org/drawingml/2006/picture">
                <pic:pic xmlns:pic="http://schemas.openxmlformats.org/drawingml/2006/picture">
                  <pic:nvPicPr>
                    <pic:cNvPr id="11" name="Picture" descr="source/guideline/./dynamic_behaviour-2.png"/>
                    <pic:cNvPicPr>
                      <a:picLocks noChangeAspect="1" noChangeArrowheads="1"/>
                    </pic:cNvPicPr>
                  </pic:nvPicPr>
                  <pic:blipFill>
                    <a:blip r:embed="rId36"/>
                    <a:stretch>
                      <a:fillRect/>
                    </a:stretch>
                  </pic:blipFill>
                  <pic:spPr bwMode="auto">
                    <a:xfrm>
                      <a:off x="0" y="0"/>
                      <a:ext cx="6477000" cy="3436973"/>
                    </a:xfrm>
                    <a:prstGeom prst="rect">
                      <a:avLst/>
                    </a:prstGeom>
                    <a:noFill/>
                    <a:ln w="9525">
                      <a:noFill/>
                      <a:headEnd/>
                      <a:tailEnd/>
                    </a:ln>
                  </pic:spPr>
                </pic:pic>
              </a:graphicData>
            </a:graphic>
          </wp:inline>
        </w:drawing>
      </w:r>
    </w:p>
    <w:p w14:paraId="1A2128EB" w14:textId="77777777" w:rsidR="00E71ADC" w:rsidRDefault="00000000">
      <w:pPr>
        <w:pStyle w:val="ImageCaption"/>
      </w:pPr>
      <w:bookmarkStart w:id="128" w:name="_Toc242095908"/>
      <w:r>
        <w:t>Client-Initiated AtoN Information Retrieval through the Get Summary operation.</w:t>
      </w:r>
      <w:bookmarkEnd w:id="128"/>
    </w:p>
    <w:bookmarkEnd w:id="123"/>
    <w:p w14:paraId="052B6EA8" w14:textId="77777777" w:rsidR="00E71ADC" w:rsidRDefault="00000000">
      <w:pPr>
        <w:pStyle w:val="FirstParagraph"/>
      </w:pPr>
      <w:r>
        <w:t>As demonstrated in Figure 11, the Get Summary operation accepts similar operation parameters as the Get operation, which can be employed to filter the summary response list. This feature improves the flexibility of the whole operation as for example, even if a provided geometry operation parameter matches more than one S-201 datasets, only the required dataset will eventually be retrieved by the service consumer, by using its respective dataset reference identifier.</w:t>
      </w:r>
    </w:p>
    <w:p w14:paraId="6E40C7BE" w14:textId="77777777" w:rsidR="00E71ADC" w:rsidRDefault="00000000">
      <w:pPr>
        <w:pStyle w:val="Heading2"/>
      </w:pPr>
      <w:bookmarkStart w:id="129" w:name="_e1f4ba8c3d22d57be3c4dbcc66dda18514f615b"/>
      <w:bookmarkStart w:id="130" w:name="_Toc242095874"/>
      <w:bookmarkEnd w:id="125"/>
      <w:r>
        <w:t>Subscription-based AtoN Information Distribution</w:t>
      </w:r>
      <w:bookmarkEnd w:id="130"/>
    </w:p>
    <w:p w14:paraId="463BC460" w14:textId="77777777" w:rsidR="00E71ADC" w:rsidRDefault="00000000">
      <w:pPr>
        <w:pStyle w:val="FirstParagraph"/>
      </w:pPr>
      <w:r>
        <w:t>The subscription on AtoN Information is an alternative method of data propagation, in which a service consumer actively registers its interest to receive updates either on a specific set or alternatively, on all available S-201 datasets.</w:t>
      </w:r>
    </w:p>
    <w:p w14:paraId="7DE9768E" w14:textId="77777777" w:rsidR="00E71ADC" w:rsidRDefault="00000000">
      <w:pPr>
        <w:pStyle w:val="BodyText"/>
      </w:pPr>
      <w:r>
        <w:t>Figure 12 illustrates the typical behaviour of the subscription operation. Initially, the service consumer is required to initiate the procedure through the Subscription operation of the service provider. By utilising the available operation parameters such as the geometry and the subscription period, only the specific S-201 datasets matching the specified criteria and have updates during the specified subscription interval will be covered. Once the subscription request has been received, processed and accepted by the service provider, a notification should be sent back to the service consumer, using its Subscription Notification operation. This notification will indicate that the requested subscription has commenced and should include a subscription identifier reference for the established subscription.</w:t>
      </w:r>
    </w:p>
    <w:p w14:paraId="00762412" w14:textId="77777777" w:rsidR="00E71ADC" w:rsidRDefault="00000000">
      <w:pPr>
        <w:pStyle w:val="BodyText"/>
      </w:pPr>
      <w:r>
        <w:t>Whenever an update is made available on the set of S-201 datasets covered by a subscription, the service consumer Upload operation is used to deliver these updates, packaged as S-100 Exchange Sets, to the service consumer. Depending on the implementation of the service, the consumer may be required to respond to this operation by sending an acknowledgement message back to the service provider. This is an optional operation, depending on the implementing technology. Therefore, it is not covered as an operation in this service specification.</w:t>
      </w:r>
    </w:p>
    <w:p w14:paraId="4F526B07" w14:textId="77777777" w:rsidR="00E71ADC" w:rsidRDefault="00000000">
      <w:pPr>
        <w:pStyle w:val="BodyText"/>
      </w:pPr>
      <w:r>
        <w:t xml:space="preserve">The subscription updates will continue to be provided until </w:t>
      </w:r>
      <w:r>
        <w:rPr>
          <w:b/>
          <w:bCs/>
        </w:rPr>
        <w:t>one</w:t>
      </w:r>
      <w:r>
        <w:t xml:space="preserve"> of the following conditions are met:</w:t>
      </w:r>
    </w:p>
    <w:p w14:paraId="27E0D6FE" w14:textId="77777777" w:rsidR="00E71ADC" w:rsidRDefault="00000000">
      <w:pPr>
        <w:pStyle w:val="Compact"/>
        <w:numPr>
          <w:ilvl w:val="0"/>
          <w:numId w:val="40"/>
        </w:numPr>
      </w:pPr>
      <w:r>
        <w:lastRenderedPageBreak/>
        <w:t>The subscription period initially set by the service consumer has expired.</w:t>
      </w:r>
    </w:p>
    <w:p w14:paraId="77A49F58" w14:textId="77777777" w:rsidR="00E71ADC" w:rsidRDefault="00000000">
      <w:pPr>
        <w:pStyle w:val="Compact"/>
        <w:numPr>
          <w:ilvl w:val="0"/>
          <w:numId w:val="40"/>
        </w:numPr>
      </w:pPr>
      <w:r>
        <w:t>The service consumer requests an end to the active subscription, using the Remove Subscription operation of the service provider.</w:t>
      </w:r>
    </w:p>
    <w:p w14:paraId="0181E158" w14:textId="77777777" w:rsidR="00E71ADC" w:rsidRDefault="00000000">
      <w:pPr>
        <w:pStyle w:val="Compact"/>
        <w:numPr>
          <w:ilvl w:val="0"/>
          <w:numId w:val="40"/>
        </w:numPr>
      </w:pPr>
      <w:r>
        <w:t>The service provider removes the information objects covered by the subscription.</w:t>
      </w:r>
    </w:p>
    <w:p w14:paraId="6EAE8F82" w14:textId="77777777" w:rsidR="00E71ADC" w:rsidRDefault="00000000">
      <w:pPr>
        <w:pStyle w:val="Compact"/>
        <w:numPr>
          <w:ilvl w:val="0"/>
          <w:numId w:val="40"/>
        </w:numPr>
      </w:pPr>
      <w:r>
        <w:t>An expected incident/unexpected error forces the service provider to terminate the subscription.</w:t>
      </w:r>
    </w:p>
    <w:p w14:paraId="39C46451" w14:textId="77777777" w:rsidR="00E71ADC" w:rsidRDefault="00000000">
      <w:pPr>
        <w:pStyle w:val="CaptionedFigure"/>
      </w:pPr>
      <w:bookmarkStart w:id="131" w:name="_44dc000e6680f1b6a51373a720de64285719f5e"/>
      <w:r>
        <w:rPr>
          <w:noProof/>
        </w:rPr>
        <w:drawing>
          <wp:inline distT="0" distB="0" distL="0" distR="0" wp14:anchorId="0303CBFA" wp14:editId="43B4E6F9">
            <wp:extent cx="6477000" cy="4592449"/>
            <wp:effectExtent l="0" t="0" r="0" b="0"/>
            <wp:docPr id="12" name="Picture" descr="diagram"/>
            <wp:cNvGraphicFramePr/>
            <a:graphic xmlns:a="http://schemas.openxmlformats.org/drawingml/2006/main">
              <a:graphicData uri="http://schemas.openxmlformats.org/drawingml/2006/picture">
                <pic:pic xmlns:pic="http://schemas.openxmlformats.org/drawingml/2006/picture">
                  <pic:nvPicPr>
                    <pic:cNvPr id="12" name="Picture" descr="source/guideline/./dynamic_behaviour-3.png"/>
                    <pic:cNvPicPr>
                      <a:picLocks noChangeAspect="1" noChangeArrowheads="1"/>
                    </pic:cNvPicPr>
                  </pic:nvPicPr>
                  <pic:blipFill>
                    <a:blip r:embed="rId37"/>
                    <a:stretch>
                      <a:fillRect/>
                    </a:stretch>
                  </pic:blipFill>
                  <pic:spPr bwMode="auto">
                    <a:xfrm>
                      <a:off x="0" y="0"/>
                      <a:ext cx="6477000" cy="4592449"/>
                    </a:xfrm>
                    <a:prstGeom prst="rect">
                      <a:avLst/>
                    </a:prstGeom>
                    <a:noFill/>
                    <a:ln w="9525">
                      <a:noFill/>
                      <a:headEnd/>
                      <a:tailEnd/>
                    </a:ln>
                  </pic:spPr>
                </pic:pic>
              </a:graphicData>
            </a:graphic>
          </wp:inline>
        </w:drawing>
      </w:r>
    </w:p>
    <w:p w14:paraId="3E4940A2" w14:textId="77777777" w:rsidR="00E71ADC" w:rsidRDefault="00000000">
      <w:pPr>
        <w:pStyle w:val="ImageCaption"/>
      </w:pPr>
      <w:bookmarkStart w:id="132" w:name="_Toc242095909"/>
      <w:r>
        <w:t>Subscription requested by external service.</w:t>
      </w:r>
      <w:bookmarkEnd w:id="132"/>
    </w:p>
    <w:bookmarkEnd w:id="127"/>
    <w:p w14:paraId="1B414C16" w14:textId="77777777" w:rsidR="00E71ADC" w:rsidRDefault="00000000">
      <w:pPr>
        <w:pStyle w:val="FirstParagraph"/>
      </w:pPr>
      <w:r>
        <w:t>In the sequence diagram presented in Figure 12, the established subscription is terminated though a service consumer request. This should include the identifier reference of the subscription to be terminated, otherwise the service provider will terminate all active subscriptions for the service consumer performing the request. Once the service consumer’s request has been received, processed, and accepted by the service provider, another notification will be sent back to the service consumer’s Subscription Notification operation, to terminate the subscription process.</w:t>
      </w:r>
    </w:p>
    <w:p w14:paraId="3310BB8A" w14:textId="77777777" w:rsidR="00E71ADC" w:rsidRDefault="00000000">
      <w:pPr>
        <w:pStyle w:val="BodyText"/>
      </w:pPr>
      <w:r>
        <w:t>Note that the full contents of the S-201 datasets covered by a subscription, are not send back to the service consumer, unless a new dataset is created within the active period of an existing subscription that covers it. In all other cases, only the S-201 dataset changes will be transferred, in order to conserve bandwidth. Therefore, service consumer needs to utilise the Get (and Get Summary) operations, if the full contents of the S-201 datasets are required.</w:t>
      </w:r>
    </w:p>
    <w:p w14:paraId="23F764EB" w14:textId="77777777" w:rsidR="00E71ADC" w:rsidRDefault="00000000">
      <w:r>
        <w:br w:type="page"/>
      </w:r>
    </w:p>
    <w:p w14:paraId="64E73F4B" w14:textId="77777777" w:rsidR="00E71ADC" w:rsidRDefault="00000000">
      <w:pPr>
        <w:pStyle w:val="Heading1"/>
      </w:pPr>
      <w:bookmarkStart w:id="133" w:name="_references"/>
      <w:bookmarkStart w:id="134" w:name="_Toc242095875"/>
      <w:bookmarkEnd w:id="129"/>
      <w:bookmarkEnd w:id="131"/>
      <w:r>
        <w:lastRenderedPageBreak/>
        <w:t>References</w:t>
      </w:r>
      <w:bookmarkEnd w:id="134"/>
    </w:p>
    <w:p w14:paraId="16741BBB" w14:textId="77777777" w:rsidR="00E71ADC" w:rsidRDefault="00000000">
      <w:bookmarkStart w:id="135" w:name="_refs"/>
      <w:bookmarkStart w:id="136" w:name="_0b47f46b10ab145f237c47e8f9a1596159c21b8"/>
      <w:r>
        <w:t xml:space="preserve">[1] </w:t>
      </w:r>
      <w:r>
        <w:tab/>
        <w:t xml:space="preserve">International Organization for Marine Aids to Navigation (IALA), “The specification of e-navigation technical services,” Guideline 1128. Available: </w:t>
      </w:r>
      <w:hyperlink r:id="rId38">
        <w:r>
          <w:rPr>
            <w:rStyle w:val="Hyperlink"/>
          </w:rPr>
          <w:t>https://www.iala.int/product/g1128/</w:t>
        </w:r>
      </w:hyperlink>
    </w:p>
    <w:p w14:paraId="7F589598" w14:textId="77777777" w:rsidR="00E71ADC" w:rsidRDefault="00000000">
      <w:bookmarkStart w:id="137" w:name="_144641ce07337b0e21bf947c218d288d8342822"/>
      <w:bookmarkEnd w:id="133"/>
      <w:r>
        <w:t xml:space="preserve">[2] </w:t>
      </w:r>
      <w:r>
        <w:tab/>
        <w:t>International Organization for Marine Aids to Navigation (IALA), “S-201 – aids to navigation (AtoN) information product specification,” Standard 2.0.0.</w:t>
      </w:r>
    </w:p>
    <w:p w14:paraId="046FDF0F" w14:textId="77777777" w:rsidR="00E71ADC" w:rsidRDefault="00000000">
      <w:bookmarkStart w:id="138" w:name="_a71ce71395f6ae655380231bfac30ec50fc63f7"/>
      <w:bookmarkEnd w:id="135"/>
      <w:r>
        <w:t xml:space="preserve">[3] </w:t>
      </w:r>
      <w:r>
        <w:tab/>
        <w:t xml:space="preserve">International Organization for Marine Aids to Navigation (IALA), “MS-2 – aids to navigation maritime service – IALA g-1155 maritime service description,” Guideline XXXX. Available: </w:t>
      </w:r>
      <w:hyperlink r:id="rId39">
        <w:r>
          <w:rPr>
            <w:rStyle w:val="Hyperlink"/>
          </w:rPr>
          <w:t>https://www.iala.int/product/gXXXX/</w:t>
        </w:r>
      </w:hyperlink>
    </w:p>
    <w:p w14:paraId="52CCF939" w14:textId="77777777" w:rsidR="00E71ADC" w:rsidRDefault="00000000">
      <w:bookmarkStart w:id="139" w:name="_a9adff0a198a6dc23adaf8e98cc2a762ba3c022"/>
      <w:bookmarkEnd w:id="136"/>
      <w:r>
        <w:t xml:space="preserve">[4] </w:t>
      </w:r>
      <w:r>
        <w:tab/>
        <w:t>International Hydrographic Organization (IHO), “S-125 – interoperability guide,” Report 1.0.0.</w:t>
      </w:r>
    </w:p>
    <w:p w14:paraId="1C81D115" w14:textId="77777777" w:rsidR="00E71ADC" w:rsidRDefault="00000000">
      <w:bookmarkStart w:id="140" w:name="_62c097ad28c4b21aadec654955b40e5412e6be2"/>
      <w:bookmarkEnd w:id="137"/>
      <w:r>
        <w:t xml:space="preserve">[5] </w:t>
      </w:r>
      <w:r>
        <w:tab/>
        <w:t xml:space="preserve">International Electrotechnical Commission (IEC), “Maritime navigation and radiocommunication equipment and systems - data interfaces - part 2: Secure communication between ship and shore (SECOM),” Guideline 63173-2. Available: </w:t>
      </w:r>
      <w:hyperlink r:id="rId40">
        <w:r>
          <w:rPr>
            <w:rStyle w:val="Hyperlink"/>
          </w:rPr>
          <w:t>https://webstore.iec.ch/en/publication/64543</w:t>
        </w:r>
      </w:hyperlink>
    </w:p>
    <w:p w14:paraId="3B3ED025" w14:textId="77777777" w:rsidR="00E71ADC" w:rsidRDefault="00000000">
      <w:bookmarkStart w:id="141" w:name="_9b4b35f40fd92e9933f1c8daf7e40dec1db3548"/>
      <w:bookmarkEnd w:id="138"/>
      <w:r>
        <w:t xml:space="preserve">[6] </w:t>
      </w:r>
      <w:r>
        <w:tab/>
        <w:t xml:space="preserve">International Hydrographic Organization (IHO), “S-100 – universal hydrographic data model,” Standard 5.2.0. Available: </w:t>
      </w:r>
      <w:hyperlink r:id="rId41">
        <w:r>
          <w:rPr>
            <w:rStyle w:val="Hyperlink"/>
          </w:rPr>
          <w:t>https://iho.int/uploads/user/pubs/standards/s-100/S-100_5.2.0_Final_Clean.pdf</w:t>
        </w:r>
      </w:hyperlink>
    </w:p>
    <w:p w14:paraId="73C3FA26" w14:textId="77777777" w:rsidR="00E71ADC" w:rsidRDefault="00000000">
      <w:bookmarkStart w:id="142" w:name="_0187158084b43b069f52a36774e1f3d884ed99c"/>
      <w:bookmarkEnd w:id="139"/>
      <w:r>
        <w:t xml:space="preserve">[7] </w:t>
      </w:r>
      <w:r>
        <w:tab/>
        <w:t xml:space="preserve">International Organization for Marine Aids to Navigation (IALA), “Web service based s-100 data exchange,” Guideline 1157. Available: </w:t>
      </w:r>
      <w:hyperlink r:id="rId42">
        <w:r>
          <w:rPr>
            <w:rStyle w:val="Hyperlink"/>
          </w:rPr>
          <w:t>https://www.iala.int/product/g1157/</w:t>
        </w:r>
      </w:hyperlink>
    </w:p>
    <w:bookmarkEnd w:id="140"/>
    <w:bookmarkEnd w:id="141"/>
    <w:p w14:paraId="4060746C" w14:textId="77777777" w:rsidR="00E71ADC" w:rsidRDefault="00000000">
      <w:r>
        <w:br w:type="page"/>
      </w:r>
    </w:p>
    <w:p w14:paraId="4F5F2D5F" w14:textId="77777777" w:rsidR="00E71ADC" w:rsidRDefault="00000000">
      <w:pPr>
        <w:pStyle w:val="Heading1"/>
      </w:pPr>
      <w:bookmarkStart w:id="143" w:name="_a6f246967ec05921d1af89a4eefd5a4b74476a3"/>
      <w:bookmarkStart w:id="144" w:name="_Toc242095876"/>
      <w:bookmarkEnd w:id="142"/>
      <w:r>
        <w:lastRenderedPageBreak/>
        <w:t>Acronyms and Terminology</w:t>
      </w:r>
      <w:bookmarkEnd w:id="144"/>
    </w:p>
    <w:p w14:paraId="115C830F" w14:textId="77777777" w:rsidR="00E71ADC" w:rsidRDefault="00000000">
      <w:pPr>
        <w:pStyle w:val="Heading2"/>
      </w:pPr>
      <w:bookmarkStart w:id="145" w:name="_c0af5d4845e546aca099160f27526177c1d3cbf"/>
      <w:bookmarkStart w:id="146" w:name="_Toc242095877"/>
      <w:r>
        <w:t>Acronyms</w:t>
      </w:r>
      <w:bookmarkEnd w:id="146"/>
    </w:p>
    <w:p w14:paraId="251C9F5B" w14:textId="77777777" w:rsidR="00E71ADC" w:rsidRDefault="00000000">
      <w:pPr>
        <w:pStyle w:val="TableCaption"/>
      </w:pPr>
      <w:bookmarkStart w:id="147" w:name="_77b39a402af6bfe119bab419832ae02a6956a58"/>
      <w:bookmarkStart w:id="148" w:name="_Toc242095896"/>
      <w:r>
        <w:t>List of Acronyms</w:t>
      </w:r>
      <w:bookmarkEnd w:id="148"/>
    </w:p>
    <w:tbl>
      <w:tblPr>
        <w:tblStyle w:val="Table"/>
        <w:tblW w:w="0" w:type="auto"/>
        <w:tblLook w:val="0020" w:firstRow="1" w:lastRow="0" w:firstColumn="0" w:lastColumn="0" w:noHBand="0" w:noVBand="0"/>
        <w:tblCaption w:val="List of Acronyms"/>
      </w:tblPr>
      <w:tblGrid>
        <w:gridCol w:w="702"/>
        <w:gridCol w:w="3064"/>
      </w:tblGrid>
      <w:tr w:rsidR="00E71ADC" w14:paraId="5515AF3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561A35C8" w14:textId="77777777" w:rsidR="00E71ADC" w:rsidRDefault="00000000">
            <w:pPr>
              <w:pStyle w:val="Compact"/>
            </w:pPr>
            <w:r>
              <w:t>Term</w:t>
            </w:r>
          </w:p>
        </w:tc>
        <w:tc>
          <w:tcPr>
            <w:tcW w:w="0" w:type="auto"/>
          </w:tcPr>
          <w:p w14:paraId="468E1DAF" w14:textId="77777777" w:rsidR="00E71ADC" w:rsidRDefault="00000000">
            <w:pPr>
              <w:pStyle w:val="Compact"/>
            </w:pPr>
            <w:r>
              <w:t>Definition</w:t>
            </w:r>
          </w:p>
        </w:tc>
      </w:tr>
      <w:tr w:rsidR="00E71ADC" w14:paraId="00FCBC92" w14:textId="77777777">
        <w:tc>
          <w:tcPr>
            <w:tcW w:w="0" w:type="auto"/>
          </w:tcPr>
          <w:p w14:paraId="3BEFDFB8" w14:textId="77777777" w:rsidR="00E71ADC" w:rsidRDefault="00000000">
            <w:pPr>
              <w:pStyle w:val="Compact"/>
            </w:pPr>
            <w:r>
              <w:rPr>
                <w:b/>
                <w:bCs/>
                <w:i/>
                <w:iCs/>
              </w:rPr>
              <w:t>API</w:t>
            </w:r>
          </w:p>
        </w:tc>
        <w:tc>
          <w:tcPr>
            <w:tcW w:w="0" w:type="auto"/>
          </w:tcPr>
          <w:p w14:paraId="7C6670A7" w14:textId="77777777" w:rsidR="00E71ADC" w:rsidRDefault="00000000">
            <w:pPr>
              <w:pStyle w:val="Compact"/>
            </w:pPr>
            <w:r>
              <w:t>Application Programming Interface</w:t>
            </w:r>
          </w:p>
        </w:tc>
      </w:tr>
      <w:tr w:rsidR="00E71ADC" w14:paraId="60B64ACB" w14:textId="77777777">
        <w:tc>
          <w:tcPr>
            <w:tcW w:w="0" w:type="auto"/>
          </w:tcPr>
          <w:p w14:paraId="7ADAD0ED" w14:textId="77777777" w:rsidR="00E71ADC" w:rsidRDefault="00000000">
            <w:pPr>
              <w:pStyle w:val="Compact"/>
            </w:pPr>
            <w:r>
              <w:rPr>
                <w:b/>
                <w:bCs/>
                <w:i/>
                <w:iCs/>
              </w:rPr>
              <w:t>MC</w:t>
            </w:r>
          </w:p>
        </w:tc>
        <w:tc>
          <w:tcPr>
            <w:tcW w:w="0" w:type="auto"/>
          </w:tcPr>
          <w:p w14:paraId="378E1487" w14:textId="77777777" w:rsidR="00E71ADC" w:rsidRDefault="00000000">
            <w:pPr>
              <w:pStyle w:val="Compact"/>
            </w:pPr>
            <w:r>
              <w:t>Maritime Cloud</w:t>
            </w:r>
          </w:p>
        </w:tc>
      </w:tr>
      <w:tr w:rsidR="00E71ADC" w14:paraId="1D68A1E6" w14:textId="77777777">
        <w:tc>
          <w:tcPr>
            <w:tcW w:w="0" w:type="auto"/>
          </w:tcPr>
          <w:p w14:paraId="4C604016" w14:textId="77777777" w:rsidR="00E71ADC" w:rsidRDefault="00000000">
            <w:pPr>
              <w:pStyle w:val="Compact"/>
            </w:pPr>
            <w:r>
              <w:rPr>
                <w:b/>
                <w:bCs/>
                <w:i/>
                <w:iCs/>
              </w:rPr>
              <w:t>MEP</w:t>
            </w:r>
          </w:p>
        </w:tc>
        <w:tc>
          <w:tcPr>
            <w:tcW w:w="0" w:type="auto"/>
          </w:tcPr>
          <w:p w14:paraId="23876CE0" w14:textId="77777777" w:rsidR="00E71ADC" w:rsidRDefault="00000000">
            <w:pPr>
              <w:pStyle w:val="Compact"/>
            </w:pPr>
            <w:r>
              <w:t>Message Exchange Pattern</w:t>
            </w:r>
          </w:p>
        </w:tc>
      </w:tr>
      <w:tr w:rsidR="00E71ADC" w14:paraId="28063948" w14:textId="77777777">
        <w:tc>
          <w:tcPr>
            <w:tcW w:w="0" w:type="auto"/>
          </w:tcPr>
          <w:p w14:paraId="5217A3D5" w14:textId="77777777" w:rsidR="00E71ADC" w:rsidRDefault="00000000">
            <w:pPr>
              <w:pStyle w:val="Compact"/>
            </w:pPr>
            <w:r>
              <w:rPr>
                <w:b/>
                <w:bCs/>
                <w:i/>
                <w:iCs/>
              </w:rPr>
              <w:t>MRN</w:t>
            </w:r>
          </w:p>
        </w:tc>
        <w:tc>
          <w:tcPr>
            <w:tcW w:w="0" w:type="auto"/>
          </w:tcPr>
          <w:p w14:paraId="6FF513D1" w14:textId="77777777" w:rsidR="00E71ADC" w:rsidRDefault="00000000">
            <w:pPr>
              <w:pStyle w:val="Compact"/>
            </w:pPr>
            <w:r>
              <w:t>Maritime Resource Name</w:t>
            </w:r>
          </w:p>
        </w:tc>
      </w:tr>
      <w:tr w:rsidR="00E71ADC" w14:paraId="12002B8B" w14:textId="77777777">
        <w:tc>
          <w:tcPr>
            <w:tcW w:w="0" w:type="auto"/>
          </w:tcPr>
          <w:p w14:paraId="11D0387B" w14:textId="77777777" w:rsidR="00E71ADC" w:rsidRDefault="00000000">
            <w:pPr>
              <w:pStyle w:val="Compact"/>
            </w:pPr>
            <w:r>
              <w:rPr>
                <w:b/>
                <w:bCs/>
                <w:i/>
                <w:iCs/>
              </w:rPr>
              <w:t>NAF</w:t>
            </w:r>
          </w:p>
        </w:tc>
        <w:tc>
          <w:tcPr>
            <w:tcW w:w="0" w:type="auto"/>
          </w:tcPr>
          <w:p w14:paraId="7C13786F" w14:textId="77777777" w:rsidR="00E71ADC" w:rsidRDefault="00000000">
            <w:pPr>
              <w:pStyle w:val="Compact"/>
            </w:pPr>
            <w:r>
              <w:t>NATO Architectural Framework</w:t>
            </w:r>
          </w:p>
        </w:tc>
      </w:tr>
      <w:tr w:rsidR="00E71ADC" w14:paraId="49D49993" w14:textId="77777777">
        <w:tc>
          <w:tcPr>
            <w:tcW w:w="0" w:type="auto"/>
          </w:tcPr>
          <w:p w14:paraId="2B9338A8" w14:textId="77777777" w:rsidR="00E71ADC" w:rsidRDefault="00000000">
            <w:pPr>
              <w:pStyle w:val="Compact"/>
            </w:pPr>
            <w:r>
              <w:rPr>
                <w:b/>
                <w:bCs/>
                <w:i/>
                <w:iCs/>
              </w:rPr>
              <w:t>REST</w:t>
            </w:r>
          </w:p>
        </w:tc>
        <w:tc>
          <w:tcPr>
            <w:tcW w:w="0" w:type="auto"/>
          </w:tcPr>
          <w:p w14:paraId="49F1519C" w14:textId="77777777" w:rsidR="00E71ADC" w:rsidRDefault="00000000">
            <w:pPr>
              <w:pStyle w:val="Compact"/>
            </w:pPr>
            <w:r>
              <w:t>Representational State Transfer</w:t>
            </w:r>
          </w:p>
        </w:tc>
      </w:tr>
      <w:tr w:rsidR="00E71ADC" w14:paraId="39B99385" w14:textId="77777777">
        <w:tc>
          <w:tcPr>
            <w:tcW w:w="0" w:type="auto"/>
          </w:tcPr>
          <w:p w14:paraId="7C147650" w14:textId="77777777" w:rsidR="00E71ADC" w:rsidRDefault="00000000">
            <w:pPr>
              <w:pStyle w:val="Compact"/>
            </w:pPr>
            <w:r>
              <w:rPr>
                <w:b/>
                <w:bCs/>
                <w:i/>
                <w:iCs/>
              </w:rPr>
              <w:t>SOA</w:t>
            </w:r>
          </w:p>
        </w:tc>
        <w:tc>
          <w:tcPr>
            <w:tcW w:w="0" w:type="auto"/>
          </w:tcPr>
          <w:p w14:paraId="380BDA11" w14:textId="77777777" w:rsidR="00E71ADC" w:rsidRDefault="00000000">
            <w:pPr>
              <w:pStyle w:val="Compact"/>
            </w:pPr>
            <w:r>
              <w:t>Service Oriented Architecture</w:t>
            </w:r>
          </w:p>
        </w:tc>
      </w:tr>
      <w:tr w:rsidR="00E71ADC" w14:paraId="2AF98784" w14:textId="77777777">
        <w:tc>
          <w:tcPr>
            <w:tcW w:w="0" w:type="auto"/>
          </w:tcPr>
          <w:p w14:paraId="1F5D2AE3" w14:textId="77777777" w:rsidR="00E71ADC" w:rsidRDefault="00000000">
            <w:pPr>
              <w:pStyle w:val="Compact"/>
            </w:pPr>
            <w:r>
              <w:rPr>
                <w:b/>
                <w:bCs/>
                <w:i/>
                <w:iCs/>
              </w:rPr>
              <w:t>SOAP</w:t>
            </w:r>
          </w:p>
        </w:tc>
        <w:tc>
          <w:tcPr>
            <w:tcW w:w="0" w:type="auto"/>
          </w:tcPr>
          <w:p w14:paraId="54430A93" w14:textId="77777777" w:rsidR="00E71ADC" w:rsidRDefault="00000000">
            <w:pPr>
              <w:pStyle w:val="Compact"/>
            </w:pPr>
            <w:r>
              <w:t>Simple Object Access Protocol</w:t>
            </w:r>
          </w:p>
        </w:tc>
      </w:tr>
      <w:tr w:rsidR="00E71ADC" w14:paraId="6BAD175E" w14:textId="77777777">
        <w:tc>
          <w:tcPr>
            <w:tcW w:w="0" w:type="auto"/>
          </w:tcPr>
          <w:p w14:paraId="41D08BD3" w14:textId="77777777" w:rsidR="00E71ADC" w:rsidRDefault="00000000">
            <w:pPr>
              <w:pStyle w:val="Compact"/>
            </w:pPr>
            <w:r>
              <w:rPr>
                <w:b/>
                <w:bCs/>
                <w:i/>
                <w:iCs/>
              </w:rPr>
              <w:t>SSD</w:t>
            </w:r>
          </w:p>
        </w:tc>
        <w:tc>
          <w:tcPr>
            <w:tcW w:w="0" w:type="auto"/>
          </w:tcPr>
          <w:p w14:paraId="7890F251" w14:textId="77777777" w:rsidR="00E71ADC" w:rsidRDefault="00000000">
            <w:pPr>
              <w:pStyle w:val="Compact"/>
            </w:pPr>
            <w:r>
              <w:t>Service Specification Document</w:t>
            </w:r>
          </w:p>
        </w:tc>
      </w:tr>
      <w:tr w:rsidR="00E71ADC" w14:paraId="05F14BDF" w14:textId="77777777">
        <w:tc>
          <w:tcPr>
            <w:tcW w:w="0" w:type="auto"/>
          </w:tcPr>
          <w:p w14:paraId="6A665A6C" w14:textId="77777777" w:rsidR="00E71ADC" w:rsidRDefault="00000000">
            <w:pPr>
              <w:pStyle w:val="Compact"/>
            </w:pPr>
            <w:r>
              <w:rPr>
                <w:b/>
                <w:bCs/>
                <w:i/>
                <w:iCs/>
              </w:rPr>
              <w:t>UML</w:t>
            </w:r>
          </w:p>
        </w:tc>
        <w:tc>
          <w:tcPr>
            <w:tcW w:w="0" w:type="auto"/>
          </w:tcPr>
          <w:p w14:paraId="73A7C303" w14:textId="77777777" w:rsidR="00E71ADC" w:rsidRDefault="00000000">
            <w:pPr>
              <w:pStyle w:val="Compact"/>
            </w:pPr>
            <w:r>
              <w:t>Unified Modelling Language</w:t>
            </w:r>
          </w:p>
        </w:tc>
      </w:tr>
      <w:tr w:rsidR="00E71ADC" w14:paraId="7B01DB52" w14:textId="77777777">
        <w:tc>
          <w:tcPr>
            <w:tcW w:w="0" w:type="auto"/>
          </w:tcPr>
          <w:p w14:paraId="14F84E34" w14:textId="77777777" w:rsidR="00E71ADC" w:rsidRDefault="00000000">
            <w:pPr>
              <w:pStyle w:val="Compact"/>
            </w:pPr>
            <w:r>
              <w:rPr>
                <w:b/>
                <w:bCs/>
                <w:i/>
                <w:iCs/>
              </w:rPr>
              <w:t>URL</w:t>
            </w:r>
          </w:p>
        </w:tc>
        <w:tc>
          <w:tcPr>
            <w:tcW w:w="0" w:type="auto"/>
          </w:tcPr>
          <w:p w14:paraId="14DCF078" w14:textId="77777777" w:rsidR="00E71ADC" w:rsidRDefault="00000000">
            <w:pPr>
              <w:pStyle w:val="Compact"/>
            </w:pPr>
            <w:r>
              <w:t>Uniform Resource Locator</w:t>
            </w:r>
          </w:p>
        </w:tc>
      </w:tr>
      <w:tr w:rsidR="00E71ADC" w14:paraId="426AFCD0" w14:textId="77777777">
        <w:tc>
          <w:tcPr>
            <w:tcW w:w="0" w:type="auto"/>
          </w:tcPr>
          <w:p w14:paraId="1147CDAE" w14:textId="77777777" w:rsidR="00E71ADC" w:rsidRDefault="00000000">
            <w:pPr>
              <w:pStyle w:val="Compact"/>
            </w:pPr>
            <w:r>
              <w:rPr>
                <w:b/>
                <w:bCs/>
                <w:i/>
                <w:iCs/>
              </w:rPr>
              <w:t>VTS</w:t>
            </w:r>
          </w:p>
        </w:tc>
        <w:tc>
          <w:tcPr>
            <w:tcW w:w="0" w:type="auto"/>
          </w:tcPr>
          <w:p w14:paraId="0AAA4D7A" w14:textId="77777777" w:rsidR="00E71ADC" w:rsidRDefault="00000000">
            <w:pPr>
              <w:pStyle w:val="Compact"/>
            </w:pPr>
            <w:r>
              <w:t>Vessel Traffic Service</w:t>
            </w:r>
          </w:p>
        </w:tc>
      </w:tr>
      <w:tr w:rsidR="00E71ADC" w14:paraId="668CE947" w14:textId="77777777">
        <w:tc>
          <w:tcPr>
            <w:tcW w:w="0" w:type="auto"/>
          </w:tcPr>
          <w:p w14:paraId="1D7199F2" w14:textId="77777777" w:rsidR="00E71ADC" w:rsidRDefault="00000000">
            <w:pPr>
              <w:pStyle w:val="Compact"/>
            </w:pPr>
            <w:r>
              <w:rPr>
                <w:b/>
                <w:bCs/>
                <w:i/>
                <w:iCs/>
              </w:rPr>
              <w:t>WSDL</w:t>
            </w:r>
          </w:p>
        </w:tc>
        <w:tc>
          <w:tcPr>
            <w:tcW w:w="0" w:type="auto"/>
          </w:tcPr>
          <w:p w14:paraId="2A2B9F59" w14:textId="77777777" w:rsidR="00E71ADC" w:rsidRDefault="00000000">
            <w:pPr>
              <w:pStyle w:val="Compact"/>
            </w:pPr>
            <w:r>
              <w:t>Web Service Definition Language</w:t>
            </w:r>
          </w:p>
        </w:tc>
      </w:tr>
      <w:tr w:rsidR="00E71ADC" w14:paraId="3ED300B2" w14:textId="77777777">
        <w:tc>
          <w:tcPr>
            <w:tcW w:w="0" w:type="auto"/>
          </w:tcPr>
          <w:p w14:paraId="46DE41BA" w14:textId="77777777" w:rsidR="00E71ADC" w:rsidRDefault="00000000">
            <w:pPr>
              <w:pStyle w:val="Compact"/>
            </w:pPr>
            <w:r>
              <w:rPr>
                <w:b/>
                <w:bCs/>
                <w:i/>
                <w:iCs/>
              </w:rPr>
              <w:t>XML</w:t>
            </w:r>
          </w:p>
        </w:tc>
        <w:tc>
          <w:tcPr>
            <w:tcW w:w="0" w:type="auto"/>
          </w:tcPr>
          <w:p w14:paraId="578C5CDA" w14:textId="77777777" w:rsidR="00E71ADC" w:rsidRDefault="00000000">
            <w:pPr>
              <w:pStyle w:val="Compact"/>
            </w:pPr>
            <w:r>
              <w:t>Extendible Mark-up Language</w:t>
            </w:r>
          </w:p>
        </w:tc>
      </w:tr>
      <w:tr w:rsidR="00E71ADC" w14:paraId="24537328" w14:textId="77777777">
        <w:tc>
          <w:tcPr>
            <w:tcW w:w="0" w:type="auto"/>
          </w:tcPr>
          <w:p w14:paraId="3FCE7CEA" w14:textId="77777777" w:rsidR="00E71ADC" w:rsidRDefault="00000000">
            <w:pPr>
              <w:pStyle w:val="Compact"/>
            </w:pPr>
            <w:r>
              <w:rPr>
                <w:b/>
                <w:bCs/>
                <w:i/>
                <w:iCs/>
              </w:rPr>
              <w:t>XSD</w:t>
            </w:r>
          </w:p>
        </w:tc>
        <w:tc>
          <w:tcPr>
            <w:tcW w:w="0" w:type="auto"/>
          </w:tcPr>
          <w:p w14:paraId="6F9AE516" w14:textId="77777777" w:rsidR="00E71ADC" w:rsidRDefault="00000000">
            <w:pPr>
              <w:pStyle w:val="Compact"/>
            </w:pPr>
            <w:r>
              <w:t>XML Schema Definition</w:t>
            </w:r>
          </w:p>
        </w:tc>
      </w:tr>
      <w:bookmarkEnd w:id="143"/>
    </w:tbl>
    <w:p w14:paraId="30758A3E" w14:textId="77777777" w:rsidR="00E71ADC" w:rsidRDefault="00E71ADC"/>
    <w:p w14:paraId="284535A8" w14:textId="77777777" w:rsidR="00E71ADC" w:rsidRDefault="00000000">
      <w:pPr>
        <w:pStyle w:val="TableCaption"/>
      </w:pPr>
      <w:bookmarkStart w:id="149" w:name="_fe740c36bce682192465c9d433bd34618b16760"/>
      <w:bookmarkStart w:id="150" w:name="_Toc242095897"/>
      <w:r>
        <w:t>List of Terms</w:t>
      </w:r>
      <w:bookmarkEnd w:id="150"/>
    </w:p>
    <w:tbl>
      <w:tblPr>
        <w:tblStyle w:val="Table"/>
        <w:tblW w:w="5000" w:type="pct"/>
        <w:tblLayout w:type="fixed"/>
        <w:tblLook w:val="0020" w:firstRow="1" w:lastRow="0" w:firstColumn="0" w:lastColumn="0" w:noHBand="0" w:noVBand="0"/>
        <w:tblCaption w:val="List of Terms"/>
      </w:tblPr>
      <w:tblGrid>
        <w:gridCol w:w="5097"/>
        <w:gridCol w:w="5098"/>
      </w:tblGrid>
      <w:tr w:rsidR="00E71ADC" w14:paraId="39AD6634"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282C4D" w14:textId="77777777" w:rsidR="00E71ADC" w:rsidRDefault="00000000">
            <w:pPr>
              <w:pStyle w:val="Compact"/>
            </w:pPr>
            <w:r>
              <w:t>Term</w:t>
            </w:r>
          </w:p>
        </w:tc>
        <w:tc>
          <w:tcPr>
            <w:tcW w:w="3960" w:type="dxa"/>
          </w:tcPr>
          <w:p w14:paraId="5A383746" w14:textId="77777777" w:rsidR="00E71ADC" w:rsidRDefault="00000000">
            <w:pPr>
              <w:pStyle w:val="Compact"/>
            </w:pPr>
            <w:r>
              <w:t>Definition</w:t>
            </w:r>
          </w:p>
        </w:tc>
      </w:tr>
      <w:tr w:rsidR="00E71ADC" w14:paraId="15711152" w14:textId="77777777">
        <w:tc>
          <w:tcPr>
            <w:tcW w:w="3960" w:type="dxa"/>
          </w:tcPr>
          <w:p w14:paraId="4C36A757" w14:textId="77777777" w:rsidR="00E71ADC" w:rsidRDefault="00000000">
            <w:pPr>
              <w:pStyle w:val="Compact"/>
            </w:pPr>
            <w:r>
              <w:rPr>
                <w:b/>
                <w:bCs/>
                <w:i/>
                <w:iCs/>
              </w:rPr>
              <w:t>External Data Model</w:t>
            </w:r>
          </w:p>
        </w:tc>
        <w:tc>
          <w:tcPr>
            <w:tcW w:w="3960" w:type="dxa"/>
          </w:tcPr>
          <w:p w14:paraId="67BE9543" w14:textId="77777777" w:rsidR="00E71ADC" w:rsidRDefault="00000000">
            <w:pPr>
              <w:pStyle w:val="Compact"/>
            </w:pPr>
            <w:r>
              <w:t>Describes the semantics of the “maritime world” (or a significant part thereof) by defining data structures and their relations. This could be at logical level (e.g., in UML) or at physical level (e.g., in XSD schema definitions), as for example standard data models, or S-100 based data produce specifications.</w:t>
            </w:r>
          </w:p>
        </w:tc>
      </w:tr>
      <w:tr w:rsidR="00E71ADC" w14:paraId="10A3065A" w14:textId="77777777">
        <w:tc>
          <w:tcPr>
            <w:tcW w:w="3960" w:type="dxa"/>
          </w:tcPr>
          <w:p w14:paraId="2DB2326F" w14:textId="77777777" w:rsidR="00E71ADC" w:rsidRDefault="00000000">
            <w:pPr>
              <w:pStyle w:val="Compact"/>
            </w:pPr>
            <w:r>
              <w:rPr>
                <w:b/>
                <w:bCs/>
                <w:i/>
                <w:iCs/>
              </w:rPr>
              <w:t>Message Exchange Pattern</w:t>
            </w:r>
          </w:p>
        </w:tc>
        <w:tc>
          <w:tcPr>
            <w:tcW w:w="3960" w:type="dxa"/>
          </w:tcPr>
          <w:p w14:paraId="28459648" w14:textId="77777777" w:rsidR="00E71ADC" w:rsidRDefault="00000000">
            <w:pPr>
              <w:pStyle w:val="Compact"/>
            </w:pPr>
            <w:r>
              <w:t>Describes the principles how two different parts of a message passing system (in our case: the service provider and the service consumer) interact and communicate with each other. Examples: 1) In the Request/Response MEP, the service consumer sends a request to the service provider in order to obtain certain information; the service provider provides the requested information in a dedicated response. 2) In the Publish/Subscribe MEP, the service consumer establishes a subscription with the service provider in order to obtain certain information; the service provider publishes information (either in regular intervals or upon change) to all subscribed service consumers.</w:t>
            </w:r>
          </w:p>
        </w:tc>
      </w:tr>
      <w:tr w:rsidR="00E71ADC" w14:paraId="541982C2" w14:textId="77777777">
        <w:tc>
          <w:tcPr>
            <w:tcW w:w="3960" w:type="dxa"/>
          </w:tcPr>
          <w:p w14:paraId="59375507" w14:textId="77777777" w:rsidR="00E71ADC" w:rsidRDefault="00000000">
            <w:pPr>
              <w:pStyle w:val="Compact"/>
            </w:pPr>
            <w:r>
              <w:rPr>
                <w:b/>
                <w:bCs/>
                <w:i/>
                <w:iCs/>
              </w:rPr>
              <w:t>Operational Activity</w:t>
            </w:r>
          </w:p>
        </w:tc>
        <w:tc>
          <w:tcPr>
            <w:tcW w:w="3960" w:type="dxa"/>
          </w:tcPr>
          <w:p w14:paraId="3AC5DF6F" w14:textId="77777777" w:rsidR="00E71ADC" w:rsidRDefault="00000000">
            <w:pPr>
              <w:pStyle w:val="Compact"/>
            </w:pPr>
            <w:r>
              <w:t>An activity performed by an operational node. Examples of operational activities in the maritime context are: Route Planning, Route Optimization, Logistics, Safety, Weather Forecast Provision, …</w:t>
            </w:r>
          </w:p>
        </w:tc>
      </w:tr>
      <w:tr w:rsidR="00E71ADC" w14:paraId="4BF2913A" w14:textId="77777777">
        <w:tc>
          <w:tcPr>
            <w:tcW w:w="3960" w:type="dxa"/>
          </w:tcPr>
          <w:p w14:paraId="71BA39B8" w14:textId="77777777" w:rsidR="00E71ADC" w:rsidRDefault="00000000">
            <w:pPr>
              <w:pStyle w:val="Compact"/>
            </w:pPr>
            <w:r>
              <w:rPr>
                <w:b/>
                <w:bCs/>
                <w:i/>
                <w:iCs/>
              </w:rPr>
              <w:lastRenderedPageBreak/>
              <w:t>Operational Model</w:t>
            </w:r>
          </w:p>
        </w:tc>
        <w:tc>
          <w:tcPr>
            <w:tcW w:w="3960" w:type="dxa"/>
          </w:tcPr>
          <w:p w14:paraId="1045419B" w14:textId="77777777" w:rsidR="00E71ADC" w:rsidRDefault="00000000">
            <w:pPr>
              <w:pStyle w:val="Compact"/>
            </w:pPr>
            <w:r>
              <w:t>A structure of operational nodes and associated operational activities and their inter-relations in a process model.</w:t>
            </w:r>
          </w:p>
        </w:tc>
      </w:tr>
      <w:tr w:rsidR="00E71ADC" w14:paraId="39A4EAF7" w14:textId="77777777">
        <w:tc>
          <w:tcPr>
            <w:tcW w:w="3960" w:type="dxa"/>
          </w:tcPr>
          <w:p w14:paraId="33BA4792" w14:textId="77777777" w:rsidR="00E71ADC" w:rsidRDefault="00000000">
            <w:pPr>
              <w:pStyle w:val="Compact"/>
            </w:pPr>
            <w:r>
              <w:rPr>
                <w:b/>
                <w:bCs/>
                <w:i/>
                <w:iCs/>
              </w:rPr>
              <w:t>Operational Node</w:t>
            </w:r>
          </w:p>
        </w:tc>
        <w:tc>
          <w:tcPr>
            <w:tcW w:w="3960" w:type="dxa"/>
          </w:tcPr>
          <w:p w14:paraId="0C587C4A" w14:textId="77777777" w:rsidR="00E71ADC" w:rsidRDefault="00000000">
            <w:pPr>
              <w:pStyle w:val="Compact"/>
            </w:pPr>
            <w:r>
              <w:t>A logical entity that performs activities. Note: nodes are specified independently of any physical realisation. Examples of operational nodes in the maritime context are: Maritime Control Center, Maritime Authority, Ship, Port, Weather Information Provider, …</w:t>
            </w:r>
          </w:p>
        </w:tc>
      </w:tr>
      <w:tr w:rsidR="00E71ADC" w14:paraId="46AB7328" w14:textId="77777777">
        <w:tc>
          <w:tcPr>
            <w:tcW w:w="3960" w:type="dxa"/>
          </w:tcPr>
          <w:p w14:paraId="06D6D588" w14:textId="77777777" w:rsidR="00E71ADC" w:rsidRDefault="00000000">
            <w:pPr>
              <w:pStyle w:val="Compact"/>
            </w:pPr>
            <w:r>
              <w:rPr>
                <w:b/>
                <w:bCs/>
                <w:i/>
                <w:iCs/>
              </w:rPr>
              <w:t>Service</w:t>
            </w:r>
          </w:p>
        </w:tc>
        <w:tc>
          <w:tcPr>
            <w:tcW w:w="3960" w:type="dxa"/>
          </w:tcPr>
          <w:p w14:paraId="7ACA870A" w14:textId="77777777" w:rsidR="00E71ADC" w:rsidRDefault="00000000">
            <w:pPr>
              <w:pStyle w:val="Compact"/>
            </w:pPr>
            <w:r>
              <w:t>The provision of something (a non-physical object), by one, for the use of one or more others, regulated by formal definitions and mutual agreements. Services involve interactions between providers and consumers, which may be performed in a digital form (data exchanges) or through voice communication or written processes and procedures.</w:t>
            </w:r>
          </w:p>
        </w:tc>
      </w:tr>
      <w:tr w:rsidR="00E71ADC" w14:paraId="0E738B9A" w14:textId="77777777">
        <w:tc>
          <w:tcPr>
            <w:tcW w:w="3960" w:type="dxa"/>
          </w:tcPr>
          <w:p w14:paraId="3A6DAE5B" w14:textId="77777777" w:rsidR="00E71ADC" w:rsidRDefault="00000000">
            <w:pPr>
              <w:pStyle w:val="Compact"/>
            </w:pPr>
            <w:r>
              <w:rPr>
                <w:b/>
                <w:bCs/>
                <w:i/>
                <w:iCs/>
              </w:rPr>
              <w:t>Service Consumer</w:t>
            </w:r>
          </w:p>
        </w:tc>
        <w:tc>
          <w:tcPr>
            <w:tcW w:w="3960" w:type="dxa"/>
          </w:tcPr>
          <w:p w14:paraId="1CC6B752" w14:textId="77777777" w:rsidR="00E71ADC" w:rsidRDefault="00000000">
            <w:pPr>
              <w:pStyle w:val="Compact"/>
            </w:pPr>
            <w:r>
              <w:t>A service consumer uses service instances provided by service providers. All users within the maritime domain can be service customers, e.g., ships and their crew, authorities, VTS stations, organizations (e.g., meteorological), commercial service providers, etc.</w:t>
            </w:r>
          </w:p>
        </w:tc>
      </w:tr>
      <w:tr w:rsidR="00E71ADC" w14:paraId="7758893E" w14:textId="77777777">
        <w:tc>
          <w:tcPr>
            <w:tcW w:w="3960" w:type="dxa"/>
          </w:tcPr>
          <w:p w14:paraId="01BF3903" w14:textId="77777777" w:rsidR="00E71ADC" w:rsidRDefault="00000000">
            <w:pPr>
              <w:pStyle w:val="Compact"/>
            </w:pPr>
            <w:r>
              <w:rPr>
                <w:b/>
                <w:bCs/>
                <w:i/>
                <w:iCs/>
              </w:rPr>
              <w:t>Service Data Model</w:t>
            </w:r>
          </w:p>
        </w:tc>
        <w:tc>
          <w:tcPr>
            <w:tcW w:w="3960" w:type="dxa"/>
          </w:tcPr>
          <w:p w14:paraId="1FFAE60F" w14:textId="77777777" w:rsidR="00E71ADC" w:rsidRDefault="00000000">
            <w:pPr>
              <w:pStyle w:val="Compact"/>
            </w:pPr>
            <w:r>
              <w:t>Formal description of one dedicated service at logical level. The service data model is part of the service specification. Is typically defined in UML and/or XSD. If an external data model exists (e.g., a standard data model), then the service data model shall refer to it: each data item of the service data model shall be mapped to a data item defined in the external data model.</w:t>
            </w:r>
          </w:p>
        </w:tc>
      </w:tr>
      <w:tr w:rsidR="00E71ADC" w14:paraId="5B7FAB2B" w14:textId="77777777">
        <w:tc>
          <w:tcPr>
            <w:tcW w:w="3960" w:type="dxa"/>
          </w:tcPr>
          <w:p w14:paraId="1A95FE6B" w14:textId="77777777" w:rsidR="00E71ADC" w:rsidRDefault="00000000">
            <w:pPr>
              <w:pStyle w:val="Compact"/>
            </w:pPr>
            <w:r>
              <w:rPr>
                <w:b/>
                <w:bCs/>
                <w:i/>
                <w:iCs/>
              </w:rPr>
              <w:t>Service Design Description</w:t>
            </w:r>
          </w:p>
        </w:tc>
        <w:tc>
          <w:tcPr>
            <w:tcW w:w="3960" w:type="dxa"/>
          </w:tcPr>
          <w:p w14:paraId="074E221F" w14:textId="77777777" w:rsidR="00E71ADC" w:rsidRDefault="00000000">
            <w:pPr>
              <w:pStyle w:val="Compact"/>
            </w:pPr>
            <w:r>
              <w:t>Documents the details of a service technical design (most likely documented by the service implementer). The service design description includes (but is not limited to) a service physical data model and describes the used technology, transport mechanism, quality of service, etc.</w:t>
            </w:r>
          </w:p>
        </w:tc>
      </w:tr>
      <w:tr w:rsidR="00E71ADC" w14:paraId="43FABCD0" w14:textId="77777777">
        <w:tc>
          <w:tcPr>
            <w:tcW w:w="3960" w:type="dxa"/>
          </w:tcPr>
          <w:p w14:paraId="4BD67B65" w14:textId="77777777" w:rsidR="00E71ADC" w:rsidRDefault="00000000">
            <w:pPr>
              <w:pStyle w:val="Compact"/>
            </w:pPr>
            <w:r>
              <w:rPr>
                <w:b/>
                <w:bCs/>
                <w:i/>
                <w:iCs/>
              </w:rPr>
              <w:t>Service Implementation</w:t>
            </w:r>
          </w:p>
        </w:tc>
        <w:tc>
          <w:tcPr>
            <w:tcW w:w="3960" w:type="dxa"/>
          </w:tcPr>
          <w:p w14:paraId="7E48A54F" w14:textId="77777777" w:rsidR="00E71ADC" w:rsidRDefault="00000000">
            <w:pPr>
              <w:pStyle w:val="Compact"/>
            </w:pPr>
            <w:r>
              <w:t>The provider side implementation of a dedicated service technical design (i.e., implementation of a dedicated service in a dedicated technology).</w:t>
            </w:r>
          </w:p>
        </w:tc>
      </w:tr>
      <w:tr w:rsidR="00E71ADC" w14:paraId="33CCA6FF" w14:textId="77777777">
        <w:tc>
          <w:tcPr>
            <w:tcW w:w="3960" w:type="dxa"/>
          </w:tcPr>
          <w:p w14:paraId="052A4DCF" w14:textId="77777777" w:rsidR="00E71ADC" w:rsidRDefault="00000000">
            <w:pPr>
              <w:pStyle w:val="Compact"/>
            </w:pPr>
            <w:r>
              <w:rPr>
                <w:b/>
                <w:bCs/>
                <w:i/>
                <w:iCs/>
              </w:rPr>
              <w:t>Service Implementer</w:t>
            </w:r>
          </w:p>
        </w:tc>
        <w:tc>
          <w:tcPr>
            <w:tcW w:w="3960" w:type="dxa"/>
          </w:tcPr>
          <w:p w14:paraId="42F7B44C" w14:textId="77777777" w:rsidR="00E71ADC" w:rsidRDefault="00000000">
            <w:pPr>
              <w:pStyle w:val="Compact"/>
            </w:pPr>
            <w:r>
              <w:t>Implementers of services from the service provider side and/or the service consumer side. Anybody can be a service implementer but mainly this will be commercial companies implementing solutions for shore and ship.</w:t>
            </w:r>
          </w:p>
        </w:tc>
      </w:tr>
      <w:tr w:rsidR="00E71ADC" w14:paraId="212669DA" w14:textId="77777777">
        <w:tc>
          <w:tcPr>
            <w:tcW w:w="3960" w:type="dxa"/>
          </w:tcPr>
          <w:p w14:paraId="4D2F40E1" w14:textId="77777777" w:rsidR="00E71ADC" w:rsidRDefault="00000000">
            <w:pPr>
              <w:pStyle w:val="Compact"/>
            </w:pPr>
            <w:r>
              <w:rPr>
                <w:b/>
                <w:bCs/>
                <w:i/>
                <w:iCs/>
              </w:rPr>
              <w:t>Service Instance</w:t>
            </w:r>
          </w:p>
        </w:tc>
        <w:tc>
          <w:tcPr>
            <w:tcW w:w="3960" w:type="dxa"/>
          </w:tcPr>
          <w:p w14:paraId="28D8D314" w14:textId="77777777" w:rsidR="00E71ADC" w:rsidRDefault="00000000">
            <w:pPr>
              <w:pStyle w:val="Compact"/>
            </w:pPr>
            <w:r>
              <w:t>One service implementation may be deployed at several places by same or different service providers; each such deployment represents a different service instance, being accessible via different URLs.</w:t>
            </w:r>
          </w:p>
        </w:tc>
      </w:tr>
      <w:tr w:rsidR="00E71ADC" w14:paraId="16BAC7E9" w14:textId="77777777">
        <w:tc>
          <w:tcPr>
            <w:tcW w:w="3960" w:type="dxa"/>
          </w:tcPr>
          <w:p w14:paraId="59B7A3E4" w14:textId="77777777" w:rsidR="00E71ADC" w:rsidRDefault="00000000">
            <w:pPr>
              <w:pStyle w:val="Compact"/>
            </w:pPr>
            <w:r>
              <w:rPr>
                <w:b/>
                <w:bCs/>
                <w:i/>
                <w:iCs/>
              </w:rPr>
              <w:t>Service Instance Description</w:t>
            </w:r>
          </w:p>
        </w:tc>
        <w:tc>
          <w:tcPr>
            <w:tcW w:w="3960" w:type="dxa"/>
          </w:tcPr>
          <w:p w14:paraId="7517378B" w14:textId="77777777" w:rsidR="00E71ADC" w:rsidRDefault="00000000">
            <w:pPr>
              <w:pStyle w:val="Compact"/>
            </w:pPr>
            <w:r>
              <w:t>Documents the details of a service implementation (most likely documented by the service implementer) and deployment (most likely documented by the service provider). The service instance description includes (but is not limited to) service technical design reference, service provider reference, service access information, service coverage information, etc.</w:t>
            </w:r>
          </w:p>
        </w:tc>
      </w:tr>
      <w:tr w:rsidR="00E71ADC" w14:paraId="65E5F6E6" w14:textId="77777777">
        <w:tc>
          <w:tcPr>
            <w:tcW w:w="3960" w:type="dxa"/>
          </w:tcPr>
          <w:p w14:paraId="1693E53A" w14:textId="77777777" w:rsidR="00E71ADC" w:rsidRDefault="00000000">
            <w:pPr>
              <w:pStyle w:val="Compact"/>
            </w:pPr>
            <w:r>
              <w:rPr>
                <w:b/>
                <w:bCs/>
                <w:i/>
                <w:iCs/>
              </w:rPr>
              <w:t>Service Interface</w:t>
            </w:r>
          </w:p>
        </w:tc>
        <w:tc>
          <w:tcPr>
            <w:tcW w:w="3960" w:type="dxa"/>
          </w:tcPr>
          <w:p w14:paraId="42CDA2A9" w14:textId="77777777" w:rsidR="00E71ADC" w:rsidRDefault="00000000">
            <w:pPr>
              <w:pStyle w:val="Compact"/>
            </w:pPr>
            <w:r>
              <w:t xml:space="preserve">The communication mechanism of the service, i.e., interaction mechanism between service provider and service consumer. A service interface is characterised by a message exchange pattern and consists of service </w:t>
            </w:r>
            <w:r>
              <w:lastRenderedPageBreak/>
              <w:t>operations that are either allocated to the provider or the consumer of the service.</w:t>
            </w:r>
          </w:p>
        </w:tc>
      </w:tr>
      <w:tr w:rsidR="00E71ADC" w14:paraId="00C9F393" w14:textId="77777777">
        <w:tc>
          <w:tcPr>
            <w:tcW w:w="3960" w:type="dxa"/>
          </w:tcPr>
          <w:p w14:paraId="423DB6A9" w14:textId="77777777" w:rsidR="00E71ADC" w:rsidRDefault="00000000">
            <w:pPr>
              <w:pStyle w:val="Compact"/>
            </w:pPr>
            <w:r>
              <w:rPr>
                <w:b/>
                <w:bCs/>
                <w:i/>
                <w:iCs/>
              </w:rPr>
              <w:lastRenderedPageBreak/>
              <w:t>Service Operation</w:t>
            </w:r>
          </w:p>
        </w:tc>
        <w:tc>
          <w:tcPr>
            <w:tcW w:w="3960" w:type="dxa"/>
          </w:tcPr>
          <w:p w14:paraId="54955AD1" w14:textId="77777777" w:rsidR="00E71ADC" w:rsidRDefault="00000000">
            <w:pPr>
              <w:pStyle w:val="Compact"/>
            </w:pPr>
            <w:r>
              <w:t>Functions or procedure which enables programmatic communication with a service via a service interface.</w:t>
            </w:r>
          </w:p>
        </w:tc>
      </w:tr>
      <w:tr w:rsidR="00E71ADC" w14:paraId="47AAE6E6" w14:textId="77777777">
        <w:tc>
          <w:tcPr>
            <w:tcW w:w="3960" w:type="dxa"/>
          </w:tcPr>
          <w:p w14:paraId="5E91F43D" w14:textId="77777777" w:rsidR="00E71ADC" w:rsidRDefault="00000000">
            <w:pPr>
              <w:pStyle w:val="Compact"/>
            </w:pPr>
            <w:r>
              <w:rPr>
                <w:b/>
                <w:bCs/>
                <w:i/>
                <w:iCs/>
              </w:rPr>
              <w:t>Service Physical Data Model</w:t>
            </w:r>
          </w:p>
        </w:tc>
        <w:tc>
          <w:tcPr>
            <w:tcW w:w="3960" w:type="dxa"/>
          </w:tcPr>
          <w:p w14:paraId="2053BDF3" w14:textId="77777777" w:rsidR="00E71ADC" w:rsidRDefault="00000000">
            <w:pPr>
              <w:pStyle w:val="Compact"/>
            </w:pPr>
            <w:r>
              <w:t>Describes the realisation of a dedicated service data model in a dedicated technology. This includes a detailed description of the data S-124 to be exchanged using the chosen technology. The actual format of the service physical data model depends on the chosen technology. Examples may be WSDL and XSD files (e.g., for SOAP services) or swagger (Open API) specifications (e.g., for REST services). If an external data model exists (e.g., a standard data model), then the service physical data model shall refer to it: each data item of the service physical data model shall be mapped to a data item defined in the external data model. In order to prove correct implementation of the service specification, there shall exist a mapping between the service physical data model and the service data model. This means, each data item used in the service physical data model shall be mapped to a corresponding data item of the service data model. (In case of existing mappings to a common external (standard) data model from both the service data model and the service physical data model, such a mapping is implicitly given.)</w:t>
            </w:r>
          </w:p>
        </w:tc>
      </w:tr>
      <w:tr w:rsidR="00E71ADC" w14:paraId="0BBF4C5D" w14:textId="77777777">
        <w:tc>
          <w:tcPr>
            <w:tcW w:w="3960" w:type="dxa"/>
          </w:tcPr>
          <w:p w14:paraId="0268D44F" w14:textId="77777777" w:rsidR="00E71ADC" w:rsidRDefault="00000000">
            <w:pPr>
              <w:pStyle w:val="Compact"/>
            </w:pPr>
            <w:r>
              <w:rPr>
                <w:b/>
                <w:bCs/>
                <w:i/>
                <w:iCs/>
              </w:rPr>
              <w:t>Service Provider</w:t>
            </w:r>
          </w:p>
        </w:tc>
        <w:tc>
          <w:tcPr>
            <w:tcW w:w="3960" w:type="dxa"/>
          </w:tcPr>
          <w:p w14:paraId="0AA58A82" w14:textId="77777777" w:rsidR="00E71ADC" w:rsidRDefault="00000000">
            <w:pPr>
              <w:pStyle w:val="Compact"/>
            </w:pPr>
            <w:r>
              <w:t>A service provider provides instances of services according to a service specification and service instance description. All users within the maritime domain can be service providers, e.g., authorities, VTS stations, organizations (e.g., meteorological), commercial service providers, etc.</w:t>
            </w:r>
          </w:p>
        </w:tc>
      </w:tr>
      <w:tr w:rsidR="00E71ADC" w14:paraId="6DB0728F" w14:textId="77777777">
        <w:tc>
          <w:tcPr>
            <w:tcW w:w="3960" w:type="dxa"/>
          </w:tcPr>
          <w:p w14:paraId="44E1398F" w14:textId="77777777" w:rsidR="00E71ADC" w:rsidRDefault="00000000">
            <w:pPr>
              <w:pStyle w:val="Compact"/>
            </w:pPr>
            <w:r>
              <w:rPr>
                <w:b/>
                <w:bCs/>
                <w:i/>
                <w:iCs/>
              </w:rPr>
              <w:t>Service Specification</w:t>
            </w:r>
          </w:p>
        </w:tc>
        <w:tc>
          <w:tcPr>
            <w:tcW w:w="3960" w:type="dxa"/>
          </w:tcPr>
          <w:p w14:paraId="0F69ECDC" w14:textId="77777777" w:rsidR="00E71ADC" w:rsidRDefault="00000000">
            <w:pPr>
              <w:pStyle w:val="Compact"/>
            </w:pPr>
            <w:r>
              <w:t>Describes one dedicated service at logical level. The Service Specification is technology-agnostic. The Service Specification includes (but is not limited to) a description of the Service Interfaces and Service Operations with their data S-124. The data S-124 description may be formally defined by a Service Data Model.</w:t>
            </w:r>
          </w:p>
        </w:tc>
      </w:tr>
      <w:tr w:rsidR="00E71ADC" w14:paraId="37E67EAD" w14:textId="77777777">
        <w:tc>
          <w:tcPr>
            <w:tcW w:w="3960" w:type="dxa"/>
          </w:tcPr>
          <w:p w14:paraId="2527D275" w14:textId="77777777" w:rsidR="00E71ADC" w:rsidRDefault="00000000">
            <w:pPr>
              <w:pStyle w:val="Compact"/>
            </w:pPr>
            <w:r>
              <w:rPr>
                <w:b/>
                <w:bCs/>
                <w:i/>
                <w:iCs/>
              </w:rPr>
              <w:t>Service Specification Producer</w:t>
            </w:r>
          </w:p>
        </w:tc>
        <w:tc>
          <w:tcPr>
            <w:tcW w:w="3960" w:type="dxa"/>
          </w:tcPr>
          <w:p w14:paraId="03C1ABBF" w14:textId="77777777" w:rsidR="00E71ADC" w:rsidRDefault="00000000">
            <w:pPr>
              <w:pStyle w:val="Compact"/>
            </w:pPr>
            <w:r>
              <w:t>Producers of service specifications in accordance with the service documentation guidelines.</w:t>
            </w:r>
          </w:p>
        </w:tc>
      </w:tr>
      <w:tr w:rsidR="00E71ADC" w14:paraId="5FC2AF97" w14:textId="77777777">
        <w:tc>
          <w:tcPr>
            <w:tcW w:w="3960" w:type="dxa"/>
          </w:tcPr>
          <w:p w14:paraId="209686D8" w14:textId="77777777" w:rsidR="00E71ADC" w:rsidRDefault="00000000">
            <w:pPr>
              <w:pStyle w:val="Compact"/>
            </w:pPr>
            <w:r>
              <w:rPr>
                <w:b/>
                <w:bCs/>
                <w:i/>
                <w:iCs/>
              </w:rPr>
              <w:t>Service Technical Design</w:t>
            </w:r>
          </w:p>
        </w:tc>
        <w:tc>
          <w:tcPr>
            <w:tcW w:w="3960" w:type="dxa"/>
          </w:tcPr>
          <w:p w14:paraId="49BFD7B2" w14:textId="77777777" w:rsidR="00E71ADC" w:rsidRDefault="00000000">
            <w:pPr>
              <w:pStyle w:val="Compact"/>
            </w:pPr>
            <w:r>
              <w:t>The technical design of a dedicated service in a dedicated technology. One service specification may result in several technical service designs, realising the service with different or same technologies.</w:t>
            </w:r>
          </w:p>
        </w:tc>
      </w:tr>
      <w:tr w:rsidR="00E71ADC" w14:paraId="5885113D" w14:textId="77777777">
        <w:tc>
          <w:tcPr>
            <w:tcW w:w="3960" w:type="dxa"/>
          </w:tcPr>
          <w:p w14:paraId="4AD70B39" w14:textId="77777777" w:rsidR="00E71ADC" w:rsidRDefault="00000000">
            <w:pPr>
              <w:pStyle w:val="Compact"/>
            </w:pPr>
            <w:r>
              <w:rPr>
                <w:b/>
                <w:bCs/>
                <w:i/>
                <w:iCs/>
              </w:rPr>
              <w:t>Service Technology Catalogue</w:t>
            </w:r>
          </w:p>
        </w:tc>
        <w:tc>
          <w:tcPr>
            <w:tcW w:w="3960" w:type="dxa"/>
          </w:tcPr>
          <w:p w14:paraId="36D65B9B" w14:textId="77777777" w:rsidR="00E71ADC" w:rsidRDefault="00000000">
            <w:pPr>
              <w:pStyle w:val="Compact"/>
            </w:pPr>
            <w:r>
              <w:t>List and specifications of allowed technologies for service implementations. Currently, SOAP and REST are envisaged to be allowed service technologies. The service technology catalogue shall describe in detail the allowed service profiles, e.g., by listing communication standards, security standards, stacks, bindings, etc.</w:t>
            </w:r>
          </w:p>
        </w:tc>
      </w:tr>
      <w:tr w:rsidR="00E71ADC" w14:paraId="404FBAE2" w14:textId="77777777">
        <w:tc>
          <w:tcPr>
            <w:tcW w:w="3960" w:type="dxa"/>
          </w:tcPr>
          <w:p w14:paraId="03F33964" w14:textId="77777777" w:rsidR="00E71ADC" w:rsidRDefault="00000000">
            <w:pPr>
              <w:pStyle w:val="Compact"/>
            </w:pPr>
            <w:r>
              <w:rPr>
                <w:b/>
                <w:bCs/>
                <w:i/>
                <w:iCs/>
              </w:rPr>
              <w:t>Spatial Exclusiveness</w:t>
            </w:r>
          </w:p>
        </w:tc>
        <w:tc>
          <w:tcPr>
            <w:tcW w:w="3960" w:type="dxa"/>
          </w:tcPr>
          <w:p w14:paraId="24ED57D8" w14:textId="77777777" w:rsidR="00E71ADC" w:rsidRDefault="00000000">
            <w:pPr>
              <w:pStyle w:val="Compact"/>
            </w:pPr>
            <w:r>
              <w:t xml:space="preserve">A service specification is characterised as “spatially exclusive”, if in any geographical region just one service instance of that specification is allowed to be registered per technology. The decision, which service instance (out of a number of available spatially exclusive services) shall be </w:t>
            </w:r>
            <w:r>
              <w:lastRenderedPageBreak/>
              <w:t>registered for a certain geographical region, is a governance issue.</w:t>
            </w:r>
          </w:p>
        </w:tc>
      </w:tr>
      <w:bookmarkEnd w:id="145"/>
      <w:bookmarkEnd w:id="147"/>
      <w:bookmarkEnd w:id="149"/>
    </w:tbl>
    <w:p w14:paraId="4DC13988" w14:textId="77777777" w:rsidR="0050032C" w:rsidRDefault="0050032C"/>
    <w:sectPr w:rsidR="0050032C">
      <w:headerReference w:type="even" r:id="rId43"/>
      <w:headerReference w:type="default" r:id="rId44"/>
      <w:footerReference w:type="even" r:id="rId45"/>
      <w:headerReference w:type="first" r:id="rId46"/>
      <w:footerReference w:type="first" r:id="rId47"/>
      <w:pgSz w:w="11906" w:h="16838"/>
      <w:pgMar w:top="567" w:right="794" w:bottom="567" w:left="907" w:header="567" w:footer="85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FA449" w14:textId="77777777" w:rsidR="0050032C" w:rsidRDefault="0050032C">
      <w:r>
        <w:separator/>
      </w:r>
    </w:p>
    <w:p w14:paraId="191E7BBC" w14:textId="77777777" w:rsidR="0050032C" w:rsidRDefault="0050032C"/>
    <w:p w14:paraId="417D8E66" w14:textId="77777777" w:rsidR="0050032C" w:rsidRDefault="0050032C"/>
  </w:endnote>
  <w:endnote w:type="continuationSeparator" w:id="0">
    <w:p w14:paraId="302BC2E2" w14:textId="77777777" w:rsidR="0050032C" w:rsidRDefault="0050032C">
      <w:r>
        <w:continuationSeparator/>
      </w:r>
    </w:p>
    <w:p w14:paraId="19E02475" w14:textId="77777777" w:rsidR="0050032C" w:rsidRDefault="0050032C"/>
    <w:p w14:paraId="46E35380" w14:textId="77777777" w:rsidR="0050032C" w:rsidRDefault="0050032C"/>
  </w:endnote>
  <w:endnote w:type="continuationNotice" w:id="1">
    <w:p w14:paraId="228D18D0" w14:textId="77777777" w:rsidR="0050032C" w:rsidRDefault="0050032C">
      <w:pPr>
        <w:spacing w:after="0" w:line="240" w:lineRule="auto"/>
      </w:pPr>
    </w:p>
    <w:p w14:paraId="19FD9D09" w14:textId="77777777" w:rsidR="0050032C" w:rsidRDefault="005003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Bod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75BD" w14:textId="77777777" w:rsidR="00EF0E3E" w:rsidRDefault="0000000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0D476" w14:textId="77777777" w:rsidR="00EF0E3E" w:rsidRDefault="00000000">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51B395FF" w14:textId="77777777" w:rsidR="00EF0E3E" w:rsidRDefault="00000000">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718E3D63" w14:textId="77777777" w:rsidR="00EF0E3E" w:rsidRDefault="00000000">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78D5F26D" w14:textId="77777777" w:rsidR="00EF0E3E" w:rsidRDefault="00EF0E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332B" w14:textId="77777777" w:rsidR="00EF0E3E" w:rsidRDefault="00000000">
    <w:pPr>
      <w:pStyle w:val="Footer"/>
    </w:pPr>
    <w:r>
      <w:rPr>
        <w:rFonts w:ascii="Calibri" w:hAnsi="Calibri" w:cs="Calibri"/>
        <w:noProof/>
        <w:color w:val="000000"/>
        <w:sz w:val="22"/>
        <w:lang w:eastAsia="en-GB"/>
      </w:rPr>
      <mc:AlternateContent>
        <mc:Choice Requires="wpg">
          <w:drawing>
            <wp:anchor distT="0" distB="0" distL="114300" distR="114300" simplePos="0" relativeHeight="251740160" behindDoc="0" locked="0" layoutInCell="1" allowOverlap="1" wp14:anchorId="7E2392C3" wp14:editId="35C22E96">
              <wp:simplePos x="0" y="0"/>
              <wp:positionH relativeFrom="column">
                <wp:posOffset>-398145</wp:posOffset>
              </wp:positionH>
              <wp:positionV relativeFrom="paragraph">
                <wp:posOffset>-149225</wp:posOffset>
              </wp:positionV>
              <wp:extent cx="3620135" cy="822960"/>
              <wp:effectExtent l="0" t="0" r="0" b="0"/>
              <wp:wrapSquare wrapText="bothSides"/>
              <wp:docPr id="25" name="Picture 4" descr="A close-up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A close-up of a contact us&#10;&#10;Description automatically generated"/>
                      <pic:cNvPicPr>
                        <a:picLocks noChangeAspect="1"/>
                      </pic:cNvPicPr>
                    </pic:nvPicPr>
                    <pic:blipFill rotWithShape="1">
                      <a:blip r:embed="rId1"/>
                      <a:stretch/>
                    </pic:blipFill>
                    <pic:spPr bwMode="auto">
                      <a:xfrm>
                        <a:off x="0" y="0"/>
                        <a:ext cx="3620135" cy="82296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740160;o:allowoverlap:true;o:allowincell:true;mso-position-horizontal-relative:text;margin-left:-31.35pt;mso-position-horizontal:absolute;mso-position-vertical-relative:text;margin-top:-11.75pt;mso-position-vertical:absolute;width:285.05pt;height:64.80pt;mso-wrap-distance-left:9.00pt;mso-wrap-distance-top:0.00pt;mso-wrap-distance-right:9.00pt;mso-wrap-distance-bottom:0.00pt;z-index:1;" stroked="f">
              <w10:wrap type="square"/>
              <v:imagedata r:id="rId2" o:title=""/>
              <o:lock v:ext="edit" rotation="t"/>
            </v:shape>
          </w:pict>
        </mc:Fallback>
      </mc:AlternateContent>
    </w:r>
    <w:r>
      <w:rPr>
        <w:noProof/>
        <w:lang w:eastAsia="en-GB"/>
      </w:rPr>
      <mc:AlternateContent>
        <mc:Choice Requires="wpg">
          <w:drawing>
            <wp:anchor distT="0" distB="0" distL="114300" distR="114300" simplePos="0" relativeHeight="251669504" behindDoc="0" locked="0" layoutInCell="1" allowOverlap="1" wp14:anchorId="7582121F" wp14:editId="19FE231B">
              <wp:simplePos x="0" y="0"/>
              <wp:positionH relativeFrom="page">
                <wp:posOffset>225425</wp:posOffset>
              </wp:positionH>
              <wp:positionV relativeFrom="page">
                <wp:posOffset>9106535</wp:posOffset>
              </wp:positionV>
              <wp:extent cx="7128000" cy="0"/>
              <wp:effectExtent l="0" t="0" r="15875" b="19050"/>
              <wp:wrapNone/>
              <wp:docPr id="26" name="Connecteur droit 11"/>
              <wp:cNvGraphicFramePr/>
              <a:graphic xmlns:a="http://schemas.openxmlformats.org/drawingml/2006/main">
                <a:graphicData uri="http://schemas.microsoft.com/office/word/2010/wordprocessingShape">
                  <wps:wsp>
                    <wps:cNvCnPr/>
                    <wps:spPr bwMode="auto">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hape 16" o:spid="_x0000_s16" style="position:absolute;left:0;text-align:left;z-index:251669504;mso-wrap-distance-left:9.00pt;mso-wrap-distance-top:0.00pt;mso-wrap-distance-right:9.00pt;mso-wrap-distance-bottom:0.00pt;visibility:visible;" from="17.8pt,717.0pt" to="579.0pt,717.0pt" filled="f" strokecolor="#00558C" strokeweight="1.00pt">
              <v:stroke dashstyle="solid"/>
            </v:line>
          </w:pict>
        </mc:Fallback>
      </mc:AlternateContent>
    </w:r>
    <w:r>
      <w:t xml:space="preserve"> </w:t>
    </w:r>
  </w:p>
  <w:p w14:paraId="73C1D6BA" w14:textId="77777777" w:rsidR="00EF0E3E" w:rsidRDefault="00EF0E3E">
    <w:pPr>
      <w:pStyle w:val="Footer"/>
    </w:pPr>
  </w:p>
  <w:p w14:paraId="6E57A32A" w14:textId="77777777" w:rsidR="00EF0E3E" w:rsidRDefault="00000000">
    <w:pPr>
      <w:pStyle w:val="Footer"/>
      <w:tabs>
        <w:tab w:val="left" w:pos="1781"/>
      </w:tabs>
    </w:pPr>
    <w:r>
      <w:tab/>
    </w:r>
  </w:p>
  <w:p w14:paraId="331B7D5E" w14:textId="77777777" w:rsidR="00EF0E3E" w:rsidRDefault="00EF0E3E">
    <w:pPr>
      <w:pStyle w:val="Footer"/>
    </w:pPr>
  </w:p>
  <w:p w14:paraId="40A54369" w14:textId="77777777" w:rsidR="00EF0E3E" w:rsidRDefault="00000000">
    <w:pPr>
      <w:pStyle w:val="Footer"/>
      <w:tabs>
        <w:tab w:val="left" w:pos="213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F1C78" w14:textId="77777777" w:rsidR="00EF0E3E" w:rsidRDefault="00000000">
    <w:r>
      <w:rPr>
        <w:noProof/>
        <w:lang w:eastAsia="en-GB"/>
      </w:rPr>
      <mc:AlternateContent>
        <mc:Choice Requires="wpg">
          <w:drawing>
            <wp:anchor distT="0" distB="0" distL="114300" distR="114300" simplePos="0" relativeHeight="251691008" behindDoc="0" locked="0" layoutInCell="1" allowOverlap="1" wp14:anchorId="5CAB433F" wp14:editId="313FC05F">
              <wp:simplePos x="0" y="0"/>
              <wp:positionH relativeFrom="page">
                <wp:posOffset>281940</wp:posOffset>
              </wp:positionH>
              <wp:positionV relativeFrom="page">
                <wp:posOffset>9942195</wp:posOffset>
              </wp:positionV>
              <wp:extent cx="7128000" cy="0"/>
              <wp:effectExtent l="0" t="0" r="15875" b="19050"/>
              <wp:wrapNone/>
              <wp:docPr id="19" name="Connecteur droit 11"/>
              <wp:cNvGraphicFramePr/>
              <a:graphic xmlns:a="http://schemas.openxmlformats.org/drawingml/2006/main">
                <a:graphicData uri="http://schemas.microsoft.com/office/word/2010/wordprocessingShape">
                  <wps:wsp>
                    <wps:cNvCnPr/>
                    <wps:spPr bwMode="auto">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hape 17" o:spid="_x0000_s17" style="position:absolute;left:0;text-align:left;z-index:251691008;mso-wrap-distance-left:9.00pt;mso-wrap-distance-top:0.00pt;mso-wrap-distance-right:9.00pt;mso-wrap-distance-bottom:0.00pt;visibility:visible;" from="22.2pt,782.8pt" to="583.5pt,782.8pt" filled="f" strokecolor="#00558C" strokeweight="1.00pt">
              <v:stroke dashstyle="solid"/>
            </v:line>
          </w:pict>
        </mc:Fallback>
      </mc:AlternateContent>
    </w:r>
  </w:p>
  <w:p w14:paraId="3FD4034E" w14:textId="77777777" w:rsidR="00EF0E3E" w:rsidRDefault="00000000">
    <w:pPr>
      <w:rPr>
        <w:rStyle w:val="PageNumber"/>
        <w:szCs w:val="15"/>
      </w:rPr>
    </w:pPr>
    <w:r>
      <w:rPr>
        <w:szCs w:val="15"/>
      </w:rPr>
      <w:fldChar w:fldCharType="begin"/>
    </w:r>
    <w:r>
      <w:rPr>
        <w:szCs w:val="15"/>
      </w:rPr>
      <w:instrText xml:space="preserve"> STYLEREF "Document title" \* MERGEFORMAT </w:instrText>
    </w:r>
    <w:r>
      <w:rPr>
        <w:szCs w:val="15"/>
      </w:rPr>
      <w:fldChar w:fldCharType="separate"/>
    </w:r>
    <w:r>
      <w:rPr>
        <w:b/>
        <w:bCs/>
        <w:szCs w:val="15"/>
        <w:lang w:val="fr-FR"/>
      </w:rPr>
      <w:t>Erreur ! Utilisez l'onglet Accueil pour appliquer</w:t>
    </w:r>
    <w:r>
      <w:rPr>
        <w:b/>
        <w:lang w:val="fr-FR"/>
      </w:rPr>
      <w:t xml:space="preserve"> Document title </w:t>
    </w:r>
    <w:r>
      <w:rPr>
        <w:b/>
        <w:bCs/>
        <w:szCs w:val="15"/>
        <w:lang w:val="fr-FR"/>
      </w:rPr>
      <w:t>au texte que vous souhaitez faire apparaître ici</w:t>
    </w:r>
    <w:r>
      <w:rPr>
        <w:b/>
        <w:lang w:val="fr-FR"/>
      </w:rPr>
      <w:t>.</w:t>
    </w:r>
    <w:r>
      <w:rPr>
        <w:szCs w:val="15"/>
      </w:rPr>
      <w:fldChar w:fldCharType="end"/>
    </w:r>
    <w:r>
      <w:rPr>
        <w:szCs w:val="15"/>
        <w:lang w:val="en-US"/>
      </w:rPr>
      <w:t xml:space="preserve"> </w:t>
    </w:r>
    <w:r>
      <w:rPr>
        <w:szCs w:val="15"/>
      </w:rPr>
      <w:fldChar w:fldCharType="begin"/>
    </w:r>
    <w:r>
      <w:rPr>
        <w:szCs w:val="15"/>
        <w:lang w:val="en-US"/>
      </w:rPr>
      <w:instrText xml:space="preserve"> STYLEREF "Document number" \* MERGEFORMAT </w:instrText>
    </w:r>
    <w:r>
      <w:rPr>
        <w:szCs w:val="15"/>
      </w:rPr>
      <w:fldChar w:fldCharType="separate"/>
    </w:r>
    <w:r>
      <w:rPr>
        <w:szCs w:val="15"/>
      </w:rPr>
      <w:t>G1192</w:t>
    </w:r>
    <w:r>
      <w:rPr>
        <w:szCs w:val="15"/>
      </w:rPr>
      <w:fldChar w:fldCharType="end"/>
    </w:r>
    <w:r>
      <w:rPr>
        <w:szCs w:val="15"/>
      </w:rPr>
      <w:t xml:space="preserve"> – </w:t>
    </w:r>
    <w:r>
      <w:rPr>
        <w:szCs w:val="15"/>
      </w:rPr>
      <w:fldChar w:fldCharType="begin"/>
    </w:r>
    <w:r>
      <w:rPr>
        <w:szCs w:val="15"/>
      </w:rPr>
      <w:instrText xml:space="preserve"> STYLEREF Subtitle \* MERGEFORMAT </w:instrText>
    </w:r>
    <w:r>
      <w:rPr>
        <w:szCs w:val="15"/>
      </w:rPr>
      <w:fldChar w:fldCharType="separate"/>
    </w:r>
    <w:r>
      <w:rPr>
        <w:b/>
        <w:bCs/>
        <w:szCs w:val="15"/>
        <w:lang w:val="fr-FR"/>
      </w:rPr>
      <w:t>Erreur ! Utilisez l'onglet Accueil pour appliquer Subtitle au texte que vous souhaitez faire apparaître ici.</w:t>
    </w:r>
    <w:r>
      <w:rPr>
        <w:szCs w:val="15"/>
      </w:rPr>
      <w:fldChar w:fldCharType="end"/>
    </w:r>
  </w:p>
  <w:p w14:paraId="438FADC3" w14:textId="77777777" w:rsidR="00EF0E3E" w:rsidRDefault="00000000">
    <w:pPr>
      <w:rPr>
        <w:szCs w:val="15"/>
      </w:rPr>
    </w:pPr>
    <w:r>
      <w:rPr>
        <w:szCs w:val="15"/>
      </w:rPr>
      <w:fldChar w:fldCharType="begin"/>
    </w:r>
    <w:r>
      <w:rPr>
        <w:szCs w:val="15"/>
      </w:rPr>
      <w:instrText xml:space="preserve"> STYLEREF "Edition number" \* MERGEFORMAT </w:instrText>
    </w:r>
    <w:r>
      <w:rPr>
        <w:szCs w:val="15"/>
      </w:rPr>
      <w:fldChar w:fldCharType="separate"/>
    </w:r>
    <w:r>
      <w:rPr>
        <w:szCs w:val="15"/>
      </w:rPr>
      <w:t>Edition 1.0</w:t>
    </w:r>
    <w:r>
      <w:rPr>
        <w:szCs w:val="15"/>
      </w:rPr>
      <w:fldChar w:fldCharType="end"/>
    </w:r>
    <w:r>
      <w:rPr>
        <w:szCs w:val="15"/>
      </w:rPr>
      <w:tab/>
      <w:t xml:space="preserve">P </w:t>
    </w:r>
    <w:r>
      <w:rPr>
        <w:rStyle w:val="PageNumber"/>
        <w:szCs w:val="15"/>
      </w:rPr>
      <w:fldChar w:fldCharType="begin"/>
    </w:r>
    <w:r>
      <w:rPr>
        <w:rStyle w:val="PageNumber"/>
        <w:szCs w:val="15"/>
      </w:rPr>
      <w:instrText xml:space="preserve">PAGE  </w:instrText>
    </w:r>
    <w:r>
      <w:rPr>
        <w:rStyle w:val="PageNumber"/>
        <w:szCs w:val="15"/>
      </w:rPr>
      <w:fldChar w:fldCharType="separate"/>
    </w:r>
    <w:r>
      <w:rPr>
        <w:rStyle w:val="PageNumber"/>
        <w:szCs w:val="15"/>
      </w:rPr>
      <w:t>3</w:t>
    </w:r>
    <w:r>
      <w:rPr>
        <w:rStyle w:val="PageNumber"/>
        <w:szCs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764A" w14:textId="77777777" w:rsidR="00EF0E3E" w:rsidRDefault="00EF0E3E">
    <w:pPr>
      <w:pStyle w:val="Footerportrait"/>
    </w:pPr>
  </w:p>
  <w:p w14:paraId="2FB6E893" w14:textId="0A6DF903" w:rsidR="00EF0E3E" w:rsidRDefault="00000000">
    <w:pPr>
      <w:pStyle w:val="Footerportrait"/>
      <w:spacing w:after="0"/>
      <w:rPr>
        <w:rStyle w:val="PageNumber"/>
        <w:lang w:val="fr-FR"/>
      </w:rPr>
    </w:pPr>
    <w:r>
      <w:fldChar w:fldCharType="begin"/>
    </w:r>
    <w:r>
      <w:rPr>
        <w:lang w:val="fr-FR"/>
      </w:rPr>
      <w:instrText xml:space="preserve"> STYLEREF  "Document type"  \* MERGEFORMAT </w:instrText>
    </w:r>
    <w:r>
      <w:fldChar w:fldCharType="separate"/>
    </w:r>
    <w:r w:rsidR="00711102">
      <w:rPr>
        <w:noProof/>
        <w:lang w:val="fr-FR"/>
      </w:rPr>
      <w:t>IALA Guideline</w:t>
    </w:r>
    <w:r>
      <w:fldChar w:fldCharType="end"/>
    </w:r>
    <w:r>
      <w:rPr>
        <w:lang w:val="fr-FR"/>
      </w:rPr>
      <w:t xml:space="preserve"> </w:t>
    </w:r>
    <w:r>
      <w:fldChar w:fldCharType="begin"/>
    </w:r>
    <w:r>
      <w:rPr>
        <w:lang w:val="fr-FR"/>
      </w:rPr>
      <w:instrText xml:space="preserve"> STYLEREF "Document number" \* MERGEFORMAT </w:instrText>
    </w:r>
    <w:r>
      <w:fldChar w:fldCharType="separate"/>
    </w:r>
    <w:r w:rsidR="00711102" w:rsidRPr="00711102">
      <w:rPr>
        <w:noProof/>
      </w:rPr>
      <w:t>SSNNNN</w:t>
    </w:r>
    <w:r>
      <w:fldChar w:fldCharType="end"/>
    </w:r>
    <w:r>
      <w:rPr>
        <w:lang w:val="fr-FR"/>
      </w:rPr>
      <w:t xml:space="preserve"> </w:t>
    </w:r>
    <w:r>
      <w:fldChar w:fldCharType="begin"/>
    </w:r>
    <w:r>
      <w:rPr>
        <w:lang w:val="fr-FR"/>
      </w:rPr>
      <w:instrText xml:space="preserve"> STYLEREF "Document name" \* MERGEFORMAT </w:instrText>
    </w:r>
    <w:r>
      <w:fldChar w:fldCharType="separate"/>
    </w:r>
    <w:r w:rsidR="00711102">
      <w:rPr>
        <w:noProof/>
        <w:lang w:val="fr-FR"/>
      </w:rPr>
      <w:t>Service Specification for Enhanced AtoN information for AtoN Authorities</w:t>
    </w:r>
    <w:r>
      <w:fldChar w:fldCharType="end"/>
    </w:r>
  </w:p>
  <w:p w14:paraId="17051444" w14:textId="4A36F045" w:rsidR="00EF0E3E" w:rsidRDefault="00221B03">
    <w:pPr>
      <w:pStyle w:val="Footerportrait"/>
      <w:spacing w:after="0"/>
    </w:pPr>
    <w:fldSimple w:instr="STYLEREF &quot;Edition number&quot; \* MERGEFORMAT ">
      <w:r w:rsidR="00711102">
        <w:rPr>
          <w:noProof/>
        </w:rPr>
        <w:t xml:space="preserve">Edition </w:t>
      </w:r>
      <w:r w:rsidR="00711102" w:rsidRPr="00711102">
        <w:rPr>
          <w:b w:val="0"/>
          <w:bCs/>
          <w:noProof/>
        </w:rPr>
        <w:t>0.1</w:t>
      </w:r>
    </w:fldSimple>
    <w:r w:rsidR="00000000">
      <w:t xml:space="preserve"> </w:t>
    </w:r>
    <w:fldSimple w:instr="STYLEREF MRN  \* MERGEFORMAT ">
      <w:r w:rsidR="00711102">
        <w:rPr>
          <w:noProof/>
        </w:rPr>
        <w:t>urn:mrn:iala:pub:ssXXXX:ed.0.1</w:t>
      </w:r>
    </w:fldSimple>
    <w:r w:rsidR="00000000">
      <w:tab/>
      <w:t xml:space="preserve">P </w:t>
    </w:r>
    <w:r w:rsidR="00000000">
      <w:rPr>
        <w:rStyle w:val="PageNumber"/>
        <w:szCs w:val="15"/>
      </w:rPr>
      <w:fldChar w:fldCharType="begin"/>
    </w:r>
    <w:r w:rsidR="00000000">
      <w:rPr>
        <w:rStyle w:val="PageNumber"/>
        <w:szCs w:val="15"/>
      </w:rPr>
      <w:instrText xml:space="preserve">PAGE  </w:instrText>
    </w:r>
    <w:r w:rsidR="00000000">
      <w:rPr>
        <w:rStyle w:val="PageNumber"/>
        <w:szCs w:val="15"/>
      </w:rPr>
      <w:fldChar w:fldCharType="separate"/>
    </w:r>
    <w:r w:rsidR="00000000">
      <w:rPr>
        <w:rStyle w:val="PageNumber"/>
        <w:szCs w:val="15"/>
      </w:rPr>
      <w:t>4</w:t>
    </w:r>
    <w:r w:rsidR="00000000">
      <w:rPr>
        <w:rStyle w:val="PageNumber"/>
        <w:szCs w:val="15"/>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690D" w14:textId="77777777" w:rsidR="00EF0E3E" w:rsidRDefault="00EF0E3E">
    <w:pPr>
      <w:pStyle w:val="Footerportrait"/>
    </w:pPr>
  </w:p>
  <w:p w14:paraId="68C7EAE4" w14:textId="77777777" w:rsidR="00EF0E3E" w:rsidRDefault="00000000">
    <w:pPr>
      <w:pStyle w:val="Footerportrait"/>
      <w:rPr>
        <w:rStyle w:val="PageNumber"/>
        <w:lang w:val="fr-FR"/>
      </w:rPr>
    </w:pPr>
    <w:r>
      <w:fldChar w:fldCharType="begin"/>
    </w:r>
    <w:r>
      <w:rPr>
        <w:lang w:val="fr-FR"/>
      </w:rPr>
      <w:instrText xml:space="preserve"> STYLEREF "Document type" \* MERGEFORMAT </w:instrText>
    </w:r>
    <w:r>
      <w:fldChar w:fldCharType="separate"/>
    </w:r>
    <w:r>
      <w:rPr>
        <w:lang w:val="fr-FR"/>
      </w:rPr>
      <w:t>IALA Guideline</w:t>
    </w:r>
    <w:r>
      <w:fldChar w:fldCharType="end"/>
    </w:r>
    <w:r>
      <w:rPr>
        <w:lang w:val="fr-FR"/>
      </w:rPr>
      <w:t xml:space="preserve"> </w:t>
    </w:r>
    <w:r>
      <w:fldChar w:fldCharType="begin"/>
    </w:r>
    <w:r>
      <w:rPr>
        <w:lang w:val="fr-FR"/>
      </w:rPr>
      <w:instrText xml:space="preserve"> STYLEREF "Document number" \* MERGEFORMAT </w:instrText>
    </w:r>
    <w:r>
      <w:fldChar w:fldCharType="separate"/>
    </w:r>
    <w:r>
      <w:rPr>
        <w:bCs/>
        <w:lang w:val="fr-FR"/>
      </w:rPr>
      <w:t>G1192</w:t>
    </w:r>
    <w:r>
      <w:rPr>
        <w:bCs/>
      </w:rPr>
      <w:fldChar w:fldCharType="end"/>
    </w:r>
    <w:r>
      <w:rPr>
        <w:lang w:val="fr-FR"/>
      </w:rPr>
      <w:t xml:space="preserve"> </w:t>
    </w:r>
    <w:r>
      <w:fldChar w:fldCharType="begin"/>
    </w:r>
    <w:r>
      <w:rPr>
        <w:lang w:val="fr-FR"/>
      </w:rPr>
      <w:instrText xml:space="preserve"> STYLEREF "Document name" \* MERGEFORMAT </w:instrText>
    </w:r>
    <w:r>
      <w:fldChar w:fldCharType="separate"/>
    </w:r>
    <w:r>
      <w:rPr>
        <w:b w:val="0"/>
        <w:bCs/>
        <w:lang w:val="fr-FR"/>
      </w:rPr>
      <w:t>VDES Authentication</w:t>
    </w:r>
    <w:r>
      <w:rPr>
        <w:lang w:val="fr-FR"/>
      </w:rPr>
      <w:t xml:space="preserve"> Techniques</w:t>
    </w:r>
    <w:r>
      <w:fldChar w:fldCharType="end"/>
    </w:r>
  </w:p>
  <w:p w14:paraId="588B1E7E" w14:textId="77777777" w:rsidR="00EF0E3E" w:rsidRDefault="00EF0E3E">
    <w:pPr>
      <w:pStyle w:val="Footerportrait"/>
    </w:pPr>
    <w:fldSimple w:instr="STYLEREF &quot;Edition number&quot; \* MERGEFORMAT ">
      <w:r>
        <w:t>Edition 1.0</w:t>
      </w:r>
    </w:fldSimple>
    <w:r w:rsidR="00000000">
      <w:t xml:space="preserve"> </w:t>
    </w:r>
    <w:fldSimple w:instr="STYLEREF MRN  \* MERGEFORMAT ">
      <w:r>
        <w:t>urn:mrn:iala:pub:g1192:ed.1.0</w:t>
      </w:r>
    </w:fldSimple>
    <w:r w:rsidR="00000000">
      <w:tab/>
      <w:t xml:space="preserve">P </w:t>
    </w:r>
    <w:r w:rsidR="00000000">
      <w:rPr>
        <w:rStyle w:val="PageNumber"/>
        <w:szCs w:val="15"/>
      </w:rPr>
      <w:fldChar w:fldCharType="begin"/>
    </w:r>
    <w:r w:rsidR="00000000">
      <w:rPr>
        <w:rStyle w:val="PageNumber"/>
        <w:szCs w:val="15"/>
      </w:rPr>
      <w:instrText xml:space="preserve">PAGE  </w:instrText>
    </w:r>
    <w:r w:rsidR="00000000">
      <w:rPr>
        <w:rStyle w:val="PageNumber"/>
        <w:szCs w:val="15"/>
      </w:rPr>
      <w:fldChar w:fldCharType="separate"/>
    </w:r>
    <w:r w:rsidR="00000000">
      <w:rPr>
        <w:rStyle w:val="PageNumber"/>
        <w:szCs w:val="15"/>
      </w:rPr>
      <w:t>3</w:t>
    </w:r>
    <w:r w:rsidR="00000000">
      <w:rPr>
        <w:rStyle w:val="PageNumber"/>
        <w:szCs w:val="15"/>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8F494" w14:textId="77777777" w:rsidR="00EF0E3E" w:rsidRDefault="0000000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ABDD82" w14:textId="77777777" w:rsidR="00EF0E3E" w:rsidRDefault="00000000">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545DA076" w14:textId="77777777" w:rsidR="00EF0E3E" w:rsidRDefault="00000000">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26E1BFB6" w14:textId="77777777" w:rsidR="00EF0E3E" w:rsidRDefault="00000000">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3D8471B9" w14:textId="77777777" w:rsidR="00EF0E3E" w:rsidRDefault="00EF0E3E">
    <w:pPr>
      <w:pStyle w:val="Footer"/>
      <w:ind w:right="360"/>
    </w:pPr>
  </w:p>
  <w:p w14:paraId="1D0BA06C" w14:textId="77777777" w:rsidR="00EF0E3E" w:rsidRDefault="00EF0E3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6302" w14:textId="77777777" w:rsidR="00EF0E3E" w:rsidRDefault="00000000">
    <w:r>
      <w:rPr>
        <w:noProof/>
        <w:lang w:eastAsia="en-GB"/>
      </w:rPr>
      <mc:AlternateContent>
        <mc:Choice Requires="wpg">
          <w:drawing>
            <wp:anchor distT="0" distB="0" distL="114300" distR="114300" simplePos="0" relativeHeight="251736064" behindDoc="0" locked="0" layoutInCell="1" allowOverlap="1" wp14:anchorId="6EE6F14E" wp14:editId="2CC44209">
              <wp:simplePos x="0" y="0"/>
              <wp:positionH relativeFrom="page">
                <wp:posOffset>281940</wp:posOffset>
              </wp:positionH>
              <wp:positionV relativeFrom="page">
                <wp:posOffset>9942195</wp:posOffset>
              </wp:positionV>
              <wp:extent cx="7128000" cy="0"/>
              <wp:effectExtent l="0" t="0" r="15875" b="19050"/>
              <wp:wrapNone/>
              <wp:docPr id="31" name="Connecteur droit 11"/>
              <wp:cNvGraphicFramePr/>
              <a:graphic xmlns:a="http://schemas.openxmlformats.org/drawingml/2006/main">
                <a:graphicData uri="http://schemas.microsoft.com/office/word/2010/wordprocessingShape">
                  <wps:wsp>
                    <wps:cNvCnPr/>
                    <wps:spPr bwMode="auto">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hape 18" o:spid="_x0000_s18" style="position:absolute;left:0;text-align:left;z-index:251736064;mso-wrap-distance-left:9.00pt;mso-wrap-distance-top:0.00pt;mso-wrap-distance-right:9.00pt;mso-wrap-distance-bottom:0.00pt;visibility:visible;" from="22.2pt,782.8pt" to="583.5pt,782.8pt" filled="f" strokecolor="#00558C" strokeweight="1.00pt">
              <v:stroke dashstyle="solid"/>
            </v:line>
          </w:pict>
        </mc:Fallback>
      </mc:AlternateContent>
    </w:r>
  </w:p>
  <w:p w14:paraId="136108F7" w14:textId="77777777" w:rsidR="00EF0E3E" w:rsidRDefault="00000000">
    <w:pPr>
      <w:rPr>
        <w:rStyle w:val="PageNumber"/>
        <w:szCs w:val="15"/>
      </w:rPr>
    </w:pPr>
    <w:r>
      <w:rPr>
        <w:szCs w:val="15"/>
      </w:rPr>
      <w:fldChar w:fldCharType="begin"/>
    </w:r>
    <w:r>
      <w:rPr>
        <w:szCs w:val="15"/>
      </w:rPr>
      <w:instrText xml:space="preserve"> STYLEREF "Document title" \* MERGEFORMAT </w:instrText>
    </w:r>
    <w:r>
      <w:rPr>
        <w:szCs w:val="15"/>
      </w:rPr>
      <w:fldChar w:fldCharType="separate"/>
    </w:r>
    <w:r>
      <w:rPr>
        <w:b/>
        <w:bCs/>
        <w:szCs w:val="15"/>
        <w:lang w:val="fr-FR"/>
      </w:rPr>
      <w:t>Erreur ! Utilisez l'onglet Accueil pour appliquer</w:t>
    </w:r>
    <w:r>
      <w:rPr>
        <w:b/>
        <w:lang w:val="fr-FR"/>
      </w:rPr>
      <w:t xml:space="preserve"> Document title </w:t>
    </w:r>
    <w:r>
      <w:rPr>
        <w:b/>
        <w:bCs/>
        <w:szCs w:val="15"/>
        <w:lang w:val="fr-FR"/>
      </w:rPr>
      <w:t>au texte que vous souhaitez faire apparaître ici</w:t>
    </w:r>
    <w:r>
      <w:rPr>
        <w:b/>
        <w:lang w:val="fr-FR"/>
      </w:rPr>
      <w:t>.</w:t>
    </w:r>
    <w:r>
      <w:rPr>
        <w:szCs w:val="15"/>
      </w:rPr>
      <w:fldChar w:fldCharType="end"/>
    </w:r>
    <w:r>
      <w:rPr>
        <w:szCs w:val="15"/>
        <w:lang w:val="en-US"/>
      </w:rPr>
      <w:t xml:space="preserve"> </w:t>
    </w:r>
    <w:r>
      <w:rPr>
        <w:szCs w:val="15"/>
      </w:rPr>
      <w:fldChar w:fldCharType="begin"/>
    </w:r>
    <w:r>
      <w:rPr>
        <w:szCs w:val="15"/>
        <w:lang w:val="en-US"/>
      </w:rPr>
      <w:instrText xml:space="preserve"> STYLEREF "Document number" \* MERGEFORMAT </w:instrText>
    </w:r>
    <w:r>
      <w:rPr>
        <w:szCs w:val="15"/>
      </w:rPr>
      <w:fldChar w:fldCharType="separate"/>
    </w:r>
    <w:r>
      <w:rPr>
        <w:szCs w:val="15"/>
      </w:rPr>
      <w:t>G1192</w:t>
    </w:r>
    <w:r>
      <w:rPr>
        <w:szCs w:val="15"/>
      </w:rPr>
      <w:fldChar w:fldCharType="end"/>
    </w:r>
    <w:r>
      <w:rPr>
        <w:szCs w:val="15"/>
      </w:rPr>
      <w:t xml:space="preserve"> – </w:t>
    </w:r>
    <w:r>
      <w:rPr>
        <w:szCs w:val="15"/>
      </w:rPr>
      <w:fldChar w:fldCharType="begin"/>
    </w:r>
    <w:r>
      <w:rPr>
        <w:szCs w:val="15"/>
      </w:rPr>
      <w:instrText xml:space="preserve"> STYLEREF Subtitle \* MERGEFORMAT </w:instrText>
    </w:r>
    <w:r>
      <w:rPr>
        <w:szCs w:val="15"/>
      </w:rPr>
      <w:fldChar w:fldCharType="separate"/>
    </w:r>
    <w:r>
      <w:rPr>
        <w:b/>
        <w:bCs/>
        <w:szCs w:val="15"/>
        <w:lang w:val="fr-FR"/>
      </w:rPr>
      <w:t>Erreur ! Utilisez l'onglet Accueil pour appliquer Subtitle au texte que vous souhaitez faire apparaître ici.</w:t>
    </w:r>
    <w:r>
      <w:rPr>
        <w:szCs w:val="15"/>
      </w:rPr>
      <w:fldChar w:fldCharType="end"/>
    </w:r>
  </w:p>
  <w:p w14:paraId="0CA198EA" w14:textId="77777777" w:rsidR="00EF0E3E" w:rsidRDefault="00000000">
    <w:pPr>
      <w:rPr>
        <w:szCs w:val="15"/>
      </w:rPr>
    </w:pPr>
    <w:r>
      <w:rPr>
        <w:szCs w:val="15"/>
      </w:rPr>
      <w:fldChar w:fldCharType="begin"/>
    </w:r>
    <w:r>
      <w:rPr>
        <w:szCs w:val="15"/>
      </w:rPr>
      <w:instrText xml:space="preserve"> STYLEREF "Edition number" \* MERGEFORMAT </w:instrText>
    </w:r>
    <w:r>
      <w:rPr>
        <w:szCs w:val="15"/>
      </w:rPr>
      <w:fldChar w:fldCharType="separate"/>
    </w:r>
    <w:r>
      <w:rPr>
        <w:szCs w:val="15"/>
      </w:rPr>
      <w:t>Edition 1.0</w:t>
    </w:r>
    <w:r>
      <w:rPr>
        <w:szCs w:val="15"/>
      </w:rPr>
      <w:fldChar w:fldCharType="end"/>
    </w:r>
    <w:r>
      <w:rPr>
        <w:szCs w:val="15"/>
      </w:rPr>
      <w:tab/>
      <w:t xml:space="preserve">P </w:t>
    </w:r>
    <w:r>
      <w:rPr>
        <w:rStyle w:val="PageNumber"/>
        <w:szCs w:val="15"/>
      </w:rPr>
      <w:fldChar w:fldCharType="begin"/>
    </w:r>
    <w:r>
      <w:rPr>
        <w:rStyle w:val="PageNumber"/>
        <w:szCs w:val="15"/>
      </w:rPr>
      <w:instrText xml:space="preserve">PAGE  </w:instrText>
    </w:r>
    <w:r>
      <w:rPr>
        <w:rStyle w:val="PageNumber"/>
        <w:szCs w:val="15"/>
      </w:rPr>
      <w:fldChar w:fldCharType="separate"/>
    </w:r>
    <w:r>
      <w:rPr>
        <w:rStyle w:val="PageNumber"/>
        <w:szCs w:val="15"/>
      </w:rPr>
      <w:t>3</w:t>
    </w:r>
    <w:r>
      <w:rPr>
        <w:rStyle w:val="PageNumber"/>
        <w:szCs w:val="15"/>
      </w:rPr>
      <w:fldChar w:fldCharType="end"/>
    </w:r>
  </w:p>
  <w:p w14:paraId="2E7410CA" w14:textId="77777777" w:rsidR="00EF0E3E" w:rsidRDefault="00EF0E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CAFF2" w14:textId="77777777" w:rsidR="0050032C" w:rsidRDefault="0050032C">
      <w:r>
        <w:separator/>
      </w:r>
    </w:p>
    <w:p w14:paraId="13B6CBF5" w14:textId="77777777" w:rsidR="0050032C" w:rsidRDefault="0050032C"/>
    <w:p w14:paraId="66BB35D7" w14:textId="77777777" w:rsidR="0050032C" w:rsidRDefault="0050032C"/>
  </w:footnote>
  <w:footnote w:type="continuationSeparator" w:id="0">
    <w:p w14:paraId="198F2D69" w14:textId="77777777" w:rsidR="0050032C" w:rsidRDefault="0050032C">
      <w:r>
        <w:continuationSeparator/>
      </w:r>
    </w:p>
    <w:p w14:paraId="24CDD476" w14:textId="77777777" w:rsidR="0050032C" w:rsidRDefault="0050032C"/>
    <w:p w14:paraId="075C7901" w14:textId="77777777" w:rsidR="0050032C" w:rsidRDefault="0050032C"/>
  </w:footnote>
  <w:footnote w:type="continuationNotice" w:id="1">
    <w:p w14:paraId="2B14DEBF" w14:textId="77777777" w:rsidR="0050032C" w:rsidRDefault="0050032C">
      <w:pPr>
        <w:spacing w:after="0" w:line="240" w:lineRule="auto"/>
      </w:pPr>
    </w:p>
    <w:p w14:paraId="5AB1FDCF" w14:textId="77777777" w:rsidR="0050032C" w:rsidRDefault="005003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EFEC8" w14:textId="77777777" w:rsidR="00EF0E3E" w:rsidRDefault="00000000">
    <w:pPr>
      <w:pStyle w:val="Header"/>
    </w:pPr>
    <w:r>
      <w:rPr>
        <w:noProof/>
      </w:rPr>
      <mc:AlternateContent>
        <mc:Choice Requires="wpg">
          <w:drawing>
            <wp:anchor distT="0" distB="0" distL="114300" distR="114300" simplePos="0" relativeHeight="251611136" behindDoc="1" locked="0" layoutInCell="0" allowOverlap="1" wp14:anchorId="05E6D081" wp14:editId="02D98C81">
              <wp:simplePos x="0" y="0"/>
              <wp:positionH relativeFrom="margin">
                <wp:align>center</wp:align>
              </wp:positionH>
              <wp:positionV relativeFrom="margin">
                <wp:align>center</wp:align>
              </wp:positionV>
              <wp:extent cx="5709920" cy="3425825"/>
              <wp:effectExtent l="0" t="0" r="0" b="0"/>
              <wp:wrapNone/>
              <wp:docPr id="18" name="_x0000_s1026"/>
              <wp:cNvGraphicFramePr/>
              <a:graphic xmlns:a="http://schemas.openxmlformats.org/drawingml/2006/main">
                <a:graphicData uri="http://schemas.microsoft.com/office/word/2010/wordprocessingShape">
                  <wps:wsp>
                    <wps:cNvSpPr/>
                    <wps:spPr bwMode="auto">
                      <a:xfrm rot="18900000">
                        <a:off x="0" y="0"/>
                        <a:ext cx="5709920" cy="3425825"/>
                      </a:xfrm>
                      <a:prstGeom prst="rect">
                        <a:avLst/>
                      </a:prstGeom>
                      <a:noFill/>
                      <a:ln>
                        <a:noFill/>
                      </a:ln>
                    </wps:spPr>
                    <wps:txbx>
                      <w:txbxContent>
                        <w:p w14:paraId="48B37751" w14:textId="77777777" w:rsidR="00EF0E3E" w:rsidRDefault="00000000">
                          <w:pPr>
                            <w:jc w:val="cente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pP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t>DRAFT</w:t>
                          </w:r>
                        </w:p>
                      </w:txbxContent>
                    </wps:txbx>
                    <wps:bodyPr wrap="square" lIns="0" tIns="0" rIns="0" bIns="0" numCol="1" fromWordArt="1">
                      <a:prstTxWarp prst="textPlain">
                        <a:avLst>
                          <a:gd name="adj" fmla="val 50000"/>
                        </a:avLst>
                      </a:prstTxWarp>
                      <a:normAutofit/>
                    </wps:bodyPr>
                  </wps:wsp>
                </a:graphicData>
              </a:graphic>
            </wp:anchor>
          </w:drawing>
        </mc:Choice>
        <mc:Fallback xmlns:a="http://schemas.openxmlformats.org/drawingml/2006/main">
          <w:pict>
            <v:shape id="shape 2" o:spid="_x0000_s2" o:spt="1" type="#_x0000_t1" style="position:absolute;z-index:-251611136;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14:paraId="16198179" w14:textId="77777777">
                    <w:pPr>
                      <w:pBdr/>
                      <w:spacing/>
                      <w:ind/>
                      <w:jc w:val="cente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pP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t xml:space="preserve">DRAFT</w:t>
                    </w: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8871" w14:textId="77777777" w:rsidR="00EF0E3E" w:rsidRDefault="00000000">
    <w:pPr>
      <w:pStyle w:val="Header"/>
      <w:jc w:val="right"/>
      <w:rPr>
        <w:lang w:eastAsia="ko-KR"/>
      </w:rPr>
    </w:pPr>
    <w:r>
      <w:rPr>
        <w:noProof/>
        <w:sz w:val="22"/>
        <w:lang w:eastAsia="en-GB"/>
      </w:rPr>
      <mc:AlternateContent>
        <mc:Choice Requires="wpg">
          <w:drawing>
            <wp:anchor distT="0" distB="0" distL="114300" distR="114300" simplePos="0" relativeHeight="251657214" behindDoc="1" locked="0" layoutInCell="1" allowOverlap="1" wp14:anchorId="6EEFE7B5" wp14:editId="04990977">
              <wp:simplePos x="0" y="0"/>
              <wp:positionH relativeFrom="page">
                <wp:posOffset>2880360</wp:posOffset>
              </wp:positionH>
              <wp:positionV relativeFrom="page">
                <wp:posOffset>180340</wp:posOffset>
              </wp:positionV>
              <wp:extent cx="1803600" cy="1440000"/>
              <wp:effectExtent l="0" t="0" r="6350" b="8255"/>
              <wp:wrapNone/>
              <wp:docPr id="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tdl_iala.png"/>
                      <pic:cNvPicPr>
                        <a:picLocks noChangeAspect="1"/>
                      </pic:cNvPicPr>
                    </pic:nvPicPr>
                    <pic:blipFill rotWithShape="1">
                      <a:blip r:embed="rId1"/>
                      <a:stretch/>
                    </pic:blipFill>
                    <pic:spPr bwMode="auto">
                      <a:xfrm>
                        <a:off x="0" y="0"/>
                        <a:ext cx="1803600" cy="14400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7214;o:allowoverlap:true;o:allowincell:true;mso-position-horizontal-relative:page;margin-left:226.80pt;mso-position-horizontal:absolute;mso-position-vertical-relative:page;margin-top:14.20pt;mso-position-vertical:absolute;width:142.02pt;height:113.39pt;mso-wrap-distance-left:9.00pt;mso-wrap-distance-top:0.00pt;mso-wrap-distance-right:9.00pt;mso-wrap-distance-bottom:0.00pt;z-index:1;" stroked="false">
              <v:imagedata r:id="rId2" o:title=""/>
              <o:lock v:ext="edit" rotation="t"/>
            </v:shape>
          </w:pict>
        </mc:Fallback>
      </mc:AlternateContent>
    </w:r>
  </w:p>
  <w:p w14:paraId="1D6528BA" w14:textId="77777777" w:rsidR="00EF0E3E" w:rsidRDefault="00EF0E3E">
    <w:pPr>
      <w:pStyle w:val="Header"/>
    </w:pPr>
  </w:p>
  <w:p w14:paraId="4CD81A99" w14:textId="77777777" w:rsidR="00EF0E3E" w:rsidRDefault="00EF0E3E">
    <w:pPr>
      <w:pStyle w:val="Header"/>
    </w:pPr>
  </w:p>
  <w:p w14:paraId="19812DCF" w14:textId="77777777" w:rsidR="00EF0E3E" w:rsidRDefault="00EF0E3E">
    <w:pPr>
      <w:pStyle w:val="Header"/>
    </w:pPr>
  </w:p>
  <w:p w14:paraId="0BC729F5" w14:textId="77777777" w:rsidR="00EF0E3E" w:rsidRDefault="00EF0E3E">
    <w:pPr>
      <w:pStyle w:val="Header"/>
    </w:pPr>
  </w:p>
  <w:p w14:paraId="72A1419D" w14:textId="77777777" w:rsidR="00EF0E3E" w:rsidRDefault="00EF0E3E">
    <w:pPr>
      <w:pStyle w:val="Header"/>
    </w:pPr>
  </w:p>
  <w:p w14:paraId="2F5F2B48" w14:textId="77777777" w:rsidR="00EF0E3E" w:rsidRDefault="00EF0E3E">
    <w:pPr>
      <w:pStyle w:val="Header"/>
    </w:pPr>
  </w:p>
  <w:p w14:paraId="710C3DBF" w14:textId="77777777" w:rsidR="00EF0E3E" w:rsidRDefault="00000000">
    <w:pPr>
      <w:pStyle w:val="Header"/>
      <w:spacing w:line="360" w:lineRule="exact"/>
    </w:pPr>
    <w:r>
      <w:rPr>
        <w:noProof/>
        <w:lang w:eastAsia="en-GB"/>
      </w:rPr>
      <mc:AlternateContent>
        <mc:Choice Requires="wpg">
          <w:drawing>
            <wp:anchor distT="0" distB="0" distL="114300" distR="114300" simplePos="0" relativeHeight="251656189" behindDoc="1" locked="0" layoutInCell="1" allowOverlap="1" wp14:anchorId="7E0CC443" wp14:editId="4AD23AB8">
              <wp:simplePos x="0" y="0"/>
              <wp:positionH relativeFrom="page">
                <wp:posOffset>12717</wp:posOffset>
              </wp:positionH>
              <wp:positionV relativeFrom="page">
                <wp:posOffset>1499887</wp:posOffset>
              </wp:positionV>
              <wp:extent cx="7555865" cy="2339975"/>
              <wp:effectExtent l="0" t="0" r="6985" b="3175"/>
              <wp:wrapNone/>
              <wp:docPr id="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andeau_1.png"/>
                      <pic:cNvPicPr>
                        <a:picLocks noChangeAspect="1"/>
                      </pic:cNvPicPr>
                    </pic:nvPicPr>
                    <pic:blipFill rotWithShape="1">
                      <a:blip r:embed="rId3"/>
                      <a:stretch/>
                    </pic:blipFill>
                    <pic:spPr bwMode="auto">
                      <a:xfrm>
                        <a:off x="0" y="0"/>
                        <a:ext cx="7555865" cy="2339975"/>
                      </a:xfrm>
                      <a:prstGeom prst="rect">
                        <a:avLst/>
                      </a:prstGeom>
                      <a:solidFill>
                        <a:srgbClr val="009FDF"/>
                      </a:solidFill>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6189;o:allowoverlap:true;o:allowincell:true;mso-position-horizontal-relative:page;margin-left:1.00pt;mso-position-horizontal:absolute;mso-position-vertical-relative:page;margin-top:118.10pt;mso-position-vertical:absolute;width:594.95pt;height:184.25pt;mso-wrap-distance-left:9.00pt;mso-wrap-distance-top:0.00pt;mso-wrap-distance-right:9.00pt;mso-wrap-distance-bottom:0.00pt;z-index:1;" stroked="false">
              <v:imagedata r:id="rId4" o:title=""/>
              <o:lock v:ext="edit" rotation="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61401" w14:textId="77777777" w:rsidR="00EF0E3E" w:rsidRDefault="00000000">
    <w:pPr>
      <w:pStyle w:val="Header"/>
    </w:pPr>
    <w:r>
      <w:rPr>
        <w:noProof/>
        <w:lang w:eastAsia="en-GB"/>
      </w:rPr>
      <mc:AlternateContent>
        <mc:Choice Requires="wpg">
          <w:drawing>
            <wp:anchor distT="0" distB="0" distL="114300" distR="114300" simplePos="0" relativeHeight="251688960" behindDoc="1" locked="0" layoutInCell="1" allowOverlap="1" wp14:anchorId="45956F64" wp14:editId="10DF2C18">
              <wp:simplePos x="0" y="0"/>
              <wp:positionH relativeFrom="page">
                <wp:posOffset>6827653</wp:posOffset>
              </wp:positionH>
              <wp:positionV relativeFrom="page">
                <wp:posOffset>0</wp:posOffset>
              </wp:positionV>
              <wp:extent cx="720000" cy="720000"/>
              <wp:effectExtent l="0" t="0" r="4445" b="4445"/>
              <wp:wrapNone/>
              <wp:docPr id="2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o_suite.png"/>
                      <pic:cNvPicPr>
                        <a:picLocks noChangeAspect="1"/>
                      </pic:cNvPic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88960;o:allowoverlap:true;o:allowincell:true;mso-position-horizontal-relative:page;margin-left:537.61pt;mso-position-horizontal:absolute;mso-position-vertical-relative:page;margin-top:0.00pt;mso-position-vertical:absolute;width:56.69pt;height:56.69pt;mso-wrap-distance-left:9.00pt;mso-wrap-distance-top:0.00pt;mso-wrap-distance-right:9.00pt;mso-wrap-distance-bottom:0.00pt;z-index:1;" stroked="false">
              <v:imagedata r:id="rId2" o:title=""/>
              <o:lock v:ext="edit" rotation="t"/>
            </v:shape>
          </w:pict>
        </mc:Fallback>
      </mc:AlternateContent>
    </w:r>
  </w:p>
  <w:p w14:paraId="459A6625" w14:textId="77777777" w:rsidR="00EF0E3E" w:rsidRDefault="00EF0E3E">
    <w:pPr>
      <w:pStyle w:val="Header"/>
    </w:pPr>
  </w:p>
  <w:p w14:paraId="4F4D75FA" w14:textId="77777777" w:rsidR="00EF0E3E" w:rsidRDefault="00EF0E3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0CFD6" w14:textId="77777777" w:rsidR="00EF0E3E" w:rsidRDefault="00000000">
    <w:pPr>
      <w:pStyle w:val="Header"/>
    </w:pPr>
    <w:r>
      <w:rPr>
        <w:noProof/>
      </w:rPr>
      <mc:AlternateContent>
        <mc:Choice Requires="wpg">
          <w:drawing>
            <wp:anchor distT="0" distB="0" distL="114300" distR="114300" simplePos="0" relativeHeight="251604992" behindDoc="1" locked="0" layoutInCell="0" allowOverlap="1" wp14:anchorId="75C3D958" wp14:editId="75760731">
              <wp:simplePos x="0" y="0"/>
              <wp:positionH relativeFrom="margin">
                <wp:align>center</wp:align>
              </wp:positionH>
              <wp:positionV relativeFrom="margin">
                <wp:align>center</wp:align>
              </wp:positionV>
              <wp:extent cx="5709920" cy="3425825"/>
              <wp:effectExtent l="0" t="0" r="0" b="0"/>
              <wp:wrapNone/>
              <wp:docPr id="15" name="_x0000_s1029"/>
              <wp:cNvGraphicFramePr/>
              <a:graphic xmlns:a="http://schemas.openxmlformats.org/drawingml/2006/main">
                <a:graphicData uri="http://schemas.microsoft.com/office/word/2010/wordprocessingShape">
                  <wps:wsp>
                    <wps:cNvSpPr/>
                    <wps:spPr bwMode="auto">
                      <a:xfrm rot="18900000">
                        <a:off x="0" y="0"/>
                        <a:ext cx="5709920" cy="3425825"/>
                      </a:xfrm>
                      <a:prstGeom prst="rect">
                        <a:avLst/>
                      </a:prstGeom>
                      <a:noFill/>
                      <a:ln>
                        <a:noFill/>
                      </a:ln>
                    </wps:spPr>
                    <wps:txbx>
                      <w:txbxContent>
                        <w:p w14:paraId="074285F2" w14:textId="77777777" w:rsidR="00EF0E3E" w:rsidRDefault="00000000">
                          <w:pPr>
                            <w:jc w:val="cente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pP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t>DRAFT</w:t>
                          </w:r>
                        </w:p>
                      </w:txbxContent>
                    </wps:txbx>
                    <wps:bodyPr wrap="square" lIns="0" tIns="0" rIns="0" bIns="0" numCol="1" fromWordArt="1">
                      <a:prstTxWarp prst="textPlain">
                        <a:avLst>
                          <a:gd name="adj" fmla="val 50000"/>
                        </a:avLst>
                      </a:prstTxWarp>
                      <a:normAutofit/>
                    </wps:bodyPr>
                  </wps:wsp>
                </a:graphicData>
              </a:graphic>
            </wp:anchor>
          </w:drawing>
        </mc:Choice>
        <mc:Fallback xmlns:a="http://schemas.openxmlformats.org/drawingml/2006/main">
          <w:pict>
            <v:shape id="shape 5" o:spid="_x0000_s5" o:spt="1" type="#_x0000_t1" style="position:absolute;z-index:-251604992;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14:paraId="76829A5F" w14:textId="77777777">
                    <w:pPr>
                      <w:pBdr/>
                      <w:spacing/>
                      <w:ind/>
                      <w:jc w:val="cente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pP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t xml:space="preserve">DRAFT</w:t>
                    </w: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355F" w14:textId="77777777" w:rsidR="00EF0E3E" w:rsidRDefault="00000000">
    <w:pPr>
      <w:pStyle w:val="Header"/>
      <w:tabs>
        <w:tab w:val="right" w:pos="10205"/>
      </w:tabs>
    </w:pPr>
    <w:r>
      <w:rPr>
        <w:noProof/>
        <w:lang w:eastAsia="en-GB"/>
      </w:rPr>
      <mc:AlternateContent>
        <mc:Choice Requires="wpg">
          <w:drawing>
            <wp:anchor distT="0" distB="0" distL="114300" distR="114300" simplePos="0" relativeHeight="251658752" behindDoc="1" locked="0" layoutInCell="1" allowOverlap="1" wp14:anchorId="4BFED750" wp14:editId="0A97034A">
              <wp:simplePos x="0" y="0"/>
              <wp:positionH relativeFrom="page">
                <wp:posOffset>6840855</wp:posOffset>
              </wp:positionH>
              <wp:positionV relativeFrom="page">
                <wp:posOffset>0</wp:posOffset>
              </wp:positionV>
              <wp:extent cx="720000" cy="720000"/>
              <wp:effectExtent l="0" t="0" r="4445" b="4445"/>
              <wp:wrapNone/>
              <wp:docPr id="2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_suite.png"/>
                      <pic:cNvPicPr>
                        <a:picLocks noChangeAspect="1"/>
                      </pic:cNvPic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8752;o:allowoverlap:true;o:allowincell:true;mso-position-horizontal-relative:page;margin-left:538.65pt;mso-position-horizontal:absolute;mso-position-vertical-relative:page;margin-top:0.00pt;mso-position-vertical:absolute;width:56.69pt;height:56.69pt;mso-wrap-distance-left:9.00pt;mso-wrap-distance-top:0.00pt;mso-wrap-distance-right:9.00pt;mso-wrap-distance-bottom:0.00pt;z-index:1;" stroked="false">
              <v:imagedata r:id="rId2" o:title=""/>
              <o:lock v:ext="edit" rotation="t"/>
            </v:shape>
          </w:pict>
        </mc:Fallback>
      </mc:AlternateContent>
    </w:r>
    <w:r>
      <w:tab/>
    </w:r>
  </w:p>
  <w:p w14:paraId="4EAC69C8" w14:textId="77777777" w:rsidR="00EF0E3E" w:rsidRDefault="00EF0E3E">
    <w:pPr>
      <w:pStyle w:val="Header"/>
    </w:pPr>
  </w:p>
  <w:p w14:paraId="4763098E" w14:textId="77777777" w:rsidR="00EF0E3E" w:rsidRDefault="00EF0E3E">
    <w:pPr>
      <w:pStyle w:val="Header"/>
    </w:pPr>
  </w:p>
  <w:p w14:paraId="3D7255A4" w14:textId="77777777" w:rsidR="00EF0E3E" w:rsidRDefault="00EF0E3E">
    <w:pPr>
      <w:pStyle w:val="Header"/>
    </w:pPr>
  </w:p>
  <w:p w14:paraId="664C523D" w14:textId="77777777" w:rsidR="00EF0E3E" w:rsidRDefault="00EF0E3E">
    <w:pPr>
      <w:pStyle w:val="Header"/>
    </w:pPr>
  </w:p>
  <w:p w14:paraId="18FBC9F3" w14:textId="77777777" w:rsidR="00EF0E3E" w:rsidRDefault="00000000">
    <w:pPr>
      <w:pStyle w:val="Contents"/>
    </w:pPr>
    <w:r>
      <w:t>DOCUMENT REVISION</w:t>
    </w:r>
  </w:p>
  <w:p w14:paraId="0E7F3650" w14:textId="77777777" w:rsidR="00EF0E3E" w:rsidRDefault="00EF0E3E">
    <w:pPr>
      <w:pStyle w:val="Header"/>
    </w:pPr>
  </w:p>
  <w:p w14:paraId="41535608" w14:textId="77777777" w:rsidR="00EF0E3E" w:rsidRDefault="00EF0E3E">
    <w:pPr>
      <w:pStyle w:val="Header"/>
      <w:spacing w:line="14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2E32C" w14:textId="77777777" w:rsidR="00EF0E3E" w:rsidRDefault="00000000">
    <w:pPr>
      <w:pStyle w:val="Header"/>
    </w:pPr>
    <w:r>
      <w:rPr>
        <w:noProof/>
      </w:rPr>
      <mc:AlternateContent>
        <mc:Choice Requires="wpg">
          <w:drawing>
            <wp:anchor distT="0" distB="0" distL="114300" distR="114300" simplePos="0" relativeHeight="251607040" behindDoc="1" locked="0" layoutInCell="0" allowOverlap="1" wp14:anchorId="5E65DE96" wp14:editId="0518FCE2">
              <wp:simplePos x="0" y="0"/>
              <wp:positionH relativeFrom="margin">
                <wp:align>center</wp:align>
              </wp:positionH>
              <wp:positionV relativeFrom="margin">
                <wp:align>center</wp:align>
              </wp:positionV>
              <wp:extent cx="5709920" cy="3425825"/>
              <wp:effectExtent l="0" t="0" r="0" b="0"/>
              <wp:wrapNone/>
              <wp:docPr id="17" name="_x0000_s1028"/>
              <wp:cNvGraphicFramePr/>
              <a:graphic xmlns:a="http://schemas.openxmlformats.org/drawingml/2006/main">
                <a:graphicData uri="http://schemas.microsoft.com/office/word/2010/wordprocessingShape">
                  <wps:wsp>
                    <wps:cNvSpPr/>
                    <wps:spPr bwMode="auto">
                      <a:xfrm rot="18900000">
                        <a:off x="0" y="0"/>
                        <a:ext cx="5709920" cy="3425825"/>
                      </a:xfrm>
                      <a:prstGeom prst="rect">
                        <a:avLst/>
                      </a:prstGeom>
                      <a:noFill/>
                      <a:ln>
                        <a:noFill/>
                      </a:ln>
                    </wps:spPr>
                    <wps:txbx>
                      <w:txbxContent>
                        <w:p w14:paraId="4B11F4F7" w14:textId="77777777" w:rsidR="00EF0E3E" w:rsidRDefault="00000000">
                          <w:pPr>
                            <w:jc w:val="cente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pP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t>DRAFT</w:t>
                          </w:r>
                        </w:p>
                      </w:txbxContent>
                    </wps:txbx>
                    <wps:bodyPr wrap="square" lIns="0" tIns="0" rIns="0" bIns="0" numCol="1" fromWordArt="1">
                      <a:prstTxWarp prst="textPlain">
                        <a:avLst>
                          <a:gd name="adj" fmla="val 50000"/>
                        </a:avLst>
                      </a:prstTxWarp>
                      <a:normAutofit/>
                    </wps:bodyPr>
                  </wps:wsp>
                </a:graphicData>
              </a:graphic>
            </wp:anchor>
          </w:drawing>
        </mc:Choice>
        <mc:Fallback xmlns:a="http://schemas.openxmlformats.org/drawingml/2006/main">
          <w:pict>
            <v:shape id="shape 6" o:spid="_x0000_s6" o:spt="1" type="#_x0000_t1" style="position:absolute;z-index:-251607040;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14:paraId="5D1AF543" w14:textId="77777777">
                    <w:pPr>
                      <w:pBdr/>
                      <w:spacing/>
                      <w:ind/>
                      <w:jc w:val="cente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pP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t xml:space="preserve">DRAFT</w:t>
                    </w: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r>
                  </w:p>
                </w:txbxContent>
              </v:textbox>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75CFF" w14:textId="77777777" w:rsidR="00EF0E3E" w:rsidRDefault="00000000">
    <w:pPr>
      <w:pStyle w:val="Header"/>
    </w:pPr>
    <w:r>
      <w:rPr>
        <w:noProof/>
      </w:rPr>
      <mc:AlternateContent>
        <mc:Choice Requires="wpg">
          <w:drawing>
            <wp:anchor distT="0" distB="0" distL="114300" distR="114300" simplePos="0" relativeHeight="251598848" behindDoc="1" locked="0" layoutInCell="0" allowOverlap="1" wp14:anchorId="2AAA1C28" wp14:editId="5B06EAE5">
              <wp:simplePos x="0" y="0"/>
              <wp:positionH relativeFrom="margin">
                <wp:align>center</wp:align>
              </wp:positionH>
              <wp:positionV relativeFrom="margin">
                <wp:align>center</wp:align>
              </wp:positionV>
              <wp:extent cx="5709920" cy="3425825"/>
              <wp:effectExtent l="0" t="0" r="0" b="0"/>
              <wp:wrapNone/>
              <wp:docPr id="29" name="_x0000_s1032"/>
              <wp:cNvGraphicFramePr/>
              <a:graphic xmlns:a="http://schemas.openxmlformats.org/drawingml/2006/main">
                <a:graphicData uri="http://schemas.microsoft.com/office/word/2010/wordprocessingShape">
                  <wps:wsp>
                    <wps:cNvSpPr/>
                    <wps:spPr bwMode="auto">
                      <a:xfrm rot="18900000">
                        <a:off x="0" y="0"/>
                        <a:ext cx="5709920" cy="3425825"/>
                      </a:xfrm>
                      <a:prstGeom prst="rect">
                        <a:avLst/>
                      </a:prstGeom>
                      <a:noFill/>
                      <a:ln>
                        <a:noFill/>
                      </a:ln>
                    </wps:spPr>
                    <wps:txbx>
                      <w:txbxContent>
                        <w:p w14:paraId="2208472D" w14:textId="77777777" w:rsidR="00EF0E3E" w:rsidRDefault="00000000">
                          <w:pPr>
                            <w:jc w:val="cente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pP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t>DRAFT</w:t>
                          </w:r>
                        </w:p>
                      </w:txbxContent>
                    </wps:txbx>
                    <wps:bodyPr wrap="square" lIns="0" tIns="0" rIns="0" bIns="0" numCol="1" fromWordArt="1">
                      <a:prstTxWarp prst="textPlain">
                        <a:avLst>
                          <a:gd name="adj" fmla="val 50000"/>
                        </a:avLst>
                      </a:prstTxWarp>
                      <a:normAutofit/>
                    </wps:bodyPr>
                  </wps:wsp>
                </a:graphicData>
              </a:graphic>
            </wp:anchor>
          </w:drawing>
        </mc:Choice>
        <mc:Fallback xmlns:a="http://schemas.openxmlformats.org/drawingml/2006/main">
          <w:pict>
            <v:shape id="shape 8" o:spid="_x0000_s8" o:spt="1" type="#_x0000_t1" style="position:absolute;z-index:-251598848;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stroked="f">
              <v:textbox inset="0,0,0,0">
                <w:txbxContent>
                  <w:p w14:paraId="24730572" w14:textId="77777777">
                    <w:pPr>
                      <w:pBdr/>
                      <w:spacing/>
                      <w:ind/>
                      <w:jc w:val="cente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pP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t xml:space="preserve">DRAFT</w:t>
                    </w: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r>
                    <w:r>
                      <w:rPr>
                        <w:rFonts w:ascii="Calibri" w:hAnsi="Calibri"/>
                        <w:color w:val="c0c0c0"/>
                        <w:sz w:val="2"/>
                        <w:szCs w:val="2"/>
                        <w14:textOutline w14:w="12700" w14:cap="flat" w14:cmpd="sng" w14:algn="ctr">
                          <w14:noFill/>
                          <w14:prstDash w14:val="solid"/>
                          <w14:bevel/>
                        </w14:textOutline>
                        <w14:textFill>
                          <w14:solidFill>
                            <w14:srgbClr w14:val="C0C0C0">
                              <w14:alpha w14:val="49803"/>
                            </w14:srgbClr>
                          </w14:solidFill>
                        </w14:textFill>
                      </w:rPr>
                    </w:r>
                  </w:p>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440D" w14:textId="77777777" w:rsidR="00EF0E3E" w:rsidRDefault="00000000">
    <w:pPr>
      <w:pStyle w:val="Header"/>
    </w:pPr>
    <w:r>
      <w:rPr>
        <w:noProof/>
        <w:lang w:eastAsia="en-GB"/>
      </w:rPr>
      <mc:AlternateContent>
        <mc:Choice Requires="wpg">
          <w:drawing>
            <wp:anchor distT="0" distB="0" distL="114300" distR="114300" simplePos="0" relativeHeight="251653632" behindDoc="1" locked="0" layoutInCell="1" allowOverlap="1" wp14:anchorId="336E2E28" wp14:editId="24ED7BA4">
              <wp:simplePos x="0" y="0"/>
              <wp:positionH relativeFrom="page">
                <wp:posOffset>6840855</wp:posOffset>
              </wp:positionH>
              <wp:positionV relativeFrom="page">
                <wp:posOffset>0</wp:posOffset>
              </wp:positionV>
              <wp:extent cx="720000" cy="720000"/>
              <wp:effectExtent l="0" t="0" r="4445" b="4445"/>
              <wp:wrapNone/>
              <wp:docPr id="2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_suite.png"/>
                      <pic:cNvPicPr>
                        <a:picLocks noChangeAspect="1"/>
                      </pic:cNvPic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3632;o:allowoverlap:true;o:allowincell:true;mso-position-horizontal-relative:page;margin-left:538.65pt;mso-position-horizontal:absolute;mso-position-vertical-relative:page;margin-top:0.00pt;mso-position-vertical:absolute;width:56.69pt;height:56.69pt;mso-wrap-distance-left:9.00pt;mso-wrap-distance-top:0.00pt;mso-wrap-distance-right:9.00pt;mso-wrap-distance-bottom:0.00pt;z-index:1;" stroked="false">
              <v:imagedata r:id="rId2" o:title=""/>
              <o:lock v:ext="edit" rotation="t"/>
            </v:shape>
          </w:pict>
        </mc:Fallback>
      </mc:AlternateContent>
    </w:r>
  </w:p>
  <w:p w14:paraId="48F18F06" w14:textId="77777777" w:rsidR="00EF0E3E" w:rsidRDefault="00EF0E3E">
    <w:pPr>
      <w:pStyle w:val="Header"/>
    </w:pPr>
  </w:p>
  <w:p w14:paraId="7608AD05" w14:textId="77777777" w:rsidR="00EF0E3E" w:rsidRDefault="00EF0E3E">
    <w:pPr>
      <w:pStyle w:val="Header"/>
    </w:pPr>
  </w:p>
  <w:p w14:paraId="45E2A2D6" w14:textId="77777777" w:rsidR="00EF0E3E" w:rsidRDefault="00EF0E3E">
    <w:pPr>
      <w:pStyle w:val="Header"/>
    </w:pPr>
  </w:p>
  <w:p w14:paraId="228DB5B3" w14:textId="77777777" w:rsidR="00EF0E3E" w:rsidRDefault="00EF0E3E">
    <w:pPr>
      <w:pStyle w:val="Header"/>
    </w:pPr>
  </w:p>
  <w:p w14:paraId="31805238" w14:textId="77777777" w:rsidR="00EF0E3E" w:rsidRDefault="00000000">
    <w:pPr>
      <w:pStyle w:val="Contents"/>
    </w:pPr>
    <w:r>
      <w:t>CONTENTS</w:t>
    </w:r>
  </w:p>
  <w:p w14:paraId="22DEFF0B" w14:textId="77777777" w:rsidR="00EF0E3E" w:rsidRDefault="00EF0E3E">
    <w:pPr>
      <w:pStyle w:val="Header"/>
      <w:spacing w:line="140" w:lineRule="exact"/>
    </w:pPr>
  </w:p>
  <w:p w14:paraId="5FEB1486" w14:textId="77777777" w:rsidR="00EF0E3E" w:rsidRDefault="00EF0E3E">
    <w:pPr>
      <w:pStyle w:val="Header"/>
      <w:spacing w:line="140"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E3C8" w14:textId="77777777" w:rsidR="00EF0E3E" w:rsidRDefault="00000000">
    <w:pPr>
      <w:pStyle w:val="Header"/>
    </w:pPr>
    <w:r>
      <w:rPr>
        <w:noProof/>
        <w:lang w:eastAsia="en-GB"/>
      </w:rPr>
      <mc:AlternateContent>
        <mc:Choice Requires="wpg">
          <w:drawing>
            <wp:anchor distT="0" distB="0" distL="114300" distR="114300" simplePos="0" relativeHeight="251661824" behindDoc="1" locked="0" layoutInCell="1" allowOverlap="1" wp14:anchorId="45AD0484" wp14:editId="19930FCD">
              <wp:simplePos x="0" y="0"/>
              <wp:positionH relativeFrom="page">
                <wp:posOffset>6840855</wp:posOffset>
              </wp:positionH>
              <wp:positionV relativeFrom="page">
                <wp:posOffset>0</wp:posOffset>
              </wp:positionV>
              <wp:extent cx="720000" cy="720000"/>
              <wp:effectExtent l="0" t="0" r="4445" b="4445"/>
              <wp:wrapNone/>
              <wp:docPr id="2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suite.png"/>
                      <pic:cNvPicPr>
                        <a:picLocks noChangeAspect="1"/>
                      </pic:cNvPic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1824;o:allowoverlap:true;o:allowincell:true;mso-position-horizontal-relative:page;margin-left:538.65pt;mso-position-horizontal:absolute;mso-position-vertical-relative:page;margin-top:0.00pt;mso-position-vertical:absolute;width:56.69pt;height:56.69pt;mso-wrap-distance-left:9.00pt;mso-wrap-distance-top:0.00pt;mso-wrap-distance-right:9.00pt;mso-wrap-distance-bottom:0.00pt;z-index:1;" stroked="false">
              <v:imagedata r:id="rId2" o:title=""/>
              <o:lock v:ext="edit" rotation="t"/>
            </v:shape>
          </w:pict>
        </mc:Fallback>
      </mc:AlternateContent>
    </w:r>
  </w:p>
  <w:p w14:paraId="316E430D" w14:textId="77777777" w:rsidR="00EF0E3E" w:rsidRDefault="00EF0E3E">
    <w:pPr>
      <w:pStyle w:val="Header"/>
    </w:pPr>
  </w:p>
  <w:p w14:paraId="6E0F29EE" w14:textId="77777777" w:rsidR="00EF0E3E" w:rsidRDefault="00EF0E3E">
    <w:pPr>
      <w:pStyle w:val="Header"/>
    </w:pPr>
  </w:p>
  <w:p w14:paraId="56C871FE" w14:textId="77777777" w:rsidR="00EF0E3E" w:rsidRDefault="00EF0E3E">
    <w:pPr>
      <w:pStyle w:val="Header"/>
    </w:pPr>
  </w:p>
  <w:p w14:paraId="62C9F1B7" w14:textId="77777777" w:rsidR="00EF0E3E" w:rsidRDefault="00EF0E3E">
    <w:pPr>
      <w:pStyle w:val="Header"/>
    </w:pPr>
  </w:p>
  <w:p w14:paraId="784AEE84" w14:textId="77777777" w:rsidR="00EF0E3E" w:rsidRDefault="00000000">
    <w:pPr>
      <w:pStyle w:val="Contents"/>
    </w:pPr>
    <w:r>
      <w:t>CONTENTS</w:t>
    </w:r>
  </w:p>
  <w:p w14:paraId="6DAD3383" w14:textId="77777777" w:rsidR="00EF0E3E" w:rsidRDefault="00EF0E3E">
    <w:pPr>
      <w:pStyle w:val="Header"/>
    </w:pPr>
  </w:p>
  <w:p w14:paraId="289E28A5" w14:textId="77777777" w:rsidR="00EF0E3E" w:rsidRDefault="00EF0E3E">
    <w:pPr>
      <w:pStyle w:val="Header"/>
      <w:spacing w:line="140" w:lineRule="exact"/>
    </w:pPr>
  </w:p>
  <w:p w14:paraId="568A05C0" w14:textId="77777777" w:rsidR="00EF0E3E" w:rsidRDefault="00000000">
    <w:pPr>
      <w:pStyle w:val="Header"/>
    </w:pPr>
    <w:r>
      <w:rPr>
        <w:noProof/>
        <w:lang w:eastAsia="en-GB"/>
      </w:rPr>
      <mc:AlternateContent>
        <mc:Choice Requires="wpg">
          <w:drawing>
            <wp:anchor distT="0" distB="0" distL="114300" distR="114300" simplePos="0" relativeHeight="251657728" behindDoc="1" locked="0" layoutInCell="1" allowOverlap="1" wp14:anchorId="39D1E8C4" wp14:editId="44DB7102">
              <wp:simplePos x="0" y="0"/>
              <wp:positionH relativeFrom="page">
                <wp:posOffset>6827653</wp:posOffset>
              </wp:positionH>
              <wp:positionV relativeFrom="page">
                <wp:posOffset>0</wp:posOffset>
              </wp:positionV>
              <wp:extent cx="720000" cy="720000"/>
              <wp:effectExtent l="0" t="0" r="4445" b="4445"/>
              <wp:wrapNone/>
              <wp:docPr id="2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ogo_suite.png"/>
                      <pic:cNvPicPr>
                        <a:picLocks noChangeAspect="1"/>
                      </pic:cNvPic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57728;o:allowoverlap:true;o:allowincell:true;mso-position-horizontal-relative:page;margin-left:537.61pt;mso-position-horizontal:absolute;mso-position-vertical-relative:page;margin-top:0.00pt;mso-position-vertical:absolute;width:56.69pt;height:56.69pt;mso-wrap-distance-left:9.00pt;mso-wrap-distance-top:0.00pt;mso-wrap-distance-right:9.00pt;mso-wrap-distance-bottom:0.00pt;z-index:1;" stroked="false">
              <v:imagedata r:id="rId2" o:title=""/>
              <o:lock v:ext="edit" rotation="t"/>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915E" w14:textId="77777777" w:rsidR="00EF0E3E" w:rsidRDefault="00000000">
    <w:pPr>
      <w:pStyle w:val="Header"/>
    </w:pPr>
    <w:r>
      <w:rPr>
        <w:noProof/>
        <w:lang w:eastAsia="en-GB"/>
      </w:rPr>
      <mc:AlternateContent>
        <mc:Choice Requires="wpg">
          <w:drawing>
            <wp:anchor distT="0" distB="0" distL="114300" distR="114300" simplePos="0" relativeHeight="251727872" behindDoc="1" locked="0" layoutInCell="0" allowOverlap="1" wp14:anchorId="318B3058" wp14:editId="43CA78E9">
              <wp:simplePos x="0" y="0"/>
              <wp:positionH relativeFrom="margin">
                <wp:align>center</wp:align>
              </wp:positionH>
              <wp:positionV relativeFrom="margin">
                <wp:align>center</wp:align>
              </wp:positionV>
              <wp:extent cx="5709920" cy="3425825"/>
              <wp:effectExtent l="0" t="1247775" r="0" b="71755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920" cy="3425825"/>
                      </a:xfrm>
                      <a:prstGeom prst="rect">
                        <a:avLst/>
                      </a:prstGeom>
                    </wps:spPr>
                    <wps:txbx>
                      <w:txbxContent>
                        <w:p w14:paraId="271780D6" w14:textId="77777777" w:rsidR="00EF0E3E" w:rsidRDefault="00000000">
                          <w:pPr>
                            <w:pStyle w:val="NormalWeb"/>
                            <w:spacing w:after="0"/>
                            <w:jc w:val="center"/>
                            <w:rPr>
                              <w:sz w:val="24"/>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2" o:spid="_x0000_s12" o:spt="202" type="#_x0000_t202" style="position:absolute;z-index:-251727872;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v:textbox inset="0,0,0,0">
                <w:txbxContent>
                  <w:p w14:paraId="26DE386A" w14:textId="77777777">
                    <w:pPr>
                      <w:pStyle w:val="2011"/>
                      <w:pBdr/>
                      <w:spacing w:after="0"/>
                      <w:ind/>
                      <w:jc w:val="center"/>
                      <w:rPr>
                        <w:sz w:val="24"/>
                      </w:rPr>
                    </w:pPr>
                    <w:r>
                      <w:rPr>
                        <w:rFonts w:ascii="Calibri" w:hAnsi="Calibri" w:cs="Calibri"/>
                        <w:color w:val="c0c0c0"/>
                        <w:sz w:val="2"/>
                        <w:szCs w:val="2"/>
                        <w14:textFill>
                          <w14:solidFill>
                            <w14:srgbClr w14:val="C0C0C0">
                              <w14:alpha w14:val="50000"/>
                            </w14:srgbClr>
                          </w14:solidFill>
                        </w14:textFill>
                      </w:rPr>
                      <w:t xml:space="preserve">DRAFT</w:t>
                    </w:r>
                    <w:r>
                      <w:rPr>
                        <w:sz w:val="24"/>
                      </w:rPr>
                    </w:r>
                    <w:r>
                      <w:rPr>
                        <w:sz w:val="24"/>
                      </w:rPr>
                    </w:r>
                  </w:p>
                </w:txbxContent>
              </v:textbox>
            </v:shape>
          </w:pict>
        </mc:Fallback>
      </mc:AlternateContent>
    </w:r>
  </w:p>
  <w:p w14:paraId="49D6957F" w14:textId="77777777" w:rsidR="00EF0E3E" w:rsidRDefault="00EF0E3E"/>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E3B74" w14:textId="77777777" w:rsidR="00EF0E3E" w:rsidRDefault="00000000">
    <w:pPr>
      <w:pStyle w:val="Header"/>
    </w:pPr>
    <w:r>
      <w:rPr>
        <w:noProof/>
        <w:lang w:eastAsia="en-GB"/>
      </w:rPr>
      <mc:AlternateContent>
        <mc:Choice Requires="wpg">
          <w:drawing>
            <wp:anchor distT="0" distB="0" distL="114300" distR="114300" simplePos="0" relativeHeight="251738112" behindDoc="1" locked="0" layoutInCell="1" allowOverlap="1" wp14:anchorId="498D4D6C" wp14:editId="4CE00CB6">
              <wp:simplePos x="0" y="0"/>
              <wp:positionH relativeFrom="page">
                <wp:posOffset>6848223</wp:posOffset>
              </wp:positionH>
              <wp:positionV relativeFrom="page">
                <wp:posOffset>264</wp:posOffset>
              </wp:positionV>
              <wp:extent cx="720000" cy="720000"/>
              <wp:effectExtent l="0" t="0" r="4445" b="4445"/>
              <wp:wrapNone/>
              <wp:docPr id="3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ogo_suite.png"/>
                      <pic:cNvPicPr>
                        <a:picLocks noChangeAspect="1"/>
                      </pic:cNvPic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738112;o:allowoverlap:true;o:allowincell:true;mso-position-horizontal-relative:page;margin-left:539.23pt;mso-position-horizontal:absolute;mso-position-vertical-relative:page;margin-top:0.02pt;mso-position-vertical:absolute;width:56.69pt;height:56.69pt;mso-wrap-distance-left:9.00pt;mso-wrap-distance-top:0.00pt;mso-wrap-distance-right:9.00pt;mso-wrap-distance-bottom:0.00pt;z-index:1;" stroked="false">
              <v:imagedata r:id="rId2" o:title=""/>
              <o:lock v:ext="edit" rotation="t"/>
            </v:shape>
          </w:pict>
        </mc:Fallback>
      </mc:AlternateContent>
    </w:r>
  </w:p>
  <w:p w14:paraId="68BBA043" w14:textId="77777777" w:rsidR="00EF0E3E" w:rsidRDefault="00EF0E3E"/>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23C1" w14:textId="77777777" w:rsidR="00EF0E3E" w:rsidRDefault="00000000">
    <w:pPr>
      <w:pStyle w:val="Header"/>
    </w:pPr>
    <w:r>
      <w:rPr>
        <w:noProof/>
        <w:lang w:eastAsia="en-GB"/>
      </w:rPr>
      <mc:AlternateContent>
        <mc:Choice Requires="wpg">
          <w:drawing>
            <wp:anchor distT="0" distB="0" distL="114300" distR="114300" simplePos="0" relativeHeight="251729920" behindDoc="1" locked="0" layoutInCell="0" allowOverlap="1" wp14:anchorId="4A549236" wp14:editId="2979F145">
              <wp:simplePos x="0" y="0"/>
              <wp:positionH relativeFrom="margin">
                <wp:align>center</wp:align>
              </wp:positionH>
              <wp:positionV relativeFrom="margin">
                <wp:align>center</wp:align>
              </wp:positionV>
              <wp:extent cx="5709920" cy="3425825"/>
              <wp:effectExtent l="0" t="1247775" r="0" b="717550"/>
              <wp:wrapNone/>
              <wp:docPr id="2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920" cy="3425825"/>
                      </a:xfrm>
                      <a:prstGeom prst="rect">
                        <a:avLst/>
                      </a:prstGeom>
                    </wps:spPr>
                    <wps:txbx>
                      <w:txbxContent>
                        <w:p w14:paraId="2DD760FF" w14:textId="77777777" w:rsidR="00EF0E3E" w:rsidRDefault="00000000">
                          <w:pPr>
                            <w:pStyle w:val="NormalWeb"/>
                            <w:spacing w:after="0"/>
                            <w:jc w:val="center"/>
                            <w:rPr>
                              <w:sz w:val="24"/>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3" o:spid="_x0000_s13" o:spt="202" type="#_x0000_t202" style="position:absolute;z-index:-251729920;o:allowoverlap:true;o:allowincell:false;mso-position-horizontal-relative:margin;mso-position-horizontal:center;mso-position-vertical-relative:margin;mso-position-vertical:center;width:449.60pt;height:269.75pt;mso-wrap-distance-left:9.00pt;mso-wrap-distance-top:0.00pt;mso-wrap-distance-right:9.00pt;mso-wrap-distance-bottom:0.00pt;rotation:315;visibility:visible;" filled="f">
              <v:textbox inset="0,0,0,0">
                <w:txbxContent>
                  <w:p w14:paraId="0F5F2465" w14:textId="77777777">
                    <w:pPr>
                      <w:pStyle w:val="2011"/>
                      <w:pBdr/>
                      <w:spacing w:after="0"/>
                      <w:ind/>
                      <w:jc w:val="center"/>
                      <w:rPr>
                        <w:sz w:val="24"/>
                      </w:rPr>
                    </w:pPr>
                    <w:r>
                      <w:rPr>
                        <w:rFonts w:ascii="Calibri" w:hAnsi="Calibri" w:cs="Calibri"/>
                        <w:color w:val="c0c0c0"/>
                        <w:sz w:val="2"/>
                        <w:szCs w:val="2"/>
                        <w14:textFill>
                          <w14:solidFill>
                            <w14:srgbClr w14:val="C0C0C0">
                              <w14:alpha w14:val="50000"/>
                            </w14:srgbClr>
                          </w14:solidFill>
                        </w14:textFill>
                      </w:rPr>
                      <w:t xml:space="preserve">DRAFT</w:t>
                    </w:r>
                    <w:r>
                      <w:rPr>
                        <w:sz w:val="24"/>
                      </w:rPr>
                    </w:r>
                    <w:r>
                      <w:rPr>
                        <w:sz w:val="24"/>
                      </w:rPr>
                    </w:r>
                  </w:p>
                </w:txbxContent>
              </v:textbox>
            </v:shape>
          </w:pict>
        </mc:Fallback>
      </mc:AlternateContent>
    </w:r>
    <w:r>
      <w:rPr>
        <w:noProof/>
        <w:lang w:eastAsia="en-GB"/>
      </w:rPr>
      <mc:AlternateContent>
        <mc:Choice Requires="wpg">
          <w:drawing>
            <wp:anchor distT="0" distB="0" distL="114300" distR="114300" simplePos="0" relativeHeight="251735040" behindDoc="1" locked="0" layoutInCell="1" allowOverlap="1" wp14:anchorId="46299AC4" wp14:editId="45231B9B">
              <wp:simplePos x="0" y="0"/>
              <wp:positionH relativeFrom="page">
                <wp:posOffset>6827653</wp:posOffset>
              </wp:positionH>
              <wp:positionV relativeFrom="page">
                <wp:posOffset>0</wp:posOffset>
              </wp:positionV>
              <wp:extent cx="720000" cy="720000"/>
              <wp:effectExtent l="0" t="0" r="4445" b="4445"/>
              <wp:wrapNone/>
              <wp:docPr id="2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o_suite.png"/>
                      <pic:cNvPicPr>
                        <a:picLocks noChangeAspect="1"/>
                      </pic:cNvPicPr>
                    </pic:nvPicPr>
                    <pic:blipFill rotWithShape="1">
                      <a:blip r:embed="rId1"/>
                      <a:stretch/>
                    </pic:blipFill>
                    <pic:spPr bwMode="auto">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735040;o:allowoverlap:true;o:allowincell:true;mso-position-horizontal-relative:page;margin-left:537.61pt;mso-position-horizontal:absolute;mso-position-vertical-relative:page;margin-top:0.00pt;mso-position-vertical:absolute;width:56.69pt;height:56.69pt;mso-wrap-distance-left:9.00pt;mso-wrap-distance-top:0.00pt;mso-wrap-distance-right:9.00pt;mso-wrap-distance-bottom:0.00pt;z-index:1;" stroked="false">
              <v:imagedata r:id="rId2" o:title=""/>
              <o:lock v:ext="edit" rotation="t"/>
            </v:shape>
          </w:pict>
        </mc:Fallback>
      </mc:AlternateContent>
    </w:r>
  </w:p>
  <w:p w14:paraId="06D24CDA" w14:textId="77777777" w:rsidR="00EF0E3E" w:rsidRDefault="00EF0E3E">
    <w:pPr>
      <w:pStyle w:val="Header"/>
    </w:pPr>
  </w:p>
  <w:p w14:paraId="4CDB0157" w14:textId="77777777" w:rsidR="00EF0E3E" w:rsidRDefault="00EF0E3E">
    <w:pPr>
      <w:pStyle w:val="Header"/>
    </w:pPr>
  </w:p>
  <w:p w14:paraId="08CF3EA6" w14:textId="77777777" w:rsidR="00EF0E3E" w:rsidRDefault="00EF0E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BF801094"/>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2F0704E"/>
    <w:multiLevelType w:val="multilevel"/>
    <w:tmpl w:val="358490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5F1179"/>
    <w:multiLevelType w:val="multilevel"/>
    <w:tmpl w:val="93E8D2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33478BF"/>
    <w:multiLevelType w:val="multilevel"/>
    <w:tmpl w:val="C1F0CC24"/>
    <w:lvl w:ilvl="0">
      <w:start w:val="1"/>
      <w:numFmt w:val="bullet"/>
      <w:pStyle w:val="InsetList"/>
      <w:lvlText w:val=""/>
      <w:lvlJc w:val="left"/>
      <w:pPr>
        <w:ind w:left="680" w:hanging="396"/>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4F700B"/>
    <w:multiLevelType w:val="multilevel"/>
    <w:tmpl w:val="415008CC"/>
    <w:lvl w:ilvl="0">
      <w:start w:val="1"/>
      <w:numFmt w:val="upperLetter"/>
      <w:pStyle w:val="Annex"/>
      <w:lvlText w:val="ANNEX %1"/>
      <w:lvlJc w:val="left"/>
      <w:pPr>
        <w:ind w:left="851" w:hanging="851"/>
      </w:pPr>
      <w:rPr>
        <w:rFonts w:asciiTheme="minorHAnsi" w:hAnsiTheme="minorHAnsi" w:hint="default"/>
        <w:b/>
        <w:i w:val="0"/>
        <w:caps/>
        <w:color w:val="00558C"/>
        <w:sz w:val="28"/>
        <w:u w:val="none"/>
      </w:rPr>
    </w:lvl>
    <w:lvl w:ilvl="1">
      <w:start w:val="1"/>
      <w:numFmt w:val="decimal"/>
      <w:pStyle w:val="AnnexHead2"/>
      <w:lvlText w:val="%1.%2."/>
      <w:lvlJc w:val="left"/>
      <w:pPr>
        <w:ind w:left="851" w:hanging="851"/>
      </w:pPr>
      <w:rPr>
        <w:rFonts w:ascii="Calibri" w:hAnsi="Calibri" w:hint="default"/>
        <w:b/>
        <w:i w:val="0"/>
        <w:caps/>
        <w:color w:val="00558C"/>
        <w:sz w:val="24"/>
      </w:rPr>
    </w:lvl>
    <w:lvl w:ilvl="2">
      <w:start w:val="1"/>
      <w:numFmt w:val="decimal"/>
      <w:pStyle w:val="AnnexHead3"/>
      <w:lvlText w:val="%1.%2.%3."/>
      <w:lvlJc w:val="left"/>
      <w:pPr>
        <w:ind w:left="1021" w:hanging="1021"/>
      </w:pPr>
      <w:rPr>
        <w:rFonts w:ascii="Calibri" w:hAnsi="Calibri" w:hint="default"/>
        <w:b/>
        <w:i w:val="0"/>
        <w:vanish w:val="0"/>
        <w:color w:val="00558C"/>
        <w:sz w:val="24"/>
      </w:rPr>
    </w:lvl>
    <w:lvl w:ilvl="3">
      <w:start w:val="1"/>
      <w:numFmt w:val="decimal"/>
      <w:pStyle w:val="AnnexHead4"/>
      <w:lvlText w:val="%1.%2.%3.%4."/>
      <w:lvlJc w:val="left"/>
      <w:pPr>
        <w:ind w:left="1134" w:hanging="1134"/>
      </w:pPr>
      <w:rPr>
        <w:rFonts w:ascii="Calibri" w:hAnsi="Calibri" w:hint="default"/>
        <w:b/>
        <w:i w:val="0"/>
        <w:caps/>
        <w:color w:val="00558C"/>
        <w:sz w:val="22"/>
      </w:rPr>
    </w:lvl>
    <w:lvl w:ilvl="4">
      <w:start w:val="1"/>
      <w:numFmt w:val="decimal"/>
      <w:pStyle w:val="AnnexHead5"/>
      <w:lvlText w:val="%1.%2.%3.%4.%5."/>
      <w:lvlJc w:val="left"/>
      <w:pPr>
        <w:ind w:left="1134" w:hanging="1134"/>
      </w:pPr>
      <w:rPr>
        <w:rFonts w:ascii="Calibri" w:hAnsi="Calibri" w:hint="default"/>
        <w:b w:val="0"/>
        <w:i w:val="0"/>
        <w:caps/>
        <w:color w:val="00558C"/>
        <w:sz w:val="22"/>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5" w15:restartNumberingAfterBreak="0">
    <w:nsid w:val="16102258"/>
    <w:multiLevelType w:val="multilevel"/>
    <w:tmpl w:val="BEAED3DA"/>
    <w:lvl w:ilvl="0">
      <w:start w:val="1"/>
      <w:numFmt w:val="decimal"/>
      <w:pStyle w:val="TableCaption"/>
      <w:lvlText w:val="Table %1"/>
      <w:lvlJc w:val="left"/>
      <w:pPr>
        <w:ind w:left="567" w:hanging="567"/>
      </w:pPr>
      <w:rPr>
        <w:rFonts w:ascii="Calibri" w:hAnsi="Calibri" w:hint="default"/>
        <w:b w:val="0"/>
        <w:i/>
        <w:u w:val="none"/>
      </w:rPr>
    </w:lvl>
    <w:lvl w:ilvl="1">
      <w:start w:val="1"/>
      <w:numFmt w:val="decimal"/>
      <w:lvlText w:val="%1.%2."/>
      <w:lvlJc w:val="left"/>
      <w:pPr>
        <w:ind w:left="1502" w:hanging="432"/>
      </w:pPr>
      <w:rPr>
        <w:rFonts w:hint="default"/>
      </w:rPr>
    </w:lvl>
    <w:lvl w:ilvl="2">
      <w:start w:val="1"/>
      <w:numFmt w:val="decimal"/>
      <w:lvlText w:val="%1.%2.%3."/>
      <w:lvlJc w:val="left"/>
      <w:pPr>
        <w:ind w:left="1934" w:hanging="504"/>
      </w:pPr>
      <w:rPr>
        <w:rFonts w:hint="default"/>
      </w:rPr>
    </w:lvl>
    <w:lvl w:ilvl="3">
      <w:start w:val="1"/>
      <w:numFmt w:val="decimal"/>
      <w:lvlText w:val="%1.%2.%3.%4."/>
      <w:lvlJc w:val="left"/>
      <w:pPr>
        <w:ind w:left="2438" w:hanging="648"/>
      </w:pPr>
      <w:rPr>
        <w:rFonts w:hint="default"/>
      </w:rPr>
    </w:lvl>
    <w:lvl w:ilvl="4">
      <w:start w:val="1"/>
      <w:numFmt w:val="decimal"/>
      <w:lvlText w:val="%1.%2.%3.%4.%5."/>
      <w:lvlJc w:val="left"/>
      <w:pPr>
        <w:ind w:left="2942" w:hanging="792"/>
      </w:pPr>
      <w:rPr>
        <w:rFonts w:hint="default"/>
      </w:rPr>
    </w:lvl>
    <w:lvl w:ilvl="5">
      <w:start w:val="1"/>
      <w:numFmt w:val="decimal"/>
      <w:lvlText w:val="%1.%2.%3.%4.%5.%6."/>
      <w:lvlJc w:val="left"/>
      <w:pPr>
        <w:ind w:left="3446" w:hanging="936"/>
      </w:pPr>
      <w:rPr>
        <w:rFonts w:hint="default"/>
      </w:rPr>
    </w:lvl>
    <w:lvl w:ilvl="6">
      <w:start w:val="1"/>
      <w:numFmt w:val="decimal"/>
      <w:lvlText w:val="%1.%2.%3.%4.%5.%6.%7."/>
      <w:lvlJc w:val="left"/>
      <w:pPr>
        <w:ind w:left="3950" w:hanging="1080"/>
      </w:pPr>
      <w:rPr>
        <w:rFonts w:hint="default"/>
      </w:rPr>
    </w:lvl>
    <w:lvl w:ilvl="7">
      <w:start w:val="1"/>
      <w:numFmt w:val="decimal"/>
      <w:lvlText w:val="%1.%2.%3.%4.%5.%6.%7.%8."/>
      <w:lvlJc w:val="left"/>
      <w:pPr>
        <w:ind w:left="4454" w:hanging="1224"/>
      </w:pPr>
      <w:rPr>
        <w:rFonts w:hint="default"/>
      </w:rPr>
    </w:lvl>
    <w:lvl w:ilvl="8">
      <w:start w:val="1"/>
      <w:numFmt w:val="decimal"/>
      <w:lvlText w:val="%1.%2.%3.%4.%5.%6.%7.%8.%9."/>
      <w:lvlJc w:val="left"/>
      <w:pPr>
        <w:ind w:left="5030" w:hanging="1440"/>
      </w:pPr>
      <w:rPr>
        <w:rFonts w:hint="default"/>
      </w:rPr>
    </w:lvl>
  </w:abstractNum>
  <w:abstractNum w:abstractNumId="6" w15:restartNumberingAfterBreak="0">
    <w:nsid w:val="19A1740F"/>
    <w:multiLevelType w:val="multilevel"/>
    <w:tmpl w:val="258AA1FC"/>
    <w:lvl w:ilvl="0">
      <w:start w:val="1"/>
      <w:numFmt w:val="decimal"/>
      <w:pStyle w:val="Appendix"/>
      <w:lvlText w:val="APPENDIX %1"/>
      <w:lvlJc w:val="left"/>
      <w:pPr>
        <w:ind w:left="1701" w:hanging="1701"/>
      </w:pPr>
      <w:rPr>
        <w:rFonts w:ascii="Calibri (Body)" w:hAnsi="Calibri (Body)" w:hint="default"/>
        <w:b/>
        <w:bCs w:val="0"/>
        <w:i w:val="0"/>
        <w:iCs w:val="0"/>
        <w:caps/>
        <w:smallCaps w:val="0"/>
        <w:strike w:val="0"/>
        <w:vanish w:val="0"/>
        <w:color w:val="00558C"/>
        <w:spacing w:val="0"/>
        <w:position w:val="0"/>
        <w:sz w:val="28"/>
        <w:u w:val="none"/>
        <w:vertAlign w:val="baseline"/>
        <w14:textOutline w14:w="0" w14:cap="rnd" w14:cmpd="sng" w14:algn="ctr">
          <w14:noFill/>
          <w14:prstDash w14:val="solid"/>
          <w14:bevel/>
        </w14:textOutline>
        <w14:ligatures w14:val="none"/>
      </w:rPr>
    </w:lvl>
    <w:lvl w:ilvl="1">
      <w:start w:val="1"/>
      <w:numFmt w:val="decimal"/>
      <w:pStyle w:val="AppendixHead1"/>
      <w:lvlText w:val="%2."/>
      <w:lvlJc w:val="left"/>
      <w:pPr>
        <w:ind w:left="907" w:hanging="907"/>
      </w:pPr>
      <w:rPr>
        <w:rFonts w:hint="default"/>
      </w:rPr>
    </w:lvl>
    <w:lvl w:ilvl="2">
      <w:start w:val="1"/>
      <w:numFmt w:val="decimal"/>
      <w:pStyle w:val="AppendixHead2"/>
      <w:lvlText w:val="%2.%3."/>
      <w:lvlJc w:val="left"/>
      <w:pPr>
        <w:ind w:left="1247" w:hanging="1247"/>
      </w:pPr>
      <w:rPr>
        <w:rFonts w:hint="default"/>
      </w:rPr>
    </w:lvl>
    <w:lvl w:ilvl="3">
      <w:start w:val="1"/>
      <w:numFmt w:val="decimal"/>
      <w:pStyle w:val="AppendixHead3"/>
      <w:lvlText w:val="%2.%3.%4."/>
      <w:lvlJc w:val="left"/>
      <w:pPr>
        <w:ind w:left="1588" w:hanging="1588"/>
      </w:pPr>
      <w:rPr>
        <w:rFonts w:hint="default"/>
      </w:rPr>
    </w:lvl>
    <w:lvl w:ilvl="4">
      <w:start w:val="1"/>
      <w:numFmt w:val="decimal"/>
      <w:pStyle w:val="AppendixHead4"/>
      <w:lvlText w:val="%2.%3.%4.%5."/>
      <w:lvlJc w:val="left"/>
      <w:pPr>
        <w:ind w:left="1758" w:hanging="1758"/>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E7E01D9"/>
    <w:multiLevelType w:val="multilevel"/>
    <w:tmpl w:val="9C5609C0"/>
    <w:lvl w:ilvl="0">
      <w:start w:val="1"/>
      <w:numFmt w:val="decimal"/>
      <w:pStyle w:val="Reference"/>
      <w:lvlText w:val="[%1]"/>
      <w:lvlJc w:val="left"/>
      <w:pPr>
        <w:tabs>
          <w:tab w:val="num" w:pos="0"/>
        </w:tabs>
        <w:ind w:left="567" w:hanging="567"/>
      </w:pPr>
      <w:rPr>
        <w:rFonts w:asciiTheme="minorHAnsi" w:hAnsiTheme="minorHAnsi"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4245C5"/>
    <w:multiLevelType w:val="multilevel"/>
    <w:tmpl w:val="92D8DC82"/>
    <w:lvl w:ilvl="0">
      <w:start w:val="1"/>
      <w:numFmt w:val="decimal"/>
      <w:pStyle w:val="ImageCaption"/>
      <w:lvlText w:val="Figure %1"/>
      <w:lvlJc w:val="left"/>
      <w:pPr>
        <w:ind w:left="992" w:hanging="992"/>
      </w:pPr>
      <w:rPr>
        <w:rFonts w:asciiTheme="minorHAnsi" w:hAnsiTheme="minorHAnsi" w:hint="default"/>
        <w:b w:val="0"/>
        <w:i/>
        <w:sz w:val="22"/>
        <w:u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54A4879"/>
    <w:multiLevelType w:val="multilevel"/>
    <w:tmpl w:val="64FC7A76"/>
    <w:styleLink w:val="ArticleSection"/>
    <w:lvl w:ilvl="0">
      <w:start w:val="1"/>
      <w:numFmt w:val="upperRoman"/>
      <w:pStyle w:val="ArticleSectio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0" w15:restartNumberingAfterBreak="0">
    <w:nsid w:val="28336371"/>
    <w:multiLevelType w:val="multilevel"/>
    <w:tmpl w:val="D4A2C49A"/>
    <w:lvl w:ilvl="0">
      <w:start w:val="1"/>
      <w:numFmt w:val="bullet"/>
      <w:pStyle w:val="Tableinsetlist"/>
      <w:lvlText w:val=""/>
      <w:lvlJc w:val="left"/>
      <w:pPr>
        <w:ind w:left="397"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A4E1CF1"/>
    <w:multiLevelType w:val="multilevel"/>
    <w:tmpl w:val="2FE0F394"/>
    <w:lvl w:ilvl="0">
      <w:start w:val="1"/>
      <w:numFmt w:val="decimal"/>
      <w:pStyle w:val="AnnexTablecaption"/>
      <w:lvlText w:val="Table %1"/>
      <w:lvlJc w:val="left"/>
      <w:pPr>
        <w:ind w:left="992" w:hanging="992"/>
      </w:pPr>
      <w:rPr>
        <w:rFonts w:asciiTheme="minorHAnsi" w:hAnsiTheme="minorHAnsi" w:hint="default"/>
        <w:b w:val="0"/>
        <w:i/>
        <w:sz w:val="22"/>
        <w:u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BDB2C74"/>
    <w:multiLevelType w:val="multilevel"/>
    <w:tmpl w:val="13D666E0"/>
    <w:lvl w:ilvl="0">
      <w:start w:val="1"/>
      <w:numFmt w:val="decimal"/>
      <w:pStyle w:val="AnnexFigureCaption"/>
      <w:lvlText w:val="Figure %1"/>
      <w:lvlJc w:val="left"/>
      <w:pPr>
        <w:ind w:left="992" w:hanging="992"/>
      </w:pPr>
      <w:rPr>
        <w:rFonts w:asciiTheme="minorHAnsi" w:hAnsiTheme="minorHAnsi" w:hint="default"/>
        <w:b w:val="0"/>
        <w:i/>
        <w:sz w:val="22"/>
        <w:u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2547343"/>
    <w:multiLevelType w:val="multilevel"/>
    <w:tmpl w:val="8EAE0B14"/>
    <w:lvl w:ilvl="0">
      <w:start w:val="1"/>
      <w:numFmt w:val="decimal"/>
      <w:pStyle w:val="Furtherreading"/>
      <w:lvlText w:val="[%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42E13C5"/>
    <w:multiLevelType w:val="multilevel"/>
    <w:tmpl w:val="DE82AF96"/>
    <w:styleLink w:val="IALANumberedList"/>
    <w:lvl w:ilvl="0">
      <w:start w:val="1"/>
      <w:numFmt w:val="decimal"/>
      <w:pStyle w:val="IALANumberedList"/>
      <w:lvlText w:val="%1"/>
      <w:lvlJc w:val="left"/>
      <w:pPr>
        <w:ind w:left="720" w:hanging="480"/>
      </w:pPr>
      <w:rPr>
        <w:rFonts w:hint="default"/>
      </w:rPr>
    </w:lvl>
    <w:lvl w:ilvl="1">
      <w:start w:val="1"/>
      <w:numFmt w:val="lowerLetter"/>
      <w:lvlText w:val="%2"/>
      <w:lvlJc w:val="left"/>
      <w:pPr>
        <w:ind w:left="1440" w:hanging="480"/>
      </w:pPr>
      <w:rPr>
        <w:rFonts w:hint="default"/>
      </w:rPr>
    </w:lvl>
    <w:lvl w:ilvl="2">
      <w:start w:val="1"/>
      <w:numFmt w:val="lowerRoman"/>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15" w15:restartNumberingAfterBreak="0">
    <w:nsid w:val="47710168"/>
    <w:multiLevelType w:val="multilevel"/>
    <w:tmpl w:val="82187128"/>
    <w:styleLink w:val="IALABulletList"/>
    <w:lvl w:ilvl="0">
      <w:start w:val="1"/>
      <w:numFmt w:val="bullet"/>
      <w:pStyle w:val="IALABulletList"/>
      <w:lvlText w:val=""/>
      <w:lvlJc w:val="left"/>
      <w:pPr>
        <w:ind w:left="720" w:hanging="480"/>
      </w:pPr>
      <w:rPr>
        <w:rFonts w:ascii="Symbol" w:hAnsi="Symbol" w:hint="default"/>
        <w:color w:val="3E60A1" w:themeColor="accent5" w:themeShade="BF"/>
      </w:rPr>
    </w:lvl>
    <w:lvl w:ilvl="1">
      <w:start w:val="1"/>
      <w:numFmt w:val="bullet"/>
      <w:lvlText w:val=""/>
      <w:lvlJc w:val="left"/>
      <w:pPr>
        <w:ind w:left="1440" w:hanging="480"/>
      </w:pPr>
      <w:rPr>
        <w:rFonts w:ascii="Symbol" w:hAnsi="Symbol" w:hint="default"/>
        <w:color w:val="A3B6DB" w:themeColor="accent5" w:themeTint="99"/>
      </w:rPr>
    </w:lvl>
    <w:lvl w:ilvl="2">
      <w:start w:val="1"/>
      <w:numFmt w:val="bullet"/>
      <w:lvlText w:val="o"/>
      <w:lvlJc w:val="left"/>
      <w:pPr>
        <w:ind w:left="2160" w:hanging="480"/>
      </w:pPr>
      <w:rPr>
        <w:rFonts w:ascii="Courier New" w:hAnsi="Courier New" w:cs="Courier New"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48D554E7"/>
    <w:multiLevelType w:val="multilevel"/>
    <w:tmpl w:val="DDAA70FE"/>
    <w:lvl w:ilvl="0">
      <w:start w:val="1"/>
      <w:numFmt w:val="bullet"/>
      <w:pStyle w:val="Bullet1"/>
      <w:lvlText w:val=""/>
      <w:lvlJc w:val="left"/>
      <w:pPr>
        <w:ind w:left="360" w:hanging="360"/>
      </w:pPr>
      <w:rPr>
        <w:rFonts w:ascii="Symbol" w:hAnsi="Symbol" w:hint="default"/>
        <w:color w:val="00558C"/>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EB057A3"/>
    <w:multiLevelType w:val="multilevel"/>
    <w:tmpl w:val="D8908FFE"/>
    <w:lvl w:ilvl="0">
      <w:start w:val="1"/>
      <w:numFmt w:val="decimal"/>
      <w:pStyle w:val="Equation"/>
      <w:lvlText w:val="(%1)"/>
      <w:lvlJc w:val="left"/>
      <w:pPr>
        <w:ind w:left="360" w:hanging="360"/>
      </w:pPr>
      <w:rPr>
        <w:rFonts w:hint="default"/>
        <w:b w:val="0"/>
        <w:i w:val="0"/>
        <w:sz w:val="22"/>
        <w:u w:val="no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7AB4D84"/>
    <w:multiLevelType w:val="multilevel"/>
    <w:tmpl w:val="53E28014"/>
    <w:lvl w:ilvl="0">
      <w:start w:val="1"/>
      <w:numFmt w:val="decimal"/>
      <w:pStyle w:val="Heading1"/>
      <w:lvlText w:val="%1."/>
      <w:lvlJc w:val="left"/>
      <w:pPr>
        <w:tabs>
          <w:tab w:val="num" w:pos="0"/>
        </w:tabs>
        <w:ind w:left="709" w:hanging="709"/>
      </w:pPr>
      <w:rPr>
        <w:rFonts w:asciiTheme="minorHAnsi" w:hAnsiTheme="minorHAnsi" w:hint="default"/>
        <w:b/>
        <w:i w:val="0"/>
        <w:color w:val="00558C" w:themeColor="accent1"/>
        <w:sz w:val="28"/>
      </w:rPr>
    </w:lvl>
    <w:lvl w:ilvl="1">
      <w:start w:val="1"/>
      <w:numFmt w:val="decimal"/>
      <w:pStyle w:val="Heading2"/>
      <w:lvlText w:val="%1.%2."/>
      <w:lvlJc w:val="left"/>
      <w:pPr>
        <w:tabs>
          <w:tab w:val="num" w:pos="0"/>
        </w:tabs>
        <w:ind w:left="851" w:hanging="851"/>
      </w:pPr>
      <w:rPr>
        <w:rFonts w:asciiTheme="minorHAnsi" w:hAnsiTheme="minorHAnsi" w:hint="default"/>
        <w:b/>
        <w:i w:val="0"/>
        <w:color w:val="00558C" w:themeColor="accent1"/>
        <w:sz w:val="24"/>
      </w:rPr>
    </w:lvl>
    <w:lvl w:ilvl="2">
      <w:start w:val="1"/>
      <w:numFmt w:val="decimal"/>
      <w:pStyle w:val="Heading3"/>
      <w:lvlText w:val="%1.%2.%3."/>
      <w:lvlJc w:val="left"/>
      <w:pPr>
        <w:tabs>
          <w:tab w:val="num" w:pos="0"/>
        </w:tabs>
        <w:ind w:left="992" w:hanging="992"/>
      </w:pPr>
      <w:rPr>
        <w:rFonts w:asciiTheme="minorHAnsi" w:hAnsiTheme="minorHAnsi" w:hint="default"/>
        <w:b/>
        <w:i w:val="0"/>
        <w:color w:val="00558C" w:themeColor="accent1"/>
        <w:sz w:val="22"/>
      </w:rPr>
    </w:lvl>
    <w:lvl w:ilvl="3">
      <w:start w:val="1"/>
      <w:numFmt w:val="decimal"/>
      <w:pStyle w:val="Heading4"/>
      <w:lvlText w:val="%1.%2.%3.%4."/>
      <w:lvlJc w:val="left"/>
      <w:pPr>
        <w:tabs>
          <w:tab w:val="num" w:pos="0"/>
        </w:tabs>
        <w:ind w:left="1134" w:hanging="1134"/>
      </w:pPr>
      <w:rPr>
        <w:rFonts w:asciiTheme="minorHAnsi" w:hAnsiTheme="minorHAnsi" w:hint="default"/>
        <w:b/>
        <w:i w:val="0"/>
        <w:color w:val="00558C" w:themeColor="accent1"/>
        <w:sz w:val="22"/>
      </w:rPr>
    </w:lvl>
    <w:lvl w:ilvl="4">
      <w:start w:val="1"/>
      <w:numFmt w:val="decimal"/>
      <w:pStyle w:val="Heading5"/>
      <w:lvlText w:val="%1.%2.%3.%4.%5"/>
      <w:lvlJc w:val="left"/>
      <w:pPr>
        <w:ind w:left="1008" w:hanging="1008"/>
      </w:pPr>
      <w:rPr>
        <w:rFonts w:ascii="Calibri" w:hAnsi="Calibri" w:hint="default"/>
        <w:color w:val="00558C"/>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C9C62AB"/>
    <w:multiLevelType w:val="multilevel"/>
    <w:tmpl w:val="A0820AE2"/>
    <w:lvl w:ilvl="0">
      <w:start w:val="1"/>
      <w:numFmt w:val="decimal"/>
      <w:lvlText w:val="%1"/>
      <w:lvlJc w:val="left"/>
      <w:pPr>
        <w:ind w:left="567" w:hanging="567"/>
      </w:pPr>
      <w:rPr>
        <w:rFonts w:asciiTheme="minorHAnsi" w:hAnsiTheme="minorHAnsi" w:hint="default"/>
        <w:b w:val="0"/>
        <w:i w:val="0"/>
        <w:sz w:val="22"/>
      </w:rPr>
    </w:lvl>
    <w:lvl w:ilvl="1">
      <w:start w:val="1"/>
      <w:numFmt w:val="lowerLetter"/>
      <w:pStyle w:val="Lista"/>
      <w:lvlText w:val="%2"/>
      <w:lvlJc w:val="left"/>
      <w:pPr>
        <w:ind w:left="1134" w:hanging="567"/>
      </w:pPr>
      <w:rPr>
        <w:rFonts w:asciiTheme="minorHAnsi" w:hAnsiTheme="minorHAnsi" w:hint="default"/>
        <w:b w:val="0"/>
        <w:i w:val="0"/>
        <w:sz w:val="22"/>
      </w:rPr>
    </w:lvl>
    <w:lvl w:ilvl="2">
      <w:start w:val="1"/>
      <w:numFmt w:val="lowerRoman"/>
      <w:pStyle w:val="Listi"/>
      <w:lvlText w:val="%3"/>
      <w:lvlJc w:val="left"/>
      <w:pPr>
        <w:ind w:left="2268" w:hanging="567"/>
      </w:pPr>
      <w:rPr>
        <w:rFonts w:asciiTheme="minorHAnsi" w:hAnsiTheme="minorHAnsi" w:hint="default"/>
        <w:b w:val="0"/>
        <w:i w:val="0"/>
        <w:sz w:val="20"/>
      </w:rPr>
    </w:lvl>
    <w:lvl w:ilvl="3">
      <w:start w:val="1"/>
      <w:numFmt w:val="decimal"/>
      <w:lvlText w:val="(%4)"/>
      <w:lvlJc w:val="left"/>
      <w:pPr>
        <w:ind w:left="2858" w:hanging="360"/>
      </w:pPr>
      <w:rPr>
        <w:rFonts w:hint="default"/>
      </w:rPr>
    </w:lvl>
    <w:lvl w:ilvl="4">
      <w:start w:val="1"/>
      <w:numFmt w:val="lowerLetter"/>
      <w:lvlText w:val="(%5)"/>
      <w:lvlJc w:val="left"/>
      <w:pPr>
        <w:ind w:left="3218" w:hanging="360"/>
      </w:pPr>
      <w:rPr>
        <w:rFonts w:hint="default"/>
      </w:rPr>
    </w:lvl>
    <w:lvl w:ilvl="5">
      <w:start w:val="1"/>
      <w:numFmt w:val="lowerRoman"/>
      <w:lvlText w:val="(%6)"/>
      <w:lvlJc w:val="left"/>
      <w:pPr>
        <w:ind w:left="3578" w:hanging="360"/>
      </w:pPr>
      <w:rPr>
        <w:rFonts w:hint="default"/>
      </w:rPr>
    </w:lvl>
    <w:lvl w:ilvl="6">
      <w:start w:val="1"/>
      <w:numFmt w:val="decimal"/>
      <w:lvlText w:val="%7."/>
      <w:lvlJc w:val="left"/>
      <w:pPr>
        <w:ind w:left="3938" w:hanging="360"/>
      </w:pPr>
      <w:rPr>
        <w:rFonts w:hint="default"/>
      </w:rPr>
    </w:lvl>
    <w:lvl w:ilvl="7">
      <w:start w:val="1"/>
      <w:numFmt w:val="lowerLetter"/>
      <w:lvlText w:val="%8."/>
      <w:lvlJc w:val="left"/>
      <w:pPr>
        <w:ind w:left="4298" w:hanging="360"/>
      </w:pPr>
      <w:rPr>
        <w:rFonts w:hint="default"/>
      </w:rPr>
    </w:lvl>
    <w:lvl w:ilvl="8">
      <w:start w:val="1"/>
      <w:numFmt w:val="lowerRoman"/>
      <w:lvlText w:val="%9."/>
      <w:lvlJc w:val="left"/>
      <w:pPr>
        <w:ind w:left="4658" w:hanging="360"/>
      </w:pPr>
      <w:rPr>
        <w:rFonts w:hint="default"/>
      </w:rPr>
    </w:lvl>
  </w:abstractNum>
  <w:abstractNum w:abstractNumId="20" w15:restartNumberingAfterBreak="0">
    <w:nsid w:val="76D64DA6"/>
    <w:multiLevelType w:val="multilevel"/>
    <w:tmpl w:val="7E026ECC"/>
    <w:lvl w:ilvl="0">
      <w:start w:val="1"/>
      <w:numFmt w:val="bullet"/>
      <w:pStyle w:val="Bullet3"/>
      <w:lvlText w:val="o"/>
      <w:lvlJc w:val="left"/>
      <w:pPr>
        <w:ind w:left="1211"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7B65365"/>
    <w:multiLevelType w:val="multilevel"/>
    <w:tmpl w:val="577A361A"/>
    <w:lvl w:ilvl="0">
      <w:start w:val="1"/>
      <w:numFmt w:val="decimal"/>
      <w:pStyle w:val="List1"/>
      <w:lvlText w:val="%1"/>
      <w:lvlJc w:val="left"/>
      <w:pPr>
        <w:tabs>
          <w:tab w:val="num" w:pos="0"/>
        </w:tabs>
        <w:ind w:left="567" w:hanging="567"/>
      </w:pPr>
      <w:rPr>
        <w:rFonts w:asciiTheme="minorHAnsi" w:hAnsiTheme="minorHAnsi" w:hint="default"/>
        <w:b w:val="0"/>
        <w:i w:val="0"/>
        <w:sz w:val="22"/>
      </w:rPr>
    </w:lvl>
    <w:lvl w:ilvl="1">
      <w:start w:val="1"/>
      <w:numFmt w:val="lowerLetter"/>
      <w:lvlText w:val="%2"/>
      <w:lvlJc w:val="left"/>
      <w:pPr>
        <w:tabs>
          <w:tab w:val="num" w:pos="0"/>
        </w:tabs>
        <w:ind w:left="1134" w:hanging="567"/>
      </w:pPr>
      <w:rPr>
        <w:rFonts w:asciiTheme="minorHAnsi" w:hAnsiTheme="minorHAnsi" w:hint="default"/>
        <w:b w:val="0"/>
        <w:i w:val="0"/>
        <w:sz w:val="22"/>
      </w:rPr>
    </w:lvl>
    <w:lvl w:ilvl="2">
      <w:start w:val="1"/>
      <w:numFmt w:val="lowerRoman"/>
      <w:lvlText w:val="%3"/>
      <w:lvlJc w:val="left"/>
      <w:pPr>
        <w:ind w:left="567" w:firstLine="567"/>
      </w:pPr>
      <w:rPr>
        <w:rFonts w:asciiTheme="minorHAnsi" w:hAnsiTheme="minorHAnsi" w:hint="default"/>
        <w:b w:val="0"/>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BB11B89"/>
    <w:multiLevelType w:val="multilevel"/>
    <w:tmpl w:val="0FAEC818"/>
    <w:lvl w:ilvl="0">
      <w:start w:val="1"/>
      <w:numFmt w:val="bullet"/>
      <w:pStyle w:val="Bullet2"/>
      <w:lvlText w:val=""/>
      <w:lvlJc w:val="left"/>
      <w:pPr>
        <w:ind w:left="851" w:hanging="426"/>
      </w:pPr>
      <w:rPr>
        <w:rFonts w:ascii="Symbol" w:hAnsi="Symbol" w:hint="default"/>
        <w:color w:val="B2C1E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FB472BF"/>
    <w:multiLevelType w:val="multilevel"/>
    <w:tmpl w:val="B0B214B4"/>
    <w:lvl w:ilvl="0">
      <w:start w:val="1"/>
      <w:numFmt w:val="decimal"/>
      <w:lvlText w:val="%1."/>
      <w:lvlJc w:val="left"/>
      <w:pPr>
        <w:ind w:left="1428"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249325">
    <w:abstractNumId w:val="12"/>
  </w:num>
  <w:num w:numId="2" w16cid:durableId="1615478531">
    <w:abstractNumId w:val="4"/>
  </w:num>
  <w:num w:numId="3" w16cid:durableId="557397281">
    <w:abstractNumId w:val="11"/>
  </w:num>
  <w:num w:numId="4" w16cid:durableId="699890139">
    <w:abstractNumId w:val="6"/>
  </w:num>
  <w:num w:numId="5" w16cid:durableId="724719497">
    <w:abstractNumId w:val="9"/>
  </w:num>
  <w:num w:numId="6" w16cid:durableId="1476528837">
    <w:abstractNumId w:val="16"/>
  </w:num>
  <w:num w:numId="7" w16cid:durableId="742876262">
    <w:abstractNumId w:val="22"/>
  </w:num>
  <w:num w:numId="8" w16cid:durableId="1225213972">
    <w:abstractNumId w:val="20"/>
  </w:num>
  <w:num w:numId="9" w16cid:durableId="277102857">
    <w:abstractNumId w:val="17"/>
  </w:num>
  <w:num w:numId="10" w16cid:durableId="1673334561">
    <w:abstractNumId w:val="13"/>
  </w:num>
  <w:num w:numId="11" w16cid:durableId="380638634">
    <w:abstractNumId w:val="18"/>
  </w:num>
  <w:num w:numId="12" w16cid:durableId="163667526">
    <w:abstractNumId w:val="8"/>
  </w:num>
  <w:num w:numId="13" w16cid:durableId="1215119974">
    <w:abstractNumId w:val="3"/>
  </w:num>
  <w:num w:numId="14" w16cid:durableId="1620061274">
    <w:abstractNumId w:val="21"/>
  </w:num>
  <w:num w:numId="15" w16cid:durableId="79839939">
    <w:abstractNumId w:val="19"/>
  </w:num>
  <w:num w:numId="16" w16cid:durableId="443959493">
    <w:abstractNumId w:val="0"/>
  </w:num>
  <w:num w:numId="17" w16cid:durableId="1037780905">
    <w:abstractNumId w:val="7"/>
  </w:num>
  <w:num w:numId="18" w16cid:durableId="2043048031">
    <w:abstractNumId w:val="5"/>
  </w:num>
  <w:num w:numId="19" w16cid:durableId="70852443">
    <w:abstractNumId w:val="10"/>
  </w:num>
  <w:num w:numId="20" w16cid:durableId="2010327456">
    <w:abstractNumId w:val="15"/>
  </w:num>
  <w:num w:numId="21" w16cid:durableId="1575048403">
    <w:abstractNumId w:val="14"/>
  </w:num>
  <w:num w:numId="22" w16cid:durableId="1629974215">
    <w:abstractNumId w:val="1"/>
  </w:num>
  <w:num w:numId="23" w16cid:durableId="1000887286">
    <w:abstractNumId w:val="1"/>
  </w:num>
  <w:num w:numId="24" w16cid:durableId="1558205447">
    <w:abstractNumId w:val="1"/>
  </w:num>
  <w:num w:numId="25" w16cid:durableId="1981769709">
    <w:abstractNumId w:val="1"/>
  </w:num>
  <w:num w:numId="26" w16cid:durableId="243953503">
    <w:abstractNumId w:val="1"/>
  </w:num>
  <w:num w:numId="27" w16cid:durableId="2043048031">
    <w:abstractNumId w:val="5"/>
    <w:lvlOverride w:ilvl="0">
      <w:startOverride w:val="1"/>
    </w:lvlOverride>
  </w:num>
  <w:num w:numId="28" w16cid:durableId="1945073538">
    <w:abstractNumId w:val="1"/>
  </w:num>
  <w:num w:numId="29" w16cid:durableId="163667526">
    <w:abstractNumId w:val="8"/>
    <w:lvlOverride w:ilvl="0">
      <w:startOverride w:val="1"/>
    </w:lvlOverride>
  </w:num>
  <w:num w:numId="30" w16cid:durableId="1656253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89099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80585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66030549">
    <w:abstractNumId w:val="1"/>
  </w:num>
  <w:num w:numId="34" w16cid:durableId="2123763622">
    <w:abstractNumId w:val="1"/>
  </w:num>
  <w:num w:numId="35" w16cid:durableId="1786146494">
    <w:abstractNumId w:val="1"/>
  </w:num>
  <w:num w:numId="36" w16cid:durableId="1837069569">
    <w:abstractNumId w:val="1"/>
  </w:num>
  <w:num w:numId="37" w16cid:durableId="2038895113">
    <w:abstractNumId w:val="1"/>
  </w:num>
  <w:num w:numId="38" w16cid:durableId="235287317">
    <w:abstractNumId w:val="1"/>
  </w:num>
  <w:num w:numId="39" w16cid:durableId="577792231">
    <w:abstractNumId w:val="1"/>
  </w:num>
  <w:num w:numId="40" w16cid:durableId="177736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34047875">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E3E"/>
    <w:rsid w:val="00221B03"/>
    <w:rsid w:val="0050032C"/>
    <w:rsid w:val="005511CA"/>
    <w:rsid w:val="00711102"/>
    <w:rsid w:val="009121EF"/>
    <w:rsid w:val="00946AB8"/>
    <w:rsid w:val="00E71ADC"/>
    <w:rsid w:val="00EF0E3E"/>
    <w:rsid w:val="00F84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0058"/>
  <w15:docId w15:val="{AA84BBF3-B08A-48EC-8B5A-D58BE1B9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20" w:line="216" w:lineRule="atLeast"/>
    </w:pPr>
    <w:rPr>
      <w:lang w:val="en-GB"/>
    </w:rPr>
  </w:style>
  <w:style w:type="paragraph" w:styleId="Heading1">
    <w:name w:val="heading 1"/>
    <w:next w:val="Heading1separationline"/>
    <w:link w:val="Heading1Char"/>
    <w:qFormat/>
    <w:pPr>
      <w:keepNext/>
      <w:keepLines/>
      <w:numPr>
        <w:numId w:val="11"/>
      </w:numPr>
      <w:spacing w:before="240" w:line="240" w:lineRule="atLeast"/>
      <w:outlineLvl w:val="0"/>
    </w:pPr>
    <w:rPr>
      <w:rFonts w:asciiTheme="majorHAnsi" w:eastAsiaTheme="majorEastAsia" w:hAnsiTheme="majorHAnsi" w:cstheme="majorBidi"/>
      <w:b/>
      <w:bCs/>
      <w:caps/>
      <w:color w:val="00558C"/>
      <w:sz w:val="28"/>
      <w:szCs w:val="24"/>
      <w:lang w:val="en-GB"/>
    </w:rPr>
  </w:style>
  <w:style w:type="paragraph" w:styleId="Heading2">
    <w:name w:val="heading 2"/>
    <w:basedOn w:val="Heading1"/>
    <w:next w:val="Heading2separationline"/>
    <w:link w:val="Heading2Char"/>
    <w:qFormat/>
    <w:pPr>
      <w:numPr>
        <w:ilvl w:val="1"/>
      </w:numPr>
      <w:ind w:right="709"/>
      <w:outlineLvl w:val="1"/>
    </w:pPr>
    <w:rPr>
      <w:bCs w:val="0"/>
      <w:sz w:val="24"/>
    </w:rPr>
  </w:style>
  <w:style w:type="paragraph" w:styleId="Heading3">
    <w:name w:val="heading 3"/>
    <w:basedOn w:val="Heading2"/>
    <w:next w:val="BodyText"/>
    <w:link w:val="Heading3Char"/>
    <w:qFormat/>
    <w:pPr>
      <w:numPr>
        <w:ilvl w:val="2"/>
      </w:numPr>
      <w:spacing w:before="120" w:after="120"/>
      <w:ind w:right="851"/>
      <w:outlineLvl w:val="2"/>
    </w:pPr>
    <w:rPr>
      <w:bCs/>
      <w:caps w:val="0"/>
      <w:smallCaps/>
    </w:rPr>
  </w:style>
  <w:style w:type="paragraph" w:styleId="Heading4">
    <w:name w:val="heading 4"/>
    <w:basedOn w:val="Heading3"/>
    <w:next w:val="BodyText"/>
    <w:link w:val="Heading4Char"/>
    <w:qFormat/>
    <w:pPr>
      <w:numPr>
        <w:ilvl w:val="3"/>
      </w:numPr>
      <w:ind w:right="992"/>
      <w:outlineLvl w:val="3"/>
    </w:pPr>
    <w:rPr>
      <w:bCs w:val="0"/>
      <w:iCs/>
      <w:smallCaps w:val="0"/>
      <w:sz w:val="22"/>
    </w:rPr>
  </w:style>
  <w:style w:type="paragraph" w:styleId="Heading5">
    <w:name w:val="heading 5"/>
    <w:basedOn w:val="Heading4"/>
    <w:next w:val="Normal"/>
    <w:link w:val="Heading5Char"/>
    <w:qFormat/>
    <w:pPr>
      <w:numPr>
        <w:ilvl w:val="4"/>
      </w:numPr>
      <w:spacing w:before="200"/>
      <w:outlineLvl w:val="4"/>
    </w:pPr>
    <w:rPr>
      <w:b w:val="0"/>
    </w:rPr>
  </w:style>
  <w:style w:type="paragraph" w:styleId="Heading6">
    <w:name w:val="heading 6"/>
    <w:basedOn w:val="Normal"/>
    <w:next w:val="Normal"/>
    <w:link w:val="Heading6Char"/>
    <w:pPr>
      <w:keepNext/>
      <w:keepLines/>
      <w:spacing w:before="200"/>
      <w:outlineLvl w:val="5"/>
    </w:pPr>
    <w:rPr>
      <w:rFonts w:asciiTheme="majorHAnsi" w:eastAsiaTheme="majorEastAsia" w:hAnsiTheme="majorHAnsi" w:cstheme="majorBidi"/>
      <w:i/>
      <w:iCs/>
      <w:color w:val="002A45" w:themeColor="accent1" w:themeShade="7F"/>
    </w:rPr>
  </w:style>
  <w:style w:type="paragraph" w:styleId="Heading7">
    <w:name w:val="heading 7"/>
    <w:basedOn w:val="Normal"/>
    <w:next w:val="Normal"/>
    <w:link w:val="Heading7Char"/>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69C3FF" w:themeColor="accent1" w:themeTint="67"/>
        <w:left w:val="single" w:sz="4" w:space="0" w:color="69C3FF" w:themeColor="accent1" w:themeTint="67"/>
        <w:bottom w:val="single" w:sz="4" w:space="0" w:color="69C3FF" w:themeColor="accent1" w:themeTint="67"/>
        <w:right w:val="single" w:sz="4" w:space="0" w:color="69C3FF" w:themeColor="accent1" w:themeTint="67"/>
        <w:insideH w:val="single" w:sz="4" w:space="0" w:color="69C3FF" w:themeColor="accent1" w:themeTint="67"/>
        <w:insideV w:val="single" w:sz="4" w:space="0" w:color="69C3FF" w:themeColor="accent1" w:themeTint="67"/>
      </w:tblBorders>
    </w:tblPr>
    <w:tblStylePr w:type="firstRow">
      <w:rPr>
        <w:b/>
        <w:color w:val="404040"/>
      </w:rPr>
      <w:tblPr/>
      <w:tcPr>
        <w:tcBorders>
          <w:bottom w:val="single" w:sz="12" w:space="0" w:color="26A9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69C3FF" w:themeColor="accent1" w:themeTint="67"/>
          <w:left w:val="single" w:sz="4" w:space="0" w:color="69C3FF" w:themeColor="accent1" w:themeTint="67"/>
          <w:bottom w:val="single" w:sz="4" w:space="0" w:color="69C3FF" w:themeColor="accent1" w:themeTint="67"/>
          <w:right w:val="single" w:sz="4" w:space="0" w:color="69C3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8CDCFF" w:themeColor="accent2" w:themeTint="67"/>
        <w:left w:val="single" w:sz="4" w:space="0" w:color="8CDCFF" w:themeColor="accent2" w:themeTint="67"/>
        <w:bottom w:val="single" w:sz="4" w:space="0" w:color="8CDCFF" w:themeColor="accent2" w:themeTint="67"/>
        <w:right w:val="single" w:sz="4" w:space="0" w:color="8CDCFF" w:themeColor="accent2" w:themeTint="67"/>
        <w:insideH w:val="single" w:sz="4" w:space="0" w:color="8CDCFF" w:themeColor="accent2" w:themeTint="67"/>
        <w:insideV w:val="single" w:sz="4" w:space="0" w:color="8CDCFF" w:themeColor="accent2" w:themeTint="67"/>
      </w:tblBorders>
    </w:tblPr>
    <w:tblStylePr w:type="firstRow">
      <w:rPr>
        <w:b/>
        <w:color w:val="404040"/>
      </w:rPr>
      <w:tblPr/>
      <w:tcPr>
        <w:tcBorders>
          <w:bottom w:val="single" w:sz="12" w:space="0" w:color="59CCFF"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CDCFF" w:themeColor="accent2" w:themeTint="67"/>
          <w:left w:val="single" w:sz="4" w:space="0" w:color="8CDCFF" w:themeColor="accent2" w:themeTint="67"/>
          <w:bottom w:val="single" w:sz="4" w:space="0" w:color="8CDCFF" w:themeColor="accent2" w:themeTint="67"/>
          <w:right w:val="single" w:sz="4" w:space="0" w:color="8CDCFF"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78FFF9" w:themeColor="accent3" w:themeTint="67"/>
        <w:left w:val="single" w:sz="4" w:space="0" w:color="78FFF9" w:themeColor="accent3" w:themeTint="67"/>
        <w:bottom w:val="single" w:sz="4" w:space="0" w:color="78FFF9" w:themeColor="accent3" w:themeTint="67"/>
        <w:right w:val="single" w:sz="4" w:space="0" w:color="78FFF9" w:themeColor="accent3" w:themeTint="67"/>
        <w:insideH w:val="single" w:sz="4" w:space="0" w:color="78FFF9" w:themeColor="accent3" w:themeTint="67"/>
        <w:insideV w:val="single" w:sz="4" w:space="0" w:color="78FFF9" w:themeColor="accent3" w:themeTint="67"/>
      </w:tblBorders>
    </w:tblPr>
    <w:tblStylePr w:type="firstRow">
      <w:rPr>
        <w:b/>
        <w:color w:val="404040"/>
      </w:rPr>
      <w:tblPr/>
      <w:tcPr>
        <w:tcBorders>
          <w:bottom w:val="single" w:sz="12" w:space="0" w:color="3BFFF6"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78FFF9" w:themeColor="accent3" w:themeTint="67"/>
          <w:left w:val="single" w:sz="4" w:space="0" w:color="78FFF9" w:themeColor="accent3" w:themeTint="67"/>
          <w:bottom w:val="single" w:sz="4" w:space="0" w:color="78FFF9" w:themeColor="accent3" w:themeTint="67"/>
          <w:right w:val="single" w:sz="4" w:space="0" w:color="78FFF9"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85F3FF" w:themeColor="accent4" w:themeTint="67"/>
        <w:left w:val="single" w:sz="4" w:space="0" w:color="85F3FF" w:themeColor="accent4" w:themeTint="67"/>
        <w:bottom w:val="single" w:sz="4" w:space="0" w:color="85F3FF" w:themeColor="accent4" w:themeTint="67"/>
        <w:right w:val="single" w:sz="4" w:space="0" w:color="85F3FF" w:themeColor="accent4" w:themeTint="67"/>
        <w:insideH w:val="single" w:sz="4" w:space="0" w:color="85F3FF" w:themeColor="accent4" w:themeTint="67"/>
        <w:insideV w:val="single" w:sz="4" w:space="0" w:color="85F3FF" w:themeColor="accent4" w:themeTint="67"/>
      </w:tblBorders>
    </w:tblPr>
    <w:tblStylePr w:type="firstRow">
      <w:rPr>
        <w:b/>
        <w:color w:val="404040"/>
      </w:rPr>
      <w:tblPr/>
      <w:tcPr>
        <w:tcBorders>
          <w:bottom w:val="single" w:sz="12" w:space="0" w:color="4EEDFF"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5F3FF" w:themeColor="accent4" w:themeTint="67"/>
          <w:left w:val="single" w:sz="4" w:space="0" w:color="85F3FF" w:themeColor="accent4" w:themeTint="67"/>
          <w:bottom w:val="single" w:sz="4" w:space="0" w:color="85F3FF" w:themeColor="accent4" w:themeTint="67"/>
          <w:right w:val="single" w:sz="4" w:space="0" w:color="85F3FF"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C1CEE7" w:themeColor="accent5" w:themeTint="67"/>
        <w:left w:val="single" w:sz="4" w:space="0" w:color="C1CEE7" w:themeColor="accent5" w:themeTint="67"/>
        <w:bottom w:val="single" w:sz="4" w:space="0" w:color="C1CEE7" w:themeColor="accent5" w:themeTint="67"/>
        <w:right w:val="single" w:sz="4" w:space="0" w:color="C1CEE7" w:themeColor="accent5" w:themeTint="67"/>
        <w:insideH w:val="single" w:sz="4" w:space="0" w:color="C1CEE7" w:themeColor="accent5" w:themeTint="67"/>
        <w:insideV w:val="single" w:sz="4" w:space="0" w:color="C1CEE7" w:themeColor="accent5" w:themeTint="67"/>
      </w:tblBorders>
    </w:tblPr>
    <w:tblStylePr w:type="firstRow">
      <w:rPr>
        <w:b/>
        <w:color w:val="404040"/>
      </w:rPr>
      <w:tblPr/>
      <w:tcPr>
        <w:tcBorders>
          <w:bottom w:val="single" w:sz="12" w:space="0" w:color="A6B8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1CEE7" w:themeColor="accent5" w:themeTint="67"/>
          <w:left w:val="single" w:sz="4" w:space="0" w:color="C1CEE7" w:themeColor="accent5" w:themeTint="67"/>
          <w:bottom w:val="single" w:sz="4" w:space="0" w:color="C1CEE7" w:themeColor="accent5" w:themeTint="67"/>
          <w:right w:val="single" w:sz="4" w:space="0" w:color="C1CE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D8B5D8" w:themeColor="accent6" w:themeTint="67"/>
        <w:left w:val="single" w:sz="4" w:space="0" w:color="D8B5D8" w:themeColor="accent6" w:themeTint="67"/>
        <w:bottom w:val="single" w:sz="4" w:space="0" w:color="D8B5D8" w:themeColor="accent6" w:themeTint="67"/>
        <w:right w:val="single" w:sz="4" w:space="0" w:color="D8B5D8" w:themeColor="accent6" w:themeTint="67"/>
        <w:insideH w:val="single" w:sz="4" w:space="0" w:color="D8B5D8" w:themeColor="accent6" w:themeTint="67"/>
        <w:insideV w:val="single" w:sz="4" w:space="0" w:color="D8B5D8" w:themeColor="accent6" w:themeTint="67"/>
      </w:tblBorders>
    </w:tblPr>
    <w:tblStylePr w:type="firstRow">
      <w:rPr>
        <w:b/>
        <w:color w:val="404040"/>
      </w:rPr>
      <w:tblPr/>
      <w:tcPr>
        <w:tcBorders>
          <w:bottom w:val="single" w:sz="12" w:space="0" w:color="C794C7"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8B5D8" w:themeColor="accent6" w:themeTint="67"/>
          <w:left w:val="single" w:sz="4" w:space="0" w:color="D8B5D8" w:themeColor="accent6" w:themeTint="67"/>
          <w:bottom w:val="single" w:sz="4" w:space="0" w:color="D8B5D8" w:themeColor="accent6" w:themeTint="67"/>
          <w:right w:val="single" w:sz="4" w:space="0" w:color="D8B5D8"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66AA" w:themeColor="accent1" w:themeTint="EA"/>
        <w:insideH w:val="single" w:sz="4" w:space="0" w:color="0066AA" w:themeColor="accent1" w:themeTint="EA"/>
        <w:insideV w:val="single" w:sz="4" w:space="0" w:color="0066AA" w:themeColor="accent1" w:themeTint="EA"/>
      </w:tblBorders>
    </w:tblPr>
    <w:tblStylePr w:type="firstRow">
      <w:rPr>
        <w:b/>
        <w:color w:val="404040"/>
      </w:rPr>
      <w:tblPr/>
      <w:tcPr>
        <w:tcBorders>
          <w:top w:val="none" w:sz="4" w:space="0" w:color="000000"/>
          <w:left w:val="none" w:sz="4" w:space="0" w:color="000000"/>
          <w:bottom w:val="single" w:sz="12" w:space="0" w:color="0066AA" w:themeColor="accent1" w:themeTint="EA"/>
          <w:right w:val="none" w:sz="4" w:space="0" w:color="000000"/>
        </w:tcBorders>
        <w:shd w:val="clear" w:color="FFFFFF" w:fill="auto"/>
      </w:tcPr>
    </w:tblStylePr>
    <w:tblStylePr w:type="lastRow">
      <w:rPr>
        <w:b/>
        <w:color w:val="404040"/>
      </w:rPr>
      <w:tblPr/>
      <w:tcPr>
        <w:tcBorders>
          <w:top w:val="single" w:sz="4" w:space="0" w:color="0066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3E1FF" w:themeColor="accent1" w:themeTint="34" w:fill="B3E1FF" w:themeFill="accent1" w:themeFillTint="34"/>
      </w:tcPr>
    </w:tblStylePr>
    <w:tblStylePr w:type="band1Horz">
      <w:rPr>
        <w:rFonts w:ascii="Arial" w:hAnsi="Arial"/>
        <w:color w:val="404040"/>
        <w:sz w:val="22"/>
      </w:rPr>
      <w:tblPr/>
      <w:tcPr>
        <w:shd w:val="clear" w:color="B3E1FF" w:themeColor="accent1" w:themeTint="34" w:fill="B3E1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57CCFF" w:themeColor="accent2" w:themeTint="97"/>
        <w:insideH w:val="single" w:sz="4" w:space="0" w:color="57CCFF" w:themeColor="accent2" w:themeTint="97"/>
        <w:insideV w:val="single" w:sz="4" w:space="0" w:color="57CCFF" w:themeColor="accent2" w:themeTint="97"/>
      </w:tblBorders>
    </w:tblPr>
    <w:tblStylePr w:type="firstRow">
      <w:rPr>
        <w:b/>
        <w:color w:val="404040"/>
      </w:rPr>
      <w:tblPr/>
      <w:tcPr>
        <w:tcBorders>
          <w:top w:val="none" w:sz="4" w:space="0" w:color="000000"/>
          <w:left w:val="none" w:sz="4" w:space="0" w:color="000000"/>
          <w:bottom w:val="single" w:sz="12" w:space="0" w:color="57CCFF" w:themeColor="accent2" w:themeTint="97"/>
          <w:right w:val="none" w:sz="4" w:space="0" w:color="000000"/>
        </w:tcBorders>
        <w:shd w:val="clear" w:color="FFFFFF" w:fill="auto"/>
      </w:tcPr>
    </w:tblStylePr>
    <w:tblStylePr w:type="lastRow">
      <w:rPr>
        <w:b/>
        <w:color w:val="404040"/>
      </w:rPr>
      <w:tblPr/>
      <w:tcPr>
        <w:tcBorders>
          <w:top w:val="single" w:sz="4" w:space="0" w:color="57CCFF"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EFF" w:themeColor="accent2" w:themeTint="32" w:fill="C7EEFF" w:themeFill="accent2" w:themeFillTint="32"/>
      </w:tcPr>
    </w:tblStylePr>
    <w:tblStylePr w:type="band1Horz">
      <w:rPr>
        <w:rFonts w:ascii="Arial" w:hAnsi="Arial"/>
        <w:color w:val="404040"/>
        <w:sz w:val="22"/>
      </w:rPr>
      <w:tblPr/>
      <w:tcPr>
        <w:shd w:val="clear" w:color="C7EEFF" w:themeColor="accent2" w:themeTint="32" w:fill="C7EEFF"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B1A9" w:themeColor="accent3" w:themeTint="FE"/>
        <w:insideH w:val="single" w:sz="4" w:space="0" w:color="00B1A9" w:themeColor="accent3" w:themeTint="FE"/>
        <w:insideV w:val="single" w:sz="4" w:space="0" w:color="00B1A9" w:themeColor="accent3" w:themeTint="FE"/>
      </w:tblBorders>
    </w:tblPr>
    <w:tblStylePr w:type="firstRow">
      <w:rPr>
        <w:b/>
        <w:color w:val="404040"/>
      </w:rPr>
      <w:tblPr/>
      <w:tcPr>
        <w:tcBorders>
          <w:top w:val="none" w:sz="4" w:space="0" w:color="000000"/>
          <w:left w:val="none" w:sz="4" w:space="0" w:color="000000"/>
          <w:bottom w:val="single" w:sz="12" w:space="0" w:color="00B1A9" w:themeColor="accent3" w:themeTint="FE"/>
          <w:right w:val="none" w:sz="4" w:space="0" w:color="000000"/>
        </w:tcBorders>
        <w:shd w:val="clear" w:color="FFFFFF" w:fill="auto"/>
      </w:tcPr>
    </w:tblStylePr>
    <w:tblStylePr w:type="lastRow">
      <w:rPr>
        <w:b/>
        <w:color w:val="404040"/>
      </w:rPr>
      <w:tblPr/>
      <w:tcPr>
        <w:tcBorders>
          <w:top w:val="single" w:sz="4" w:space="0" w:color="00B1A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AFFFC" w:themeColor="accent3" w:themeTint="34" w:fill="BAFFFC" w:themeFill="accent3" w:themeFillTint="34"/>
      </w:tcPr>
    </w:tblStylePr>
    <w:tblStylePr w:type="band1Horz">
      <w:rPr>
        <w:rFonts w:ascii="Arial" w:hAnsi="Arial"/>
        <w:color w:val="404040"/>
        <w:sz w:val="22"/>
      </w:rPr>
      <w:tblPr/>
      <w:tcPr>
        <w:shd w:val="clear" w:color="BAFFFC" w:themeColor="accent3" w:themeTint="34" w:fill="BAFFF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48EDFF" w:themeColor="accent4" w:themeTint="9A"/>
        <w:insideH w:val="single" w:sz="4" w:space="0" w:color="48EDFF" w:themeColor="accent4" w:themeTint="9A"/>
        <w:insideV w:val="single" w:sz="4" w:space="0" w:color="48EDFF" w:themeColor="accent4" w:themeTint="9A"/>
      </w:tblBorders>
    </w:tblPr>
    <w:tblStylePr w:type="firstRow">
      <w:rPr>
        <w:b/>
        <w:color w:val="404040"/>
      </w:rPr>
      <w:tblPr/>
      <w:tcPr>
        <w:tcBorders>
          <w:top w:val="none" w:sz="4" w:space="0" w:color="000000"/>
          <w:left w:val="none" w:sz="4" w:space="0" w:color="000000"/>
          <w:bottom w:val="single" w:sz="12" w:space="0" w:color="48EDFF" w:themeColor="accent4" w:themeTint="9A"/>
          <w:right w:val="none" w:sz="4" w:space="0" w:color="000000"/>
        </w:tcBorders>
        <w:shd w:val="clear" w:color="FFFFFF" w:fill="auto"/>
      </w:tcPr>
    </w:tblStylePr>
    <w:tblStylePr w:type="lastRow">
      <w:rPr>
        <w:b/>
        <w:color w:val="404040"/>
      </w:rPr>
      <w:tblPr/>
      <w:tcPr>
        <w:tcBorders>
          <w:top w:val="single" w:sz="4" w:space="0" w:color="48EDFF"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F8FF" w:themeColor="accent4" w:themeTint="34" w:fill="C1F8FF" w:themeFill="accent4" w:themeFillTint="34"/>
      </w:tcPr>
    </w:tblStylePr>
    <w:tblStylePr w:type="band1Horz">
      <w:rPr>
        <w:rFonts w:ascii="Arial" w:hAnsi="Arial"/>
        <w:color w:val="404040"/>
        <w:sz w:val="22"/>
      </w:rPr>
      <w:tblPr/>
      <w:tcPr>
        <w:shd w:val="clear" w:color="C1F8FF" w:themeColor="accent4" w:themeTint="34" w:fill="C1F8FF"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6787C4" w:themeColor="accent5"/>
        <w:insideH w:val="single" w:sz="4" w:space="0" w:color="6787C4" w:themeColor="accent5"/>
        <w:insideV w:val="single" w:sz="4" w:space="0" w:color="6787C4" w:themeColor="accent5"/>
      </w:tblBorders>
    </w:tblPr>
    <w:tblStylePr w:type="firstRow">
      <w:rPr>
        <w:b/>
        <w:color w:val="404040"/>
      </w:rPr>
      <w:tblPr/>
      <w:tcPr>
        <w:tcBorders>
          <w:top w:val="none" w:sz="4" w:space="0" w:color="000000"/>
          <w:left w:val="none" w:sz="4" w:space="0" w:color="000000"/>
          <w:bottom w:val="single" w:sz="12" w:space="0" w:color="6787C4" w:themeColor="accent5"/>
          <w:right w:val="none" w:sz="4" w:space="0" w:color="000000"/>
        </w:tcBorders>
        <w:shd w:val="clear" w:color="FFFFFF" w:fill="auto"/>
      </w:tcPr>
    </w:tblStylePr>
    <w:tblStylePr w:type="lastRow">
      <w:rPr>
        <w:b/>
        <w:color w:val="404040"/>
      </w:rPr>
      <w:tblPr/>
      <w:tcPr>
        <w:tcBorders>
          <w:top w:val="single" w:sz="4" w:space="0" w:color="6787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E6F3" w:themeColor="accent5" w:themeTint="34" w:fill="DFE6F3" w:themeFill="accent5" w:themeFillTint="34"/>
      </w:tcPr>
    </w:tblStylePr>
    <w:tblStylePr w:type="band1Horz">
      <w:rPr>
        <w:rFonts w:ascii="Arial" w:hAnsi="Arial"/>
        <w:color w:val="404040"/>
        <w:sz w:val="22"/>
      </w:rPr>
      <w:tblPr/>
      <w:tcPr>
        <w:shd w:val="clear" w:color="DFE6F3" w:themeColor="accent5" w:themeTint="34" w:fill="DFE6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99509A" w:themeColor="accent6"/>
        <w:insideH w:val="single" w:sz="4" w:space="0" w:color="99509A" w:themeColor="accent6"/>
        <w:insideV w:val="single" w:sz="4" w:space="0" w:color="99509A" w:themeColor="accent6"/>
      </w:tblBorders>
    </w:tblPr>
    <w:tblStylePr w:type="firstRow">
      <w:rPr>
        <w:b/>
        <w:color w:val="404040"/>
      </w:rPr>
      <w:tblPr/>
      <w:tcPr>
        <w:tcBorders>
          <w:top w:val="none" w:sz="4" w:space="0" w:color="000000"/>
          <w:left w:val="none" w:sz="4" w:space="0" w:color="000000"/>
          <w:bottom w:val="single" w:sz="12" w:space="0" w:color="99509A" w:themeColor="accent6"/>
          <w:right w:val="none" w:sz="4" w:space="0" w:color="000000"/>
        </w:tcBorders>
        <w:shd w:val="clear" w:color="FFFFFF" w:fill="auto"/>
      </w:tcPr>
    </w:tblStylePr>
    <w:tblStylePr w:type="lastRow">
      <w:rPr>
        <w:b/>
        <w:color w:val="404040"/>
      </w:rPr>
      <w:tblPr/>
      <w:tcPr>
        <w:tcBorders>
          <w:top w:val="single" w:sz="4" w:space="0" w:color="99509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BD9EB" w:themeColor="accent6" w:themeTint="34" w:fill="EBD9EB" w:themeFill="accent6" w:themeFillTint="34"/>
      </w:tcPr>
    </w:tblStylePr>
    <w:tblStylePr w:type="band1Horz">
      <w:rPr>
        <w:rFonts w:ascii="Arial" w:hAnsi="Arial"/>
        <w:color w:val="404040"/>
        <w:sz w:val="22"/>
      </w:rPr>
      <w:tblPr/>
      <w:tcPr>
        <w:shd w:val="clear" w:color="EBD9EB" w:themeColor="accent6" w:themeTint="34" w:fill="EBD9EB"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66AA" w:themeColor="accent1" w:themeTint="EA"/>
        <w:insideH w:val="single" w:sz="4" w:space="0" w:color="0066AA" w:themeColor="accent1" w:themeTint="EA"/>
        <w:insideV w:val="single" w:sz="4" w:space="0" w:color="0066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3E1FF" w:themeColor="accent1" w:themeTint="34" w:fill="B3E1FF" w:themeFill="accent1" w:themeFillTint="34"/>
      </w:tcPr>
    </w:tblStylePr>
    <w:tblStylePr w:type="band1Horz">
      <w:rPr>
        <w:rFonts w:ascii="Arial" w:hAnsi="Arial"/>
        <w:color w:val="404040"/>
        <w:sz w:val="22"/>
      </w:rPr>
      <w:tblPr/>
      <w:tcPr>
        <w:shd w:val="clear" w:color="B3E1FF" w:themeColor="accent1" w:themeTint="34" w:fill="B3E1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57CCFF" w:themeColor="accent2" w:themeTint="97"/>
        <w:insideH w:val="single" w:sz="4" w:space="0" w:color="57CCFF" w:themeColor="accent2" w:themeTint="97"/>
        <w:insideV w:val="single" w:sz="4" w:space="0" w:color="57CCFF"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7EEFF" w:themeColor="accent2" w:themeTint="32" w:fill="C7EEFF" w:themeFill="accent2" w:themeFillTint="32"/>
      </w:tcPr>
    </w:tblStylePr>
    <w:tblStylePr w:type="band1Horz">
      <w:rPr>
        <w:rFonts w:ascii="Arial" w:hAnsi="Arial"/>
        <w:color w:val="404040"/>
        <w:sz w:val="22"/>
      </w:rPr>
      <w:tblPr/>
      <w:tcPr>
        <w:shd w:val="clear" w:color="C7EEFF" w:themeColor="accent2" w:themeTint="32" w:fill="C7EEFF"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B1A9" w:themeColor="accent3" w:themeTint="FE"/>
        <w:insideH w:val="single" w:sz="4" w:space="0" w:color="00B1A9" w:themeColor="accent3" w:themeTint="FE"/>
        <w:insideV w:val="single" w:sz="4" w:space="0" w:color="00B1A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AFFFC" w:themeColor="accent3" w:themeTint="34" w:fill="BAFFFC" w:themeFill="accent3" w:themeFillTint="34"/>
      </w:tcPr>
    </w:tblStylePr>
    <w:tblStylePr w:type="band1Horz">
      <w:rPr>
        <w:rFonts w:ascii="Arial" w:hAnsi="Arial"/>
        <w:color w:val="404040"/>
        <w:sz w:val="22"/>
      </w:rPr>
      <w:tblPr/>
      <w:tcPr>
        <w:shd w:val="clear" w:color="BAFFFC" w:themeColor="accent3" w:themeTint="34" w:fill="BAFFF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48EDFF" w:themeColor="accent4" w:themeTint="9A"/>
        <w:insideH w:val="single" w:sz="4" w:space="0" w:color="48EDFF" w:themeColor="accent4" w:themeTint="9A"/>
        <w:insideV w:val="single" w:sz="4" w:space="0" w:color="48EDFF"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F8FF" w:themeColor="accent4" w:themeTint="34" w:fill="C1F8FF" w:themeFill="accent4" w:themeFillTint="34"/>
      </w:tcPr>
    </w:tblStylePr>
    <w:tblStylePr w:type="band1Horz">
      <w:rPr>
        <w:rFonts w:ascii="Arial" w:hAnsi="Arial"/>
        <w:color w:val="404040"/>
        <w:sz w:val="22"/>
      </w:rPr>
      <w:tblPr/>
      <w:tcPr>
        <w:shd w:val="clear" w:color="C1F8FF" w:themeColor="accent4" w:themeTint="34" w:fill="C1F8FF"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6787C4" w:themeColor="accent5"/>
        <w:insideH w:val="single" w:sz="4" w:space="0" w:color="6787C4" w:themeColor="accent5"/>
        <w:insideV w:val="single" w:sz="4" w:space="0" w:color="6787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FE6F3" w:themeColor="accent5" w:themeTint="34" w:fill="DFE6F3" w:themeFill="accent5" w:themeFillTint="34"/>
      </w:tcPr>
    </w:tblStylePr>
    <w:tblStylePr w:type="band1Horz">
      <w:rPr>
        <w:rFonts w:ascii="Arial" w:hAnsi="Arial"/>
        <w:color w:val="404040"/>
        <w:sz w:val="22"/>
      </w:rPr>
      <w:tblPr/>
      <w:tcPr>
        <w:shd w:val="clear" w:color="DFE6F3" w:themeColor="accent5" w:themeTint="34" w:fill="DFE6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99509A" w:themeColor="accent6"/>
        <w:insideH w:val="single" w:sz="4" w:space="0" w:color="99509A" w:themeColor="accent6"/>
        <w:insideV w:val="single" w:sz="4" w:space="0" w:color="99509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BD9EB" w:themeColor="accent6" w:themeTint="34" w:fill="EBD9EB" w:themeFill="accent6" w:themeFillTint="34"/>
      </w:tcPr>
    </w:tblStylePr>
    <w:tblStylePr w:type="band1Horz">
      <w:rPr>
        <w:rFonts w:ascii="Arial" w:hAnsi="Arial"/>
        <w:color w:val="404040"/>
        <w:sz w:val="22"/>
      </w:rPr>
      <w:tblPr/>
      <w:tcPr>
        <w:shd w:val="clear" w:color="EBD9EB" w:themeColor="accent6" w:themeTint="34" w:fill="EBD9EB"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2EACFF" w:themeColor="accent1" w:themeTint="90"/>
        <w:left w:val="single" w:sz="4" w:space="0" w:color="2EACFF" w:themeColor="accent1" w:themeTint="90"/>
        <w:bottom w:val="single" w:sz="4" w:space="0" w:color="2EACFF" w:themeColor="accent1" w:themeTint="90"/>
        <w:right w:val="single" w:sz="4" w:space="0" w:color="2EACFF" w:themeColor="accent1" w:themeTint="90"/>
        <w:insideH w:val="single" w:sz="4" w:space="0" w:color="2EACFF" w:themeColor="accent1" w:themeTint="90"/>
        <w:insideV w:val="single" w:sz="4" w:space="0" w:color="2EACFF" w:themeColor="accent1" w:themeTint="90"/>
      </w:tblBorders>
    </w:tblPr>
    <w:tblStylePr w:type="firstRow">
      <w:rPr>
        <w:rFonts w:ascii="Arial" w:hAnsi="Arial"/>
        <w:b/>
        <w:color w:val="FFFFFF"/>
        <w:sz w:val="22"/>
      </w:rPr>
      <w:tblPr/>
      <w:tcPr>
        <w:tcBorders>
          <w:top w:val="single" w:sz="4" w:space="0" w:color="0066AA" w:themeColor="accent1" w:themeTint="EA"/>
          <w:left w:val="single" w:sz="4" w:space="0" w:color="0066AA" w:themeColor="accent1" w:themeTint="EA"/>
          <w:bottom w:val="single" w:sz="4" w:space="0" w:color="0066AA" w:themeColor="accent1" w:themeTint="EA"/>
          <w:right w:val="single" w:sz="4" w:space="0" w:color="0066AA" w:themeColor="accent1" w:themeTint="EA"/>
        </w:tcBorders>
        <w:shd w:val="clear" w:color="0066AA" w:themeColor="accent1" w:themeTint="EA" w:fill="0066AA" w:themeFill="accent1" w:themeFillTint="EA"/>
      </w:tcPr>
    </w:tblStylePr>
    <w:tblStylePr w:type="lastRow">
      <w:rPr>
        <w:b/>
        <w:color w:val="404040"/>
      </w:rPr>
      <w:tblPr/>
      <w:tcPr>
        <w:tcBorders>
          <w:top w:val="single" w:sz="4" w:space="0" w:color="0066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6E2FF" w:themeColor="accent1" w:themeTint="32" w:fill="B6E2FF" w:themeFill="accent1" w:themeFillTint="32"/>
      </w:tcPr>
    </w:tblStylePr>
    <w:tblStylePr w:type="band1Horz">
      <w:rPr>
        <w:rFonts w:ascii="Arial" w:hAnsi="Arial"/>
        <w:color w:val="404040"/>
        <w:sz w:val="22"/>
      </w:rPr>
      <w:tblPr/>
      <w:tcPr>
        <w:shd w:val="clear" w:color="B6E2FF" w:themeColor="accent1" w:themeTint="32" w:fill="B6E2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5FCEFF" w:themeColor="accent2" w:themeTint="90"/>
        <w:left w:val="single" w:sz="4" w:space="0" w:color="5FCEFF" w:themeColor="accent2" w:themeTint="90"/>
        <w:bottom w:val="single" w:sz="4" w:space="0" w:color="5FCEFF" w:themeColor="accent2" w:themeTint="90"/>
        <w:right w:val="single" w:sz="4" w:space="0" w:color="5FCEFF" w:themeColor="accent2" w:themeTint="90"/>
        <w:insideH w:val="single" w:sz="4" w:space="0" w:color="5FCEFF" w:themeColor="accent2" w:themeTint="90"/>
        <w:insideV w:val="single" w:sz="4" w:space="0" w:color="5FCEFF" w:themeColor="accent2" w:themeTint="90"/>
      </w:tblBorders>
    </w:tblPr>
    <w:tblStylePr w:type="firstRow">
      <w:rPr>
        <w:rFonts w:ascii="Arial" w:hAnsi="Arial"/>
        <w:b/>
        <w:color w:val="FFFFFF"/>
        <w:sz w:val="22"/>
      </w:rPr>
      <w:tblPr/>
      <w:tcPr>
        <w:tcBorders>
          <w:top w:val="single" w:sz="4" w:space="0" w:color="57CCFF" w:themeColor="accent2" w:themeTint="97"/>
          <w:left w:val="single" w:sz="4" w:space="0" w:color="57CCFF" w:themeColor="accent2" w:themeTint="97"/>
          <w:bottom w:val="single" w:sz="4" w:space="0" w:color="57CCFF" w:themeColor="accent2" w:themeTint="97"/>
          <w:right w:val="single" w:sz="4" w:space="0" w:color="57CCFF" w:themeColor="accent2" w:themeTint="97"/>
        </w:tcBorders>
        <w:shd w:val="clear" w:color="57CCFF" w:themeColor="accent2" w:themeTint="97" w:fill="57CCFF" w:themeFill="accent2" w:themeFillTint="97"/>
      </w:tcPr>
    </w:tblStylePr>
    <w:tblStylePr w:type="lastRow">
      <w:rPr>
        <w:b/>
        <w:color w:val="404040"/>
      </w:rPr>
      <w:tblPr/>
      <w:tcPr>
        <w:tcBorders>
          <w:top w:val="single" w:sz="4" w:space="0" w:color="57CCFF"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EFF" w:themeColor="accent2" w:themeTint="32" w:fill="C7EEFF" w:themeFill="accent2" w:themeFillTint="32"/>
      </w:tcPr>
    </w:tblStylePr>
    <w:tblStylePr w:type="band1Horz">
      <w:rPr>
        <w:rFonts w:ascii="Arial" w:hAnsi="Arial"/>
        <w:color w:val="404040"/>
        <w:sz w:val="22"/>
      </w:rPr>
      <w:tblPr/>
      <w:tcPr>
        <w:shd w:val="clear" w:color="C7EEFF" w:themeColor="accent2" w:themeTint="32" w:fill="C7EEFF"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42FFF6" w:themeColor="accent3" w:themeTint="90"/>
        <w:left w:val="single" w:sz="4" w:space="0" w:color="42FFF6" w:themeColor="accent3" w:themeTint="90"/>
        <w:bottom w:val="single" w:sz="4" w:space="0" w:color="42FFF6" w:themeColor="accent3" w:themeTint="90"/>
        <w:right w:val="single" w:sz="4" w:space="0" w:color="42FFF6" w:themeColor="accent3" w:themeTint="90"/>
        <w:insideH w:val="single" w:sz="4" w:space="0" w:color="42FFF6" w:themeColor="accent3" w:themeTint="90"/>
        <w:insideV w:val="single" w:sz="4" w:space="0" w:color="42FFF6" w:themeColor="accent3" w:themeTint="90"/>
      </w:tblBorders>
    </w:tblPr>
    <w:tblStylePr w:type="firstRow">
      <w:rPr>
        <w:rFonts w:ascii="Arial" w:hAnsi="Arial"/>
        <w:b/>
        <w:color w:val="FFFFFF"/>
        <w:sz w:val="22"/>
      </w:rPr>
      <w:tblPr/>
      <w:tcPr>
        <w:tcBorders>
          <w:top w:val="single" w:sz="4" w:space="0" w:color="00B1A9" w:themeColor="accent3" w:themeTint="FE"/>
          <w:left w:val="single" w:sz="4" w:space="0" w:color="00B1A9" w:themeColor="accent3" w:themeTint="FE"/>
          <w:bottom w:val="single" w:sz="4" w:space="0" w:color="00B1A9" w:themeColor="accent3" w:themeTint="FE"/>
          <w:right w:val="single" w:sz="4" w:space="0" w:color="00B1A9" w:themeColor="accent3" w:themeTint="FE"/>
        </w:tcBorders>
        <w:shd w:val="clear" w:color="00B1A9" w:themeColor="accent3" w:themeTint="FE" w:fill="00B1A9" w:themeFill="accent3" w:themeFillTint="FE"/>
      </w:tcPr>
    </w:tblStylePr>
    <w:tblStylePr w:type="lastRow">
      <w:rPr>
        <w:b/>
        <w:color w:val="404040"/>
      </w:rPr>
      <w:tblPr/>
      <w:tcPr>
        <w:tcBorders>
          <w:top w:val="single" w:sz="4" w:space="0" w:color="00B1A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AFFFC" w:themeColor="accent3" w:themeTint="34" w:fill="BAFFFC" w:themeFill="accent3" w:themeFillTint="34"/>
      </w:tcPr>
    </w:tblStylePr>
    <w:tblStylePr w:type="band1Horz">
      <w:rPr>
        <w:rFonts w:ascii="Arial" w:hAnsi="Arial"/>
        <w:color w:val="404040"/>
        <w:sz w:val="22"/>
      </w:rPr>
      <w:tblPr/>
      <w:tcPr>
        <w:shd w:val="clear" w:color="BAFFFC" w:themeColor="accent3" w:themeTint="34" w:fill="BAFFF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54EEFF" w:themeColor="accent4" w:themeTint="90"/>
        <w:left w:val="single" w:sz="4" w:space="0" w:color="54EEFF" w:themeColor="accent4" w:themeTint="90"/>
        <w:bottom w:val="single" w:sz="4" w:space="0" w:color="54EEFF" w:themeColor="accent4" w:themeTint="90"/>
        <w:right w:val="single" w:sz="4" w:space="0" w:color="54EEFF" w:themeColor="accent4" w:themeTint="90"/>
        <w:insideH w:val="single" w:sz="4" w:space="0" w:color="54EEFF" w:themeColor="accent4" w:themeTint="90"/>
        <w:insideV w:val="single" w:sz="4" w:space="0" w:color="54EEFF" w:themeColor="accent4" w:themeTint="90"/>
      </w:tblBorders>
    </w:tblPr>
    <w:tblStylePr w:type="firstRow">
      <w:rPr>
        <w:rFonts w:ascii="Arial" w:hAnsi="Arial"/>
        <w:b/>
        <w:color w:val="FFFFFF"/>
        <w:sz w:val="22"/>
      </w:rPr>
      <w:tblPr/>
      <w:tcPr>
        <w:tcBorders>
          <w:top w:val="single" w:sz="4" w:space="0" w:color="48EDFF" w:themeColor="accent4" w:themeTint="9A"/>
          <w:left w:val="single" w:sz="4" w:space="0" w:color="48EDFF" w:themeColor="accent4" w:themeTint="9A"/>
          <w:bottom w:val="single" w:sz="4" w:space="0" w:color="48EDFF" w:themeColor="accent4" w:themeTint="9A"/>
          <w:right w:val="single" w:sz="4" w:space="0" w:color="48EDFF" w:themeColor="accent4" w:themeTint="9A"/>
        </w:tcBorders>
        <w:shd w:val="clear" w:color="48EDFF" w:themeColor="accent4" w:themeTint="9A" w:fill="48EDFF" w:themeFill="accent4" w:themeFillTint="9A"/>
      </w:tcPr>
    </w:tblStylePr>
    <w:tblStylePr w:type="lastRow">
      <w:rPr>
        <w:b/>
        <w:color w:val="404040"/>
      </w:rPr>
      <w:tblPr/>
      <w:tcPr>
        <w:tcBorders>
          <w:top w:val="single" w:sz="4" w:space="0" w:color="48EDFF"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F8FF" w:themeColor="accent4" w:themeTint="34" w:fill="C1F8FF" w:themeFill="accent4" w:themeFillTint="34"/>
      </w:tcPr>
    </w:tblStylePr>
    <w:tblStylePr w:type="band1Horz">
      <w:rPr>
        <w:rFonts w:ascii="Arial" w:hAnsi="Arial"/>
        <w:color w:val="404040"/>
        <w:sz w:val="22"/>
      </w:rPr>
      <w:tblPr/>
      <w:tcPr>
        <w:shd w:val="clear" w:color="C1F8FF" w:themeColor="accent4" w:themeTint="34" w:fill="C1F8FF"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9BADD" w:themeColor="accent5" w:themeTint="90"/>
        <w:left w:val="single" w:sz="4" w:space="0" w:color="A9BADD" w:themeColor="accent5" w:themeTint="90"/>
        <w:bottom w:val="single" w:sz="4" w:space="0" w:color="A9BADD" w:themeColor="accent5" w:themeTint="90"/>
        <w:right w:val="single" w:sz="4" w:space="0" w:color="A9BADD" w:themeColor="accent5" w:themeTint="90"/>
        <w:insideH w:val="single" w:sz="4" w:space="0" w:color="A9BADD" w:themeColor="accent5" w:themeTint="90"/>
        <w:insideV w:val="single" w:sz="4" w:space="0" w:color="A9BADD" w:themeColor="accent5" w:themeTint="90"/>
      </w:tblBorders>
    </w:tblPr>
    <w:tblStylePr w:type="firstRow">
      <w:rPr>
        <w:rFonts w:ascii="Arial" w:hAnsi="Arial"/>
        <w:b/>
        <w:color w:val="FFFFFF"/>
        <w:sz w:val="22"/>
      </w:rPr>
      <w:tblPr/>
      <w:tcPr>
        <w:tcBorders>
          <w:top w:val="single" w:sz="4" w:space="0" w:color="6787C4" w:themeColor="accent5"/>
          <w:left w:val="single" w:sz="4" w:space="0" w:color="6787C4" w:themeColor="accent5"/>
          <w:bottom w:val="single" w:sz="4" w:space="0" w:color="6787C4" w:themeColor="accent5"/>
          <w:right w:val="single" w:sz="4" w:space="0" w:color="6787C4" w:themeColor="accent5"/>
        </w:tcBorders>
        <w:shd w:val="clear" w:color="6787C4" w:themeColor="accent5" w:fill="6787C4" w:themeFill="accent5"/>
      </w:tcPr>
    </w:tblStylePr>
    <w:tblStylePr w:type="lastRow">
      <w:rPr>
        <w:b/>
        <w:color w:val="404040"/>
      </w:rPr>
      <w:tblPr/>
      <w:tcPr>
        <w:tcBorders>
          <w:top w:val="single" w:sz="4" w:space="0" w:color="6787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E6F3" w:themeColor="accent5" w:themeTint="34" w:fill="DFE6F3" w:themeFill="accent5" w:themeFillTint="34"/>
      </w:tcPr>
    </w:tblStylePr>
    <w:tblStylePr w:type="band1Horz">
      <w:rPr>
        <w:rFonts w:ascii="Arial" w:hAnsi="Arial"/>
        <w:color w:val="404040"/>
        <w:sz w:val="22"/>
      </w:rPr>
      <w:tblPr/>
      <w:tcPr>
        <w:shd w:val="clear" w:color="DFE6F3" w:themeColor="accent5" w:themeTint="34" w:fill="DFE6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C898C9" w:themeColor="accent6" w:themeTint="90"/>
        <w:left w:val="single" w:sz="4" w:space="0" w:color="C898C9" w:themeColor="accent6" w:themeTint="90"/>
        <w:bottom w:val="single" w:sz="4" w:space="0" w:color="C898C9" w:themeColor="accent6" w:themeTint="90"/>
        <w:right w:val="single" w:sz="4" w:space="0" w:color="C898C9" w:themeColor="accent6" w:themeTint="90"/>
        <w:insideH w:val="single" w:sz="4" w:space="0" w:color="C898C9" w:themeColor="accent6" w:themeTint="90"/>
        <w:insideV w:val="single" w:sz="4" w:space="0" w:color="C898C9" w:themeColor="accent6" w:themeTint="90"/>
      </w:tblBorders>
    </w:tblPr>
    <w:tblStylePr w:type="firstRow">
      <w:rPr>
        <w:rFonts w:ascii="Arial" w:hAnsi="Arial"/>
        <w:b/>
        <w:color w:val="FFFFFF"/>
        <w:sz w:val="22"/>
      </w:rPr>
      <w:tblPr/>
      <w:tcPr>
        <w:tcBorders>
          <w:top w:val="single" w:sz="4" w:space="0" w:color="99509A" w:themeColor="accent6"/>
          <w:left w:val="single" w:sz="4" w:space="0" w:color="99509A" w:themeColor="accent6"/>
          <w:bottom w:val="single" w:sz="4" w:space="0" w:color="99509A" w:themeColor="accent6"/>
          <w:right w:val="single" w:sz="4" w:space="0" w:color="99509A" w:themeColor="accent6"/>
        </w:tcBorders>
        <w:shd w:val="clear" w:color="99509A" w:themeColor="accent6" w:fill="99509A" w:themeFill="accent6"/>
      </w:tcPr>
    </w:tblStylePr>
    <w:tblStylePr w:type="lastRow">
      <w:rPr>
        <w:b/>
        <w:color w:val="404040"/>
      </w:rPr>
      <w:tblPr/>
      <w:tcPr>
        <w:tcBorders>
          <w:top w:val="single" w:sz="4" w:space="0" w:color="99509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BD9EB" w:themeColor="accent6" w:themeTint="34" w:fill="EBD9EB" w:themeFill="accent6" w:themeFillTint="34"/>
      </w:tcPr>
    </w:tblStylePr>
    <w:tblStylePr w:type="band1Horz">
      <w:rPr>
        <w:rFonts w:ascii="Arial" w:hAnsi="Arial"/>
        <w:color w:val="404040"/>
        <w:sz w:val="22"/>
      </w:rPr>
      <w:tblPr/>
      <w:tcPr>
        <w:shd w:val="clear" w:color="EBD9EB" w:themeColor="accent6" w:themeTint="34" w:fill="EBD9EB"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7EEFF" w:themeColor="accent2" w:themeTint="32" w:fill="C7EEFF" w:themeFill="accent2" w:themeFillTint="32"/>
    </w:tblPr>
    <w:tblStylePr w:type="firstRow">
      <w:rPr>
        <w:rFonts w:ascii="Arial" w:hAnsi="Arial"/>
        <w:b/>
        <w:color w:val="FFFFFF"/>
        <w:sz w:val="22"/>
      </w:rPr>
      <w:tblPr/>
      <w:tcPr>
        <w:shd w:val="clear" w:color="009FE3" w:themeColor="accent2" w:fill="009FE3" w:themeFill="accent2"/>
      </w:tcPr>
    </w:tblStylePr>
    <w:tblStylePr w:type="lastRow">
      <w:rPr>
        <w:rFonts w:ascii="Arial" w:hAnsi="Arial"/>
        <w:b/>
        <w:color w:val="FFFFFF"/>
        <w:sz w:val="22"/>
      </w:rPr>
      <w:tblPr/>
      <w:tcPr>
        <w:tcBorders>
          <w:top w:val="single" w:sz="4" w:space="0" w:color="FFFFFF" w:themeColor="light1"/>
        </w:tcBorders>
        <w:shd w:val="clear" w:color="009FE3" w:themeColor="accent2" w:fill="009FE3" w:themeFill="accent2"/>
      </w:tcPr>
    </w:tblStylePr>
    <w:tblStylePr w:type="firstCol">
      <w:rPr>
        <w:rFonts w:ascii="Arial" w:hAnsi="Arial"/>
        <w:b/>
        <w:color w:val="FFFFFF"/>
        <w:sz w:val="22"/>
      </w:rPr>
      <w:tblPr/>
      <w:tcPr>
        <w:shd w:val="clear" w:color="009FE3" w:themeColor="accent2" w:fill="009FE3" w:themeFill="accent2"/>
      </w:tcPr>
    </w:tblStylePr>
    <w:tblStylePr w:type="lastCol">
      <w:rPr>
        <w:rFonts w:ascii="Arial" w:hAnsi="Arial"/>
        <w:b/>
        <w:color w:val="FFFFFF"/>
        <w:sz w:val="22"/>
      </w:rPr>
      <w:tblPr/>
      <w:tcPr>
        <w:shd w:val="clear" w:color="009FE3" w:themeColor="accent2" w:fill="009FE3" w:themeFill="accent2"/>
      </w:tcPr>
    </w:tblStylePr>
    <w:tblStylePr w:type="band1Vert">
      <w:tblPr/>
      <w:tcPr>
        <w:shd w:val="clear" w:color="7DD7FF" w:themeColor="accent2" w:themeTint="75" w:fill="7DD7FF" w:themeFill="accent2" w:themeFillTint="75"/>
      </w:tcPr>
    </w:tblStylePr>
    <w:tblStylePr w:type="band1Horz">
      <w:tblPr/>
      <w:tcPr>
        <w:shd w:val="clear" w:color="7DD7FF" w:themeColor="accent2" w:themeTint="75" w:fill="7DD7FF"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AFFFC" w:themeColor="accent3" w:themeTint="34" w:fill="BAFFFC" w:themeFill="accent3" w:themeFillTint="34"/>
    </w:tblPr>
    <w:tblStylePr w:type="firstRow">
      <w:rPr>
        <w:rFonts w:ascii="Arial" w:hAnsi="Arial"/>
        <w:b/>
        <w:color w:val="FFFFFF"/>
        <w:sz w:val="22"/>
      </w:rPr>
      <w:tblPr/>
      <w:tcPr>
        <w:shd w:val="clear" w:color="00B0A9" w:themeColor="accent3" w:fill="00B0A9" w:themeFill="accent3"/>
      </w:tcPr>
    </w:tblStylePr>
    <w:tblStylePr w:type="lastRow">
      <w:rPr>
        <w:rFonts w:ascii="Arial" w:hAnsi="Arial"/>
        <w:b/>
        <w:color w:val="FFFFFF"/>
        <w:sz w:val="22"/>
      </w:rPr>
      <w:tblPr/>
      <w:tcPr>
        <w:tcBorders>
          <w:top w:val="single" w:sz="4" w:space="0" w:color="FFFFFF" w:themeColor="light1"/>
        </w:tcBorders>
        <w:shd w:val="clear" w:color="00B0A9" w:themeColor="accent3" w:fill="00B0A9" w:themeFill="accent3"/>
      </w:tcPr>
    </w:tblStylePr>
    <w:tblStylePr w:type="firstCol">
      <w:rPr>
        <w:rFonts w:ascii="Arial" w:hAnsi="Arial"/>
        <w:b/>
        <w:color w:val="FFFFFF"/>
        <w:sz w:val="22"/>
      </w:rPr>
      <w:tblPr/>
      <w:tcPr>
        <w:shd w:val="clear" w:color="00B0A9" w:themeColor="accent3" w:fill="00B0A9" w:themeFill="accent3"/>
      </w:tcPr>
    </w:tblStylePr>
    <w:tblStylePr w:type="lastCol">
      <w:rPr>
        <w:rFonts w:ascii="Arial" w:hAnsi="Arial"/>
        <w:b/>
        <w:color w:val="FFFFFF"/>
        <w:sz w:val="22"/>
      </w:rPr>
      <w:tblPr/>
      <w:tcPr>
        <w:shd w:val="clear" w:color="00B0A9" w:themeColor="accent3" w:fill="00B0A9" w:themeFill="accent3"/>
      </w:tcPr>
    </w:tblStylePr>
    <w:tblStylePr w:type="band1Vert">
      <w:tblPr/>
      <w:tcPr>
        <w:shd w:val="clear" w:color="65FFF8" w:themeColor="accent3" w:themeTint="75" w:fill="65FFF8" w:themeFill="accent3" w:themeFillTint="75"/>
      </w:tcPr>
    </w:tblStylePr>
    <w:tblStylePr w:type="band1Horz">
      <w:tblPr/>
      <w:tcPr>
        <w:shd w:val="clear" w:color="65FFF8" w:themeColor="accent3" w:themeTint="75" w:fill="65FFF8"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FE6F3" w:themeColor="accent5" w:themeTint="34" w:fill="DFE6F3" w:themeFill="accent5" w:themeFillTint="34"/>
    </w:tblPr>
    <w:tblStylePr w:type="firstRow">
      <w:rPr>
        <w:rFonts w:ascii="Arial" w:hAnsi="Arial"/>
        <w:b/>
        <w:color w:val="FFFFFF"/>
        <w:sz w:val="22"/>
      </w:rPr>
      <w:tblPr/>
      <w:tcPr>
        <w:shd w:val="clear" w:color="6787C4" w:themeColor="accent5" w:fill="6787C4" w:themeFill="accent5"/>
      </w:tcPr>
    </w:tblStylePr>
    <w:tblStylePr w:type="lastRow">
      <w:rPr>
        <w:rFonts w:ascii="Arial" w:hAnsi="Arial"/>
        <w:b/>
        <w:color w:val="FFFFFF"/>
        <w:sz w:val="22"/>
      </w:rPr>
      <w:tblPr/>
      <w:tcPr>
        <w:tcBorders>
          <w:top w:val="single" w:sz="4" w:space="0" w:color="FFFFFF" w:themeColor="light1"/>
        </w:tcBorders>
        <w:shd w:val="clear" w:color="6787C4" w:themeColor="accent5" w:fill="6787C4" w:themeFill="accent5"/>
      </w:tcPr>
    </w:tblStylePr>
    <w:tblStylePr w:type="firstCol">
      <w:rPr>
        <w:rFonts w:ascii="Arial" w:hAnsi="Arial"/>
        <w:b/>
        <w:color w:val="FFFFFF"/>
        <w:sz w:val="22"/>
      </w:rPr>
      <w:tblPr/>
      <w:tcPr>
        <w:shd w:val="clear" w:color="6787C4" w:themeColor="accent5" w:fill="6787C4" w:themeFill="accent5"/>
      </w:tcPr>
    </w:tblStylePr>
    <w:tblStylePr w:type="lastCol">
      <w:rPr>
        <w:rFonts w:ascii="Arial" w:hAnsi="Arial"/>
        <w:b/>
        <w:color w:val="FFFFFF"/>
        <w:sz w:val="22"/>
      </w:rPr>
      <w:tblPr/>
      <w:tcPr>
        <w:shd w:val="clear" w:color="6787C4" w:themeColor="accent5" w:fill="6787C4" w:themeFill="accent5"/>
      </w:tcPr>
    </w:tblStylePr>
    <w:tblStylePr w:type="band1Vert">
      <w:tblPr/>
      <w:tcPr>
        <w:shd w:val="clear" w:color="B9C7E4" w:themeColor="accent5" w:themeTint="75" w:fill="B9C7E4" w:themeFill="accent5" w:themeFillTint="75"/>
      </w:tcPr>
    </w:tblStylePr>
    <w:tblStylePr w:type="band1Horz">
      <w:tblPr/>
      <w:tcPr>
        <w:shd w:val="clear" w:color="B9C7E4" w:themeColor="accent5" w:themeTint="75" w:fill="B9C7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BD9EB" w:themeColor="accent6" w:themeTint="34" w:fill="EBD9EB" w:themeFill="accent6" w:themeFillTint="34"/>
    </w:tblPr>
    <w:tblStylePr w:type="firstRow">
      <w:rPr>
        <w:rFonts w:ascii="Arial" w:hAnsi="Arial"/>
        <w:b/>
        <w:color w:val="FFFFFF"/>
        <w:sz w:val="22"/>
      </w:rPr>
      <w:tblPr/>
      <w:tcPr>
        <w:shd w:val="clear" w:color="99509A" w:themeColor="accent6" w:fill="99509A" w:themeFill="accent6"/>
      </w:tcPr>
    </w:tblStylePr>
    <w:tblStylePr w:type="lastRow">
      <w:rPr>
        <w:rFonts w:ascii="Arial" w:hAnsi="Arial"/>
        <w:b/>
        <w:color w:val="FFFFFF"/>
        <w:sz w:val="22"/>
      </w:rPr>
      <w:tblPr/>
      <w:tcPr>
        <w:tcBorders>
          <w:top w:val="single" w:sz="4" w:space="0" w:color="FFFFFF" w:themeColor="light1"/>
        </w:tcBorders>
        <w:shd w:val="clear" w:color="99509A" w:themeColor="accent6" w:fill="99509A" w:themeFill="accent6"/>
      </w:tcPr>
    </w:tblStylePr>
    <w:tblStylePr w:type="firstCol">
      <w:rPr>
        <w:rFonts w:ascii="Arial" w:hAnsi="Arial"/>
        <w:b/>
        <w:color w:val="FFFFFF"/>
        <w:sz w:val="22"/>
      </w:rPr>
      <w:tblPr/>
      <w:tcPr>
        <w:shd w:val="clear" w:color="99509A" w:themeColor="accent6" w:fill="99509A" w:themeFill="accent6"/>
      </w:tcPr>
    </w:tblStylePr>
    <w:tblStylePr w:type="lastCol">
      <w:rPr>
        <w:rFonts w:ascii="Arial" w:hAnsi="Arial"/>
        <w:b/>
        <w:color w:val="FFFFFF"/>
        <w:sz w:val="22"/>
      </w:rPr>
      <w:tblPr/>
      <w:tcPr>
        <w:shd w:val="clear" w:color="99509A" w:themeColor="accent6" w:fill="99509A" w:themeFill="accent6"/>
      </w:tcPr>
    </w:tblStylePr>
    <w:tblStylePr w:type="band1Vert">
      <w:tblPr/>
      <w:tcPr>
        <w:shd w:val="clear" w:color="D3ABD3" w:themeColor="accent6" w:themeTint="75" w:fill="D3ABD3" w:themeFill="accent6" w:themeFillTint="75"/>
      </w:tcPr>
    </w:tblStylePr>
    <w:tblStylePr w:type="band1Horz">
      <w:tblPr/>
      <w:tcPr>
        <w:shd w:val="clear" w:color="D3ABD3" w:themeColor="accent6" w:themeTint="75" w:fill="D3ABD3"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45B5FF" w:themeColor="accent1" w:themeTint="80"/>
        <w:left w:val="single" w:sz="4" w:space="0" w:color="45B5FF" w:themeColor="accent1" w:themeTint="80"/>
        <w:bottom w:val="single" w:sz="4" w:space="0" w:color="45B5FF" w:themeColor="accent1" w:themeTint="80"/>
        <w:right w:val="single" w:sz="4" w:space="0" w:color="45B5FF" w:themeColor="accent1" w:themeTint="80"/>
        <w:insideH w:val="single" w:sz="4" w:space="0" w:color="45B5FF" w:themeColor="accent1" w:themeTint="80"/>
        <w:insideV w:val="single" w:sz="4" w:space="0" w:color="45B5FF" w:themeColor="accent1" w:themeTint="80"/>
      </w:tblBorders>
    </w:tblPr>
    <w:tblStylePr w:type="firstRow">
      <w:rPr>
        <w:b/>
        <w:color w:val="45B5FF" w:themeColor="accent1" w:themeTint="80" w:themeShade="95"/>
      </w:rPr>
      <w:tblPr/>
      <w:tcPr>
        <w:tcBorders>
          <w:bottom w:val="single" w:sz="12" w:space="0" w:color="45B5FF" w:themeColor="accent1" w:themeTint="80"/>
        </w:tcBorders>
      </w:tcPr>
    </w:tblStylePr>
    <w:tblStylePr w:type="lastRow">
      <w:rPr>
        <w:b/>
        <w:color w:val="45B5FF" w:themeColor="accent1" w:themeTint="80" w:themeShade="95"/>
      </w:rPr>
    </w:tblStylePr>
    <w:tblStylePr w:type="firstCol">
      <w:rPr>
        <w:b/>
        <w:color w:val="45B5FF" w:themeColor="accent1" w:themeTint="80" w:themeShade="95"/>
      </w:rPr>
    </w:tblStylePr>
    <w:tblStylePr w:type="lastCol">
      <w:rPr>
        <w:b/>
        <w:color w:val="45B5FF" w:themeColor="accent1" w:themeTint="80" w:themeShade="95"/>
      </w:rPr>
    </w:tblStylePr>
    <w:tblStylePr w:type="band1Vert">
      <w:tblPr/>
      <w:tcPr>
        <w:shd w:val="clear" w:color="B3E1FF" w:themeColor="accent1" w:themeTint="34" w:fill="B3E1FF" w:themeFill="accent1" w:themeFillTint="34"/>
      </w:tcPr>
    </w:tblStylePr>
    <w:tblStylePr w:type="band1Horz">
      <w:rPr>
        <w:rFonts w:ascii="Arial" w:hAnsi="Arial"/>
        <w:color w:val="45B5FF" w:themeColor="accent1" w:themeTint="80" w:themeShade="95"/>
        <w:sz w:val="22"/>
      </w:rPr>
      <w:tblPr/>
      <w:tcPr>
        <w:shd w:val="clear" w:color="B3E1FF" w:themeColor="accent1" w:themeTint="34" w:fill="B3E1FF" w:themeFill="accent1" w:themeFillTint="34"/>
      </w:tcPr>
    </w:tblStylePr>
    <w:tblStylePr w:type="band2Horz">
      <w:rPr>
        <w:rFonts w:ascii="Arial" w:hAnsi="Arial"/>
        <w:color w:val="45B5FF"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57CCFF" w:themeColor="accent2" w:themeTint="97"/>
        <w:left w:val="single" w:sz="4" w:space="0" w:color="57CCFF" w:themeColor="accent2" w:themeTint="97"/>
        <w:bottom w:val="single" w:sz="4" w:space="0" w:color="57CCFF" w:themeColor="accent2" w:themeTint="97"/>
        <w:right w:val="single" w:sz="4" w:space="0" w:color="57CCFF" w:themeColor="accent2" w:themeTint="97"/>
        <w:insideH w:val="single" w:sz="4" w:space="0" w:color="57CCFF" w:themeColor="accent2" w:themeTint="97"/>
        <w:insideV w:val="single" w:sz="4" w:space="0" w:color="57CCFF" w:themeColor="accent2" w:themeTint="97"/>
      </w:tblBorders>
    </w:tblPr>
    <w:tblStylePr w:type="firstRow">
      <w:rPr>
        <w:b/>
        <w:color w:val="57CCFF" w:themeColor="accent2" w:themeTint="97" w:themeShade="95"/>
      </w:rPr>
      <w:tblPr/>
      <w:tcPr>
        <w:tcBorders>
          <w:bottom w:val="single" w:sz="12" w:space="0" w:color="57CCFF" w:themeColor="accent2" w:themeTint="97"/>
        </w:tcBorders>
      </w:tcPr>
    </w:tblStylePr>
    <w:tblStylePr w:type="lastRow">
      <w:rPr>
        <w:b/>
        <w:color w:val="57CCFF" w:themeColor="accent2" w:themeTint="97" w:themeShade="95"/>
      </w:rPr>
    </w:tblStylePr>
    <w:tblStylePr w:type="firstCol">
      <w:rPr>
        <w:b/>
        <w:color w:val="57CCFF" w:themeColor="accent2" w:themeTint="97" w:themeShade="95"/>
      </w:rPr>
    </w:tblStylePr>
    <w:tblStylePr w:type="lastCol">
      <w:rPr>
        <w:b/>
        <w:color w:val="57CCFF" w:themeColor="accent2" w:themeTint="97" w:themeShade="95"/>
      </w:rPr>
    </w:tblStylePr>
    <w:tblStylePr w:type="band1Vert">
      <w:tblPr/>
      <w:tcPr>
        <w:shd w:val="clear" w:color="C7EEFF" w:themeColor="accent2" w:themeTint="32" w:fill="C7EEFF" w:themeFill="accent2" w:themeFillTint="32"/>
      </w:tcPr>
    </w:tblStylePr>
    <w:tblStylePr w:type="band1Horz">
      <w:rPr>
        <w:rFonts w:ascii="Arial" w:hAnsi="Arial"/>
        <w:color w:val="57CCFF" w:themeColor="accent2" w:themeTint="97" w:themeShade="95"/>
        <w:sz w:val="22"/>
      </w:rPr>
      <w:tblPr/>
      <w:tcPr>
        <w:shd w:val="clear" w:color="C7EEFF" w:themeColor="accent2" w:themeTint="32" w:fill="C7EEFF" w:themeFill="accent2" w:themeFillTint="32"/>
      </w:tcPr>
    </w:tblStylePr>
    <w:tblStylePr w:type="band2Horz">
      <w:rPr>
        <w:rFonts w:ascii="Arial" w:hAnsi="Arial"/>
        <w:color w:val="57CCFF"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00B1A9" w:themeColor="accent3" w:themeTint="FE"/>
        <w:left w:val="single" w:sz="4" w:space="0" w:color="00B1A9" w:themeColor="accent3" w:themeTint="FE"/>
        <w:bottom w:val="single" w:sz="4" w:space="0" w:color="00B1A9" w:themeColor="accent3" w:themeTint="FE"/>
        <w:right w:val="single" w:sz="4" w:space="0" w:color="00B1A9" w:themeColor="accent3" w:themeTint="FE"/>
        <w:insideH w:val="single" w:sz="4" w:space="0" w:color="00B1A9" w:themeColor="accent3" w:themeTint="FE"/>
        <w:insideV w:val="single" w:sz="4" w:space="0" w:color="00B1A9" w:themeColor="accent3" w:themeTint="FE"/>
      </w:tblBorders>
    </w:tblPr>
    <w:tblStylePr w:type="firstRow">
      <w:rPr>
        <w:b/>
        <w:color w:val="00B1A9" w:themeColor="accent3" w:themeTint="FE" w:themeShade="95"/>
      </w:rPr>
      <w:tblPr/>
      <w:tcPr>
        <w:tcBorders>
          <w:bottom w:val="single" w:sz="12" w:space="0" w:color="00B1A9" w:themeColor="accent3" w:themeTint="FE"/>
        </w:tcBorders>
      </w:tcPr>
    </w:tblStylePr>
    <w:tblStylePr w:type="lastRow">
      <w:rPr>
        <w:b/>
        <w:color w:val="00B1A9" w:themeColor="accent3" w:themeTint="FE" w:themeShade="95"/>
      </w:rPr>
    </w:tblStylePr>
    <w:tblStylePr w:type="firstCol">
      <w:rPr>
        <w:b/>
        <w:color w:val="00B1A9" w:themeColor="accent3" w:themeTint="FE" w:themeShade="95"/>
      </w:rPr>
    </w:tblStylePr>
    <w:tblStylePr w:type="lastCol">
      <w:rPr>
        <w:b/>
        <w:color w:val="00B1A9" w:themeColor="accent3" w:themeTint="FE" w:themeShade="95"/>
      </w:rPr>
    </w:tblStylePr>
    <w:tblStylePr w:type="band1Vert">
      <w:tblPr/>
      <w:tcPr>
        <w:shd w:val="clear" w:color="BAFFFC" w:themeColor="accent3" w:themeTint="34" w:fill="BAFFFC" w:themeFill="accent3" w:themeFillTint="34"/>
      </w:tcPr>
    </w:tblStylePr>
    <w:tblStylePr w:type="band1Horz">
      <w:rPr>
        <w:rFonts w:ascii="Arial" w:hAnsi="Arial"/>
        <w:color w:val="00B1A9" w:themeColor="accent3" w:themeTint="FE" w:themeShade="95"/>
        <w:sz w:val="22"/>
      </w:rPr>
      <w:tblPr/>
      <w:tcPr>
        <w:shd w:val="clear" w:color="BAFFFC" w:themeColor="accent3" w:themeTint="34" w:fill="BAFFFC" w:themeFill="accent3" w:themeFillTint="34"/>
      </w:tcPr>
    </w:tblStylePr>
    <w:tblStylePr w:type="band2Horz">
      <w:rPr>
        <w:rFonts w:ascii="Arial" w:hAnsi="Arial"/>
        <w:color w:val="00B1A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48EDFF" w:themeColor="accent4" w:themeTint="9A"/>
        <w:left w:val="single" w:sz="4" w:space="0" w:color="48EDFF" w:themeColor="accent4" w:themeTint="9A"/>
        <w:bottom w:val="single" w:sz="4" w:space="0" w:color="48EDFF" w:themeColor="accent4" w:themeTint="9A"/>
        <w:right w:val="single" w:sz="4" w:space="0" w:color="48EDFF" w:themeColor="accent4" w:themeTint="9A"/>
        <w:insideH w:val="single" w:sz="4" w:space="0" w:color="48EDFF" w:themeColor="accent4" w:themeTint="9A"/>
        <w:insideV w:val="single" w:sz="4" w:space="0" w:color="48EDFF" w:themeColor="accent4" w:themeTint="9A"/>
      </w:tblBorders>
    </w:tblPr>
    <w:tblStylePr w:type="firstRow">
      <w:rPr>
        <w:b/>
        <w:color w:val="48EDFF" w:themeColor="accent4" w:themeTint="9A" w:themeShade="95"/>
      </w:rPr>
      <w:tblPr/>
      <w:tcPr>
        <w:tcBorders>
          <w:bottom w:val="single" w:sz="12" w:space="0" w:color="48EDFF" w:themeColor="accent4" w:themeTint="9A"/>
        </w:tcBorders>
      </w:tcPr>
    </w:tblStylePr>
    <w:tblStylePr w:type="lastRow">
      <w:rPr>
        <w:b/>
        <w:color w:val="48EDFF" w:themeColor="accent4" w:themeTint="9A" w:themeShade="95"/>
      </w:rPr>
    </w:tblStylePr>
    <w:tblStylePr w:type="firstCol">
      <w:rPr>
        <w:b/>
        <w:color w:val="48EDFF" w:themeColor="accent4" w:themeTint="9A" w:themeShade="95"/>
      </w:rPr>
    </w:tblStylePr>
    <w:tblStylePr w:type="lastCol">
      <w:rPr>
        <w:b/>
        <w:color w:val="48EDFF" w:themeColor="accent4" w:themeTint="9A" w:themeShade="95"/>
      </w:rPr>
    </w:tblStylePr>
    <w:tblStylePr w:type="band1Vert">
      <w:tblPr/>
      <w:tcPr>
        <w:shd w:val="clear" w:color="C1F8FF" w:themeColor="accent4" w:themeTint="34" w:fill="C1F8FF" w:themeFill="accent4" w:themeFillTint="34"/>
      </w:tcPr>
    </w:tblStylePr>
    <w:tblStylePr w:type="band1Horz">
      <w:rPr>
        <w:rFonts w:ascii="Arial" w:hAnsi="Arial"/>
        <w:color w:val="48EDFF" w:themeColor="accent4" w:themeTint="9A" w:themeShade="95"/>
        <w:sz w:val="22"/>
      </w:rPr>
      <w:tblPr/>
      <w:tcPr>
        <w:shd w:val="clear" w:color="C1F8FF" w:themeColor="accent4" w:themeTint="34" w:fill="C1F8FF" w:themeFill="accent4" w:themeFillTint="34"/>
      </w:tcPr>
    </w:tblStylePr>
    <w:tblStylePr w:type="band2Horz">
      <w:rPr>
        <w:rFonts w:ascii="Arial" w:hAnsi="Arial"/>
        <w:color w:val="48EDFF"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6787C4" w:themeColor="accent5"/>
        <w:left w:val="single" w:sz="4" w:space="0" w:color="6787C4" w:themeColor="accent5"/>
        <w:bottom w:val="single" w:sz="4" w:space="0" w:color="6787C4" w:themeColor="accent5"/>
        <w:right w:val="single" w:sz="4" w:space="0" w:color="6787C4" w:themeColor="accent5"/>
        <w:insideH w:val="single" w:sz="4" w:space="0" w:color="6787C4" w:themeColor="accent5"/>
        <w:insideV w:val="single" w:sz="4" w:space="0" w:color="6787C4" w:themeColor="accent5"/>
      </w:tblBorders>
    </w:tblPr>
    <w:tblStylePr w:type="firstRow">
      <w:rPr>
        <w:b/>
        <w:color w:val="314B7D" w:themeColor="accent5" w:themeShade="95"/>
      </w:rPr>
      <w:tblPr/>
      <w:tcPr>
        <w:tcBorders>
          <w:bottom w:val="single" w:sz="12" w:space="0" w:color="6787C4" w:themeColor="accent5"/>
        </w:tcBorders>
      </w:tcPr>
    </w:tblStylePr>
    <w:tblStylePr w:type="lastRow">
      <w:rPr>
        <w:b/>
        <w:color w:val="314B7D" w:themeColor="accent5" w:themeShade="95"/>
      </w:rPr>
    </w:tblStylePr>
    <w:tblStylePr w:type="firstCol">
      <w:rPr>
        <w:b/>
        <w:color w:val="314B7D" w:themeColor="accent5" w:themeShade="95"/>
      </w:rPr>
    </w:tblStylePr>
    <w:tblStylePr w:type="lastCol">
      <w:rPr>
        <w:b/>
        <w:color w:val="314B7D" w:themeColor="accent5" w:themeShade="95"/>
      </w:rPr>
    </w:tblStylePr>
    <w:tblStylePr w:type="band1Vert">
      <w:tblPr/>
      <w:tcPr>
        <w:shd w:val="clear" w:color="DFE6F3" w:themeColor="accent5" w:themeTint="34" w:fill="DFE6F3" w:themeFill="accent5" w:themeFillTint="34"/>
      </w:tcPr>
    </w:tblStylePr>
    <w:tblStylePr w:type="band1Horz">
      <w:rPr>
        <w:rFonts w:ascii="Arial" w:hAnsi="Arial"/>
        <w:color w:val="314B7D" w:themeColor="accent5" w:themeShade="95"/>
        <w:sz w:val="22"/>
      </w:rPr>
      <w:tblPr/>
      <w:tcPr>
        <w:shd w:val="clear" w:color="DFE6F3" w:themeColor="accent5" w:themeTint="34" w:fill="DFE6F3" w:themeFill="accent5" w:themeFillTint="34"/>
      </w:tcPr>
    </w:tblStylePr>
    <w:tblStylePr w:type="band2Horz">
      <w:rPr>
        <w:rFonts w:ascii="Arial" w:hAnsi="Arial"/>
        <w:color w:val="314B7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99509A" w:themeColor="accent6"/>
        <w:left w:val="single" w:sz="4" w:space="0" w:color="99509A" w:themeColor="accent6"/>
        <w:bottom w:val="single" w:sz="4" w:space="0" w:color="99509A" w:themeColor="accent6"/>
        <w:right w:val="single" w:sz="4" w:space="0" w:color="99509A" w:themeColor="accent6"/>
        <w:insideH w:val="single" w:sz="4" w:space="0" w:color="99509A" w:themeColor="accent6"/>
        <w:insideV w:val="single" w:sz="4" w:space="0" w:color="99509A" w:themeColor="accent6"/>
      </w:tblBorders>
    </w:tblPr>
    <w:tblStylePr w:type="firstRow">
      <w:rPr>
        <w:b/>
        <w:color w:val="314B7D" w:themeColor="accent5" w:themeShade="95"/>
      </w:rPr>
      <w:tblPr/>
      <w:tcPr>
        <w:tcBorders>
          <w:bottom w:val="single" w:sz="12" w:space="0" w:color="99509A" w:themeColor="accent6"/>
        </w:tcBorders>
      </w:tcPr>
    </w:tblStylePr>
    <w:tblStylePr w:type="lastRow">
      <w:rPr>
        <w:b/>
        <w:color w:val="314B7D" w:themeColor="accent5" w:themeShade="95"/>
      </w:rPr>
    </w:tblStylePr>
    <w:tblStylePr w:type="firstCol">
      <w:rPr>
        <w:b/>
        <w:color w:val="314B7D" w:themeColor="accent5" w:themeShade="95"/>
      </w:rPr>
    </w:tblStylePr>
    <w:tblStylePr w:type="lastCol">
      <w:rPr>
        <w:b/>
        <w:color w:val="314B7D" w:themeColor="accent5" w:themeShade="95"/>
      </w:rPr>
    </w:tblStylePr>
    <w:tblStylePr w:type="band1Vert">
      <w:tblPr/>
      <w:tcPr>
        <w:shd w:val="clear" w:color="EBD9EB" w:themeColor="accent6" w:themeTint="34" w:fill="EBD9EB" w:themeFill="accent6" w:themeFillTint="34"/>
      </w:tcPr>
    </w:tblStylePr>
    <w:tblStylePr w:type="band1Horz">
      <w:rPr>
        <w:rFonts w:ascii="Arial" w:hAnsi="Arial"/>
        <w:color w:val="314B7D" w:themeColor="accent5" w:themeShade="95"/>
        <w:sz w:val="22"/>
      </w:rPr>
      <w:tblPr/>
      <w:tcPr>
        <w:shd w:val="clear" w:color="EBD9EB" w:themeColor="accent6" w:themeTint="34" w:fill="EBD9EB" w:themeFill="accent6" w:themeFillTint="34"/>
      </w:tcPr>
    </w:tblStylePr>
    <w:tblStylePr w:type="band2Horz">
      <w:rPr>
        <w:rFonts w:ascii="Arial" w:hAnsi="Arial"/>
        <w:color w:val="314B7D"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45B5FF" w:themeColor="accent1" w:themeTint="80"/>
        <w:right w:val="single" w:sz="4" w:space="0" w:color="45B5FF" w:themeColor="accent1" w:themeTint="80"/>
        <w:insideH w:val="single" w:sz="4" w:space="0" w:color="45B5FF" w:themeColor="accent1" w:themeTint="80"/>
        <w:insideV w:val="single" w:sz="4" w:space="0" w:color="45B5FF" w:themeColor="accent1" w:themeTint="80"/>
      </w:tblBorders>
    </w:tblPr>
    <w:tblStylePr w:type="firstRow">
      <w:rPr>
        <w:rFonts w:ascii="Arial" w:hAnsi="Arial"/>
        <w:b/>
        <w:color w:val="45B5FF" w:themeColor="accent1" w:themeTint="80" w:themeShade="95"/>
        <w:sz w:val="22"/>
      </w:rPr>
      <w:tblPr/>
      <w:tcPr>
        <w:tcBorders>
          <w:top w:val="none" w:sz="0" w:space="0" w:color="000000"/>
          <w:left w:val="none" w:sz="0" w:space="0" w:color="000000"/>
          <w:bottom w:val="single" w:sz="4" w:space="0" w:color="45B5FF" w:themeColor="accent1" w:themeTint="80"/>
          <w:right w:val="none" w:sz="0" w:space="0" w:color="000000"/>
        </w:tcBorders>
        <w:shd w:val="clear" w:color="FFFFFF" w:themeColor="light1" w:fill="FFFFFF" w:themeFill="light1"/>
      </w:tcPr>
    </w:tblStylePr>
    <w:tblStylePr w:type="lastRow">
      <w:rPr>
        <w:rFonts w:ascii="Arial" w:hAnsi="Arial"/>
        <w:b/>
        <w:color w:val="45B5FF" w:themeColor="accent1" w:themeTint="80" w:themeShade="95"/>
        <w:sz w:val="22"/>
      </w:rPr>
      <w:tblPr/>
      <w:tcPr>
        <w:tcBorders>
          <w:top w:val="single" w:sz="4" w:space="0" w:color="45B5FF"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5B5FF" w:themeColor="accent1" w:themeTint="80" w:themeShade="95"/>
        <w:sz w:val="22"/>
      </w:rPr>
      <w:tblPr/>
      <w:tcPr>
        <w:tcBorders>
          <w:top w:val="none" w:sz="0" w:space="0" w:color="000000"/>
          <w:left w:val="none" w:sz="0" w:space="0" w:color="000000"/>
          <w:bottom w:val="none" w:sz="0" w:space="0" w:color="000000"/>
          <w:right w:val="single" w:sz="4" w:space="0" w:color="45B5FF" w:themeColor="accent1" w:themeTint="80"/>
        </w:tcBorders>
        <w:shd w:val="clear" w:color="FFFFFF" w:fill="auto"/>
      </w:tcPr>
    </w:tblStylePr>
    <w:tblStylePr w:type="lastCol">
      <w:rPr>
        <w:rFonts w:ascii="Arial" w:hAnsi="Arial"/>
        <w:i/>
        <w:color w:val="45B5FF" w:themeColor="accent1" w:themeTint="80" w:themeShade="95"/>
        <w:sz w:val="22"/>
      </w:rPr>
      <w:tblPr/>
      <w:tcPr>
        <w:tcBorders>
          <w:top w:val="none" w:sz="0" w:space="0" w:color="000000"/>
          <w:left w:val="single" w:sz="4" w:space="0" w:color="45B5FF" w:themeColor="accent1" w:themeTint="80"/>
          <w:bottom w:val="none" w:sz="0" w:space="0" w:color="000000"/>
          <w:right w:val="none" w:sz="0" w:space="0" w:color="000000"/>
        </w:tcBorders>
        <w:shd w:val="clear" w:color="FFFFFF" w:fill="auto"/>
      </w:tcPr>
    </w:tblStylePr>
    <w:tblStylePr w:type="band1Vert">
      <w:tblPr/>
      <w:tcPr>
        <w:shd w:val="clear" w:color="B3E1FF" w:themeColor="accent1" w:themeTint="34" w:fill="B3E1FF" w:themeFill="accent1" w:themeFillTint="34"/>
      </w:tcPr>
    </w:tblStylePr>
    <w:tblStylePr w:type="band1Horz">
      <w:rPr>
        <w:rFonts w:ascii="Arial" w:hAnsi="Arial"/>
        <w:color w:val="45B5FF" w:themeColor="accent1" w:themeTint="80" w:themeShade="95"/>
        <w:sz w:val="22"/>
      </w:rPr>
      <w:tblPr/>
      <w:tcPr>
        <w:shd w:val="clear" w:color="B3E1FF" w:themeColor="accent1" w:themeTint="34" w:fill="B3E1FF" w:themeFill="accent1" w:themeFillTint="34"/>
      </w:tcPr>
    </w:tblStylePr>
    <w:tblStylePr w:type="band2Horz">
      <w:rPr>
        <w:rFonts w:ascii="Arial" w:hAnsi="Arial"/>
        <w:color w:val="45B5FF"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57CCFF" w:themeColor="accent2" w:themeTint="97"/>
        <w:right w:val="single" w:sz="4" w:space="0" w:color="57CCFF" w:themeColor="accent2" w:themeTint="97"/>
        <w:insideH w:val="single" w:sz="4" w:space="0" w:color="57CCFF" w:themeColor="accent2" w:themeTint="97"/>
        <w:insideV w:val="single" w:sz="4" w:space="0" w:color="57CCFF" w:themeColor="accent2" w:themeTint="97"/>
      </w:tblBorders>
    </w:tblPr>
    <w:tblStylePr w:type="firstRow">
      <w:rPr>
        <w:rFonts w:ascii="Arial" w:hAnsi="Arial"/>
        <w:b/>
        <w:color w:val="57CCFF" w:themeColor="accent2" w:themeTint="97" w:themeShade="95"/>
        <w:sz w:val="22"/>
      </w:rPr>
      <w:tblPr/>
      <w:tcPr>
        <w:tcBorders>
          <w:top w:val="none" w:sz="0" w:space="0" w:color="000000"/>
          <w:left w:val="none" w:sz="0" w:space="0" w:color="000000"/>
          <w:bottom w:val="single" w:sz="4" w:space="0" w:color="57CCFF" w:themeColor="accent2" w:themeTint="97"/>
          <w:right w:val="none" w:sz="0" w:space="0" w:color="000000"/>
        </w:tcBorders>
        <w:shd w:val="clear" w:color="FFFFFF" w:themeColor="light1" w:fill="FFFFFF" w:themeFill="light1"/>
      </w:tcPr>
    </w:tblStylePr>
    <w:tblStylePr w:type="lastRow">
      <w:rPr>
        <w:rFonts w:ascii="Arial" w:hAnsi="Arial"/>
        <w:b/>
        <w:color w:val="57CCFF" w:themeColor="accent2" w:themeTint="97" w:themeShade="95"/>
        <w:sz w:val="22"/>
      </w:rPr>
      <w:tblPr/>
      <w:tcPr>
        <w:tcBorders>
          <w:top w:val="single" w:sz="4" w:space="0" w:color="57CCFF"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7CCFF" w:themeColor="accent2" w:themeTint="97" w:themeShade="95"/>
        <w:sz w:val="22"/>
      </w:rPr>
      <w:tblPr/>
      <w:tcPr>
        <w:tcBorders>
          <w:top w:val="none" w:sz="0" w:space="0" w:color="000000"/>
          <w:left w:val="none" w:sz="0" w:space="0" w:color="000000"/>
          <w:bottom w:val="none" w:sz="0" w:space="0" w:color="000000"/>
          <w:right w:val="single" w:sz="4" w:space="0" w:color="57CCFF" w:themeColor="accent2" w:themeTint="97"/>
        </w:tcBorders>
        <w:shd w:val="clear" w:color="FFFFFF" w:fill="auto"/>
      </w:tcPr>
    </w:tblStylePr>
    <w:tblStylePr w:type="lastCol">
      <w:rPr>
        <w:rFonts w:ascii="Arial" w:hAnsi="Arial"/>
        <w:i/>
        <w:color w:val="57CCFF" w:themeColor="accent2" w:themeTint="97" w:themeShade="95"/>
        <w:sz w:val="22"/>
      </w:rPr>
      <w:tblPr/>
      <w:tcPr>
        <w:tcBorders>
          <w:top w:val="none" w:sz="0" w:space="0" w:color="000000"/>
          <w:left w:val="single" w:sz="4" w:space="0" w:color="57CCFF" w:themeColor="accent2" w:themeTint="97"/>
          <w:bottom w:val="none" w:sz="0" w:space="0" w:color="000000"/>
          <w:right w:val="none" w:sz="0" w:space="0" w:color="000000"/>
        </w:tcBorders>
        <w:shd w:val="clear" w:color="FFFFFF" w:fill="auto"/>
      </w:tcPr>
    </w:tblStylePr>
    <w:tblStylePr w:type="band1Vert">
      <w:tblPr/>
      <w:tcPr>
        <w:shd w:val="clear" w:color="C7EEFF" w:themeColor="accent2" w:themeTint="32" w:fill="C7EEFF" w:themeFill="accent2" w:themeFillTint="32"/>
      </w:tcPr>
    </w:tblStylePr>
    <w:tblStylePr w:type="band1Horz">
      <w:rPr>
        <w:rFonts w:ascii="Arial" w:hAnsi="Arial"/>
        <w:color w:val="57CCFF" w:themeColor="accent2" w:themeTint="97" w:themeShade="95"/>
        <w:sz w:val="22"/>
      </w:rPr>
      <w:tblPr/>
      <w:tcPr>
        <w:shd w:val="clear" w:color="C7EEFF" w:themeColor="accent2" w:themeTint="32" w:fill="C7EEFF" w:themeFill="accent2" w:themeFillTint="32"/>
      </w:tcPr>
    </w:tblStylePr>
    <w:tblStylePr w:type="band2Horz">
      <w:rPr>
        <w:rFonts w:ascii="Arial" w:hAnsi="Arial"/>
        <w:color w:val="57CCFF"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00B1A9" w:themeColor="accent3" w:themeTint="FE"/>
        <w:right w:val="single" w:sz="4" w:space="0" w:color="00B1A9" w:themeColor="accent3" w:themeTint="FE"/>
        <w:insideH w:val="single" w:sz="4" w:space="0" w:color="00B1A9" w:themeColor="accent3" w:themeTint="FE"/>
        <w:insideV w:val="single" w:sz="4" w:space="0" w:color="00B1A9" w:themeColor="accent3" w:themeTint="FE"/>
      </w:tblBorders>
    </w:tblPr>
    <w:tblStylePr w:type="firstRow">
      <w:rPr>
        <w:rFonts w:ascii="Arial" w:hAnsi="Arial"/>
        <w:b/>
        <w:color w:val="00B1A9" w:themeColor="accent3" w:themeTint="FE" w:themeShade="95"/>
        <w:sz w:val="22"/>
      </w:rPr>
      <w:tblPr/>
      <w:tcPr>
        <w:tcBorders>
          <w:top w:val="none" w:sz="0" w:space="0" w:color="000000"/>
          <w:left w:val="none" w:sz="0" w:space="0" w:color="000000"/>
          <w:bottom w:val="single" w:sz="4" w:space="0" w:color="00B1A9" w:themeColor="accent3" w:themeTint="FE"/>
          <w:right w:val="none" w:sz="0" w:space="0" w:color="000000"/>
        </w:tcBorders>
        <w:shd w:val="clear" w:color="FFFFFF" w:themeColor="light1" w:fill="FFFFFF" w:themeFill="light1"/>
      </w:tcPr>
    </w:tblStylePr>
    <w:tblStylePr w:type="lastRow">
      <w:rPr>
        <w:rFonts w:ascii="Arial" w:hAnsi="Arial"/>
        <w:b/>
        <w:color w:val="00B1A9" w:themeColor="accent3" w:themeTint="FE" w:themeShade="95"/>
        <w:sz w:val="22"/>
      </w:rPr>
      <w:tblPr/>
      <w:tcPr>
        <w:tcBorders>
          <w:top w:val="single" w:sz="4" w:space="0" w:color="00B1A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00B1A9" w:themeColor="accent3" w:themeTint="FE" w:themeShade="95"/>
        <w:sz w:val="22"/>
      </w:rPr>
      <w:tblPr/>
      <w:tcPr>
        <w:tcBorders>
          <w:top w:val="none" w:sz="0" w:space="0" w:color="000000"/>
          <w:left w:val="none" w:sz="0" w:space="0" w:color="000000"/>
          <w:bottom w:val="none" w:sz="0" w:space="0" w:color="000000"/>
          <w:right w:val="single" w:sz="4" w:space="0" w:color="00B1A9" w:themeColor="accent3" w:themeTint="FE"/>
        </w:tcBorders>
        <w:shd w:val="clear" w:color="FFFFFF" w:fill="auto"/>
      </w:tcPr>
    </w:tblStylePr>
    <w:tblStylePr w:type="lastCol">
      <w:rPr>
        <w:rFonts w:ascii="Arial" w:hAnsi="Arial"/>
        <w:i/>
        <w:color w:val="00B1A9" w:themeColor="accent3" w:themeTint="FE" w:themeShade="95"/>
        <w:sz w:val="22"/>
      </w:rPr>
      <w:tblPr/>
      <w:tcPr>
        <w:tcBorders>
          <w:top w:val="none" w:sz="0" w:space="0" w:color="000000"/>
          <w:left w:val="single" w:sz="4" w:space="0" w:color="00B1A9" w:themeColor="accent3" w:themeTint="FE"/>
          <w:bottom w:val="none" w:sz="0" w:space="0" w:color="000000"/>
          <w:right w:val="none" w:sz="0" w:space="0" w:color="000000"/>
        </w:tcBorders>
        <w:shd w:val="clear" w:color="FFFFFF" w:fill="auto"/>
      </w:tcPr>
    </w:tblStylePr>
    <w:tblStylePr w:type="band1Vert">
      <w:tblPr/>
      <w:tcPr>
        <w:shd w:val="clear" w:color="BAFFFC" w:themeColor="accent3" w:themeTint="34" w:fill="BAFFFC" w:themeFill="accent3" w:themeFillTint="34"/>
      </w:tcPr>
    </w:tblStylePr>
    <w:tblStylePr w:type="band1Horz">
      <w:rPr>
        <w:rFonts w:ascii="Arial" w:hAnsi="Arial"/>
        <w:color w:val="00B1A9" w:themeColor="accent3" w:themeTint="FE" w:themeShade="95"/>
        <w:sz w:val="22"/>
      </w:rPr>
      <w:tblPr/>
      <w:tcPr>
        <w:shd w:val="clear" w:color="BAFFFC" w:themeColor="accent3" w:themeTint="34" w:fill="BAFFFC" w:themeFill="accent3" w:themeFillTint="34"/>
      </w:tcPr>
    </w:tblStylePr>
    <w:tblStylePr w:type="band2Horz">
      <w:rPr>
        <w:rFonts w:ascii="Arial" w:hAnsi="Arial"/>
        <w:color w:val="00B1A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48EDFF" w:themeColor="accent4" w:themeTint="9A"/>
        <w:right w:val="single" w:sz="4" w:space="0" w:color="48EDFF" w:themeColor="accent4" w:themeTint="9A"/>
        <w:insideH w:val="single" w:sz="4" w:space="0" w:color="48EDFF" w:themeColor="accent4" w:themeTint="9A"/>
        <w:insideV w:val="single" w:sz="4" w:space="0" w:color="48EDFF" w:themeColor="accent4" w:themeTint="9A"/>
      </w:tblBorders>
    </w:tblPr>
    <w:tblStylePr w:type="firstRow">
      <w:rPr>
        <w:rFonts w:ascii="Arial" w:hAnsi="Arial"/>
        <w:b/>
        <w:color w:val="48EDFF" w:themeColor="accent4" w:themeTint="9A" w:themeShade="95"/>
        <w:sz w:val="22"/>
      </w:rPr>
      <w:tblPr/>
      <w:tcPr>
        <w:tcBorders>
          <w:top w:val="none" w:sz="0" w:space="0" w:color="000000"/>
          <w:left w:val="none" w:sz="0" w:space="0" w:color="000000"/>
          <w:bottom w:val="single" w:sz="4" w:space="0" w:color="48EDFF" w:themeColor="accent4" w:themeTint="9A"/>
          <w:right w:val="none" w:sz="0" w:space="0" w:color="000000"/>
        </w:tcBorders>
        <w:shd w:val="clear" w:color="FFFFFF" w:themeColor="light1" w:fill="FFFFFF" w:themeFill="light1"/>
      </w:tcPr>
    </w:tblStylePr>
    <w:tblStylePr w:type="lastRow">
      <w:rPr>
        <w:rFonts w:ascii="Arial" w:hAnsi="Arial"/>
        <w:b/>
        <w:color w:val="48EDFF" w:themeColor="accent4" w:themeTint="9A" w:themeShade="95"/>
        <w:sz w:val="22"/>
      </w:rPr>
      <w:tblPr/>
      <w:tcPr>
        <w:tcBorders>
          <w:top w:val="single" w:sz="4" w:space="0" w:color="48EDFF"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8EDFF" w:themeColor="accent4" w:themeTint="9A" w:themeShade="95"/>
        <w:sz w:val="22"/>
      </w:rPr>
      <w:tblPr/>
      <w:tcPr>
        <w:tcBorders>
          <w:top w:val="none" w:sz="0" w:space="0" w:color="000000"/>
          <w:left w:val="none" w:sz="0" w:space="0" w:color="000000"/>
          <w:bottom w:val="none" w:sz="0" w:space="0" w:color="000000"/>
          <w:right w:val="single" w:sz="4" w:space="0" w:color="48EDFF" w:themeColor="accent4" w:themeTint="9A"/>
        </w:tcBorders>
        <w:shd w:val="clear" w:color="FFFFFF" w:fill="auto"/>
      </w:tcPr>
    </w:tblStylePr>
    <w:tblStylePr w:type="lastCol">
      <w:rPr>
        <w:rFonts w:ascii="Arial" w:hAnsi="Arial"/>
        <w:i/>
        <w:color w:val="48EDFF" w:themeColor="accent4" w:themeTint="9A" w:themeShade="95"/>
        <w:sz w:val="22"/>
      </w:rPr>
      <w:tblPr/>
      <w:tcPr>
        <w:tcBorders>
          <w:top w:val="none" w:sz="0" w:space="0" w:color="000000"/>
          <w:left w:val="single" w:sz="4" w:space="0" w:color="48EDFF" w:themeColor="accent4" w:themeTint="9A"/>
          <w:bottom w:val="none" w:sz="0" w:space="0" w:color="000000"/>
          <w:right w:val="none" w:sz="0" w:space="0" w:color="000000"/>
        </w:tcBorders>
        <w:shd w:val="clear" w:color="FFFFFF" w:fill="auto"/>
      </w:tcPr>
    </w:tblStylePr>
    <w:tblStylePr w:type="band1Vert">
      <w:tblPr/>
      <w:tcPr>
        <w:shd w:val="clear" w:color="C1F8FF" w:themeColor="accent4" w:themeTint="34" w:fill="C1F8FF" w:themeFill="accent4" w:themeFillTint="34"/>
      </w:tcPr>
    </w:tblStylePr>
    <w:tblStylePr w:type="band1Horz">
      <w:rPr>
        <w:rFonts w:ascii="Arial" w:hAnsi="Arial"/>
        <w:color w:val="48EDFF" w:themeColor="accent4" w:themeTint="9A" w:themeShade="95"/>
        <w:sz w:val="22"/>
      </w:rPr>
      <w:tblPr/>
      <w:tcPr>
        <w:shd w:val="clear" w:color="C1F8FF" w:themeColor="accent4" w:themeTint="34" w:fill="C1F8FF" w:themeFill="accent4" w:themeFillTint="34"/>
      </w:tcPr>
    </w:tblStylePr>
    <w:tblStylePr w:type="band2Horz">
      <w:rPr>
        <w:rFonts w:ascii="Arial" w:hAnsi="Arial"/>
        <w:color w:val="48EDFF"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9BADD" w:themeColor="accent5" w:themeTint="90"/>
        <w:right w:val="single" w:sz="4" w:space="0" w:color="A9BADD" w:themeColor="accent5" w:themeTint="90"/>
        <w:insideH w:val="single" w:sz="4" w:space="0" w:color="A9BADD" w:themeColor="accent5" w:themeTint="90"/>
        <w:insideV w:val="single" w:sz="4" w:space="0" w:color="A9BADD" w:themeColor="accent5" w:themeTint="90"/>
      </w:tblBorders>
    </w:tblPr>
    <w:tblStylePr w:type="firstRow">
      <w:rPr>
        <w:rFonts w:ascii="Arial" w:hAnsi="Arial"/>
        <w:b/>
        <w:color w:val="314B7D" w:themeColor="accent5" w:themeShade="95"/>
        <w:sz w:val="22"/>
      </w:rPr>
      <w:tblPr/>
      <w:tcPr>
        <w:tcBorders>
          <w:top w:val="none" w:sz="0" w:space="0" w:color="000000"/>
          <w:left w:val="none" w:sz="0" w:space="0" w:color="000000"/>
          <w:bottom w:val="single" w:sz="4" w:space="0" w:color="A9BADD" w:themeColor="accent5" w:themeTint="90"/>
          <w:right w:val="none" w:sz="0" w:space="0" w:color="000000"/>
        </w:tcBorders>
        <w:shd w:val="clear" w:color="FFFFFF" w:themeColor="light1" w:fill="FFFFFF" w:themeFill="light1"/>
      </w:tcPr>
    </w:tblStylePr>
    <w:tblStylePr w:type="lastRow">
      <w:rPr>
        <w:rFonts w:ascii="Arial" w:hAnsi="Arial"/>
        <w:b/>
        <w:color w:val="314B7D" w:themeColor="accent5" w:themeShade="95"/>
        <w:sz w:val="22"/>
      </w:rPr>
      <w:tblPr/>
      <w:tcPr>
        <w:tcBorders>
          <w:top w:val="single" w:sz="4" w:space="0" w:color="A9BA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314B7D" w:themeColor="accent5" w:themeShade="95"/>
        <w:sz w:val="22"/>
      </w:rPr>
      <w:tblPr/>
      <w:tcPr>
        <w:tcBorders>
          <w:top w:val="none" w:sz="0" w:space="0" w:color="000000"/>
          <w:left w:val="none" w:sz="0" w:space="0" w:color="000000"/>
          <w:bottom w:val="none" w:sz="0" w:space="0" w:color="000000"/>
          <w:right w:val="single" w:sz="4" w:space="0" w:color="A9BADD" w:themeColor="accent5" w:themeTint="90"/>
        </w:tcBorders>
        <w:shd w:val="clear" w:color="FFFFFF" w:fill="auto"/>
      </w:tcPr>
    </w:tblStylePr>
    <w:tblStylePr w:type="lastCol">
      <w:rPr>
        <w:rFonts w:ascii="Arial" w:hAnsi="Arial"/>
        <w:i/>
        <w:color w:val="314B7D" w:themeColor="accent5" w:themeShade="95"/>
        <w:sz w:val="22"/>
      </w:rPr>
      <w:tblPr/>
      <w:tcPr>
        <w:tcBorders>
          <w:top w:val="none" w:sz="0" w:space="0" w:color="000000"/>
          <w:left w:val="single" w:sz="4" w:space="0" w:color="A9BADD" w:themeColor="accent5" w:themeTint="90"/>
          <w:bottom w:val="none" w:sz="0" w:space="0" w:color="000000"/>
          <w:right w:val="none" w:sz="0" w:space="0" w:color="000000"/>
        </w:tcBorders>
        <w:shd w:val="clear" w:color="FFFFFF" w:fill="auto"/>
      </w:tcPr>
    </w:tblStylePr>
    <w:tblStylePr w:type="band1Vert">
      <w:tblPr/>
      <w:tcPr>
        <w:shd w:val="clear" w:color="DFE6F3" w:themeColor="accent5" w:themeTint="34" w:fill="DFE6F3" w:themeFill="accent5" w:themeFillTint="34"/>
      </w:tcPr>
    </w:tblStylePr>
    <w:tblStylePr w:type="band1Horz">
      <w:rPr>
        <w:rFonts w:ascii="Arial" w:hAnsi="Arial"/>
        <w:color w:val="314B7D" w:themeColor="accent5" w:themeShade="95"/>
        <w:sz w:val="22"/>
      </w:rPr>
      <w:tblPr/>
      <w:tcPr>
        <w:shd w:val="clear" w:color="DFE6F3" w:themeColor="accent5" w:themeTint="34" w:fill="DFE6F3" w:themeFill="accent5" w:themeFillTint="34"/>
      </w:tcPr>
    </w:tblStylePr>
    <w:tblStylePr w:type="band2Horz">
      <w:rPr>
        <w:rFonts w:ascii="Arial" w:hAnsi="Arial"/>
        <w:color w:val="314B7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C898C9" w:themeColor="accent6" w:themeTint="90"/>
        <w:right w:val="single" w:sz="4" w:space="0" w:color="C898C9" w:themeColor="accent6" w:themeTint="90"/>
        <w:insideH w:val="single" w:sz="4" w:space="0" w:color="C898C9" w:themeColor="accent6" w:themeTint="90"/>
        <w:insideV w:val="single" w:sz="4" w:space="0" w:color="C898C9" w:themeColor="accent6" w:themeTint="90"/>
      </w:tblBorders>
    </w:tblPr>
    <w:tblStylePr w:type="firstRow">
      <w:rPr>
        <w:rFonts w:ascii="Arial" w:hAnsi="Arial"/>
        <w:b/>
        <w:color w:val="592E59" w:themeColor="accent6" w:themeShade="95"/>
        <w:sz w:val="22"/>
      </w:rPr>
      <w:tblPr/>
      <w:tcPr>
        <w:tcBorders>
          <w:top w:val="none" w:sz="0" w:space="0" w:color="000000"/>
          <w:left w:val="none" w:sz="0" w:space="0" w:color="000000"/>
          <w:bottom w:val="single" w:sz="4" w:space="0" w:color="C898C9" w:themeColor="accent6" w:themeTint="90"/>
          <w:right w:val="none" w:sz="0" w:space="0" w:color="000000"/>
        </w:tcBorders>
        <w:shd w:val="clear" w:color="FFFFFF" w:themeColor="light1" w:fill="FFFFFF" w:themeFill="light1"/>
      </w:tcPr>
    </w:tblStylePr>
    <w:tblStylePr w:type="lastRow">
      <w:rPr>
        <w:rFonts w:ascii="Arial" w:hAnsi="Arial"/>
        <w:b/>
        <w:color w:val="592E59" w:themeColor="accent6" w:themeShade="95"/>
        <w:sz w:val="22"/>
      </w:rPr>
      <w:tblPr/>
      <w:tcPr>
        <w:tcBorders>
          <w:top w:val="single" w:sz="4" w:space="0" w:color="C898C9"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92E59" w:themeColor="accent6" w:themeShade="95"/>
        <w:sz w:val="22"/>
      </w:rPr>
      <w:tblPr/>
      <w:tcPr>
        <w:tcBorders>
          <w:top w:val="none" w:sz="0" w:space="0" w:color="000000"/>
          <w:left w:val="none" w:sz="0" w:space="0" w:color="000000"/>
          <w:bottom w:val="none" w:sz="0" w:space="0" w:color="000000"/>
          <w:right w:val="single" w:sz="4" w:space="0" w:color="C898C9" w:themeColor="accent6" w:themeTint="90"/>
        </w:tcBorders>
        <w:shd w:val="clear" w:color="FFFFFF" w:fill="auto"/>
      </w:tcPr>
    </w:tblStylePr>
    <w:tblStylePr w:type="lastCol">
      <w:rPr>
        <w:rFonts w:ascii="Arial" w:hAnsi="Arial"/>
        <w:i/>
        <w:color w:val="592E59" w:themeColor="accent6" w:themeShade="95"/>
        <w:sz w:val="22"/>
      </w:rPr>
      <w:tblPr/>
      <w:tcPr>
        <w:tcBorders>
          <w:top w:val="none" w:sz="0" w:space="0" w:color="000000"/>
          <w:left w:val="single" w:sz="4" w:space="0" w:color="C898C9" w:themeColor="accent6" w:themeTint="90"/>
          <w:bottom w:val="none" w:sz="0" w:space="0" w:color="000000"/>
          <w:right w:val="none" w:sz="0" w:space="0" w:color="000000"/>
        </w:tcBorders>
        <w:shd w:val="clear" w:color="FFFFFF" w:fill="auto"/>
      </w:tcPr>
    </w:tblStylePr>
    <w:tblStylePr w:type="band1Vert">
      <w:tblPr/>
      <w:tcPr>
        <w:shd w:val="clear" w:color="EBD9EB" w:themeColor="accent6" w:themeTint="34" w:fill="EBD9EB" w:themeFill="accent6" w:themeFillTint="34"/>
      </w:tcPr>
    </w:tblStylePr>
    <w:tblStylePr w:type="band1Horz">
      <w:rPr>
        <w:rFonts w:ascii="Arial" w:hAnsi="Arial"/>
        <w:color w:val="592E59" w:themeColor="accent6" w:themeShade="95"/>
        <w:sz w:val="22"/>
      </w:rPr>
      <w:tblPr/>
      <w:tcPr>
        <w:shd w:val="clear" w:color="EBD9EB" w:themeColor="accent6" w:themeTint="34" w:fill="EBD9EB" w:themeFill="accent6" w:themeFillTint="34"/>
      </w:tcPr>
    </w:tblStylePr>
    <w:tblStylePr w:type="band2Horz">
      <w:rPr>
        <w:rFonts w:ascii="Arial" w:hAnsi="Arial"/>
        <w:color w:val="592E5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558C" w:themeColor="accent1"/>
          <w:right w:val="none" w:sz="4" w:space="0" w:color="000000"/>
        </w:tcBorders>
      </w:tcPr>
    </w:tblStylePr>
    <w:tblStylePr w:type="lastRow">
      <w:rPr>
        <w:b/>
        <w:color w:val="404040"/>
      </w:rPr>
      <w:tblPr/>
      <w:tcPr>
        <w:tcBorders>
          <w:top w:val="single" w:sz="4" w:space="0" w:color="00558C"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2DAFF" w:themeColor="accent1" w:themeTint="40" w:fill="A2DAFF" w:themeFill="accent1" w:themeFillTint="40"/>
      </w:tcPr>
    </w:tblStylePr>
    <w:tblStylePr w:type="band1Horz">
      <w:tblPr/>
      <w:tcPr>
        <w:shd w:val="clear" w:color="A2DAFF" w:themeColor="accent1" w:themeTint="40" w:fill="A2DA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FE3" w:themeColor="accent2"/>
          <w:right w:val="none" w:sz="4" w:space="0" w:color="000000"/>
        </w:tcBorders>
      </w:tcPr>
    </w:tblStylePr>
    <w:tblStylePr w:type="lastRow">
      <w:rPr>
        <w:b/>
        <w:color w:val="404040"/>
      </w:rPr>
      <w:tblPr/>
      <w:tcPr>
        <w:tcBorders>
          <w:top w:val="single" w:sz="4" w:space="0" w:color="009FE3"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7E9FF" w:themeColor="accent2" w:themeTint="40" w:fill="B7E9FF" w:themeFill="accent2" w:themeFillTint="40"/>
      </w:tcPr>
    </w:tblStylePr>
    <w:tblStylePr w:type="band1Horz">
      <w:tblPr/>
      <w:tcPr>
        <w:shd w:val="clear" w:color="B7E9FF" w:themeColor="accent2" w:themeTint="40" w:fill="B7E9FF"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B0A9" w:themeColor="accent3"/>
          <w:right w:val="none" w:sz="4" w:space="0" w:color="000000"/>
        </w:tcBorders>
      </w:tcPr>
    </w:tblStylePr>
    <w:tblStylePr w:type="lastRow">
      <w:rPr>
        <w:b/>
        <w:color w:val="404040"/>
      </w:rPr>
      <w:tblPr/>
      <w:tcPr>
        <w:tcBorders>
          <w:top w:val="single" w:sz="4" w:space="0" w:color="00B0A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BFFFB" w:themeColor="accent3" w:themeTint="40" w:fill="ABFFFB" w:themeFill="accent3" w:themeFillTint="40"/>
      </w:tcPr>
    </w:tblStylePr>
    <w:tblStylePr w:type="band1Horz">
      <w:tblPr/>
      <w:tcPr>
        <w:shd w:val="clear" w:color="ABFFFB" w:themeColor="accent3" w:themeTint="40" w:fill="ABFFFB"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BCD0" w:themeColor="accent4"/>
          <w:right w:val="none" w:sz="4" w:space="0" w:color="000000"/>
        </w:tcBorders>
      </w:tcPr>
    </w:tblStylePr>
    <w:tblStylePr w:type="lastRow">
      <w:rPr>
        <w:b/>
        <w:color w:val="404040"/>
      </w:rPr>
      <w:tblPr/>
      <w:tcPr>
        <w:tcBorders>
          <w:top w:val="single" w:sz="4" w:space="0" w:color="00BCD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3F7FF" w:themeColor="accent4" w:themeTint="40" w:fill="B3F7FF" w:themeFill="accent4" w:themeFillTint="40"/>
      </w:tcPr>
    </w:tblStylePr>
    <w:tblStylePr w:type="band1Horz">
      <w:tblPr/>
      <w:tcPr>
        <w:shd w:val="clear" w:color="B3F7FF" w:themeColor="accent4" w:themeTint="40" w:fill="B3F7F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787C4" w:themeColor="accent5"/>
          <w:right w:val="none" w:sz="4" w:space="0" w:color="000000"/>
        </w:tcBorders>
      </w:tcPr>
    </w:tblStylePr>
    <w:tblStylePr w:type="lastRow">
      <w:rPr>
        <w:b/>
        <w:color w:val="404040"/>
      </w:rPr>
      <w:tblPr/>
      <w:tcPr>
        <w:tcBorders>
          <w:top w:val="single" w:sz="4" w:space="0" w:color="6787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8E0F0" w:themeColor="accent5" w:themeTint="40" w:fill="D8E0F0" w:themeFill="accent5" w:themeFillTint="40"/>
      </w:tcPr>
    </w:tblStylePr>
    <w:tblStylePr w:type="band1Horz">
      <w:tblPr/>
      <w:tcPr>
        <w:shd w:val="clear" w:color="D8E0F0" w:themeColor="accent5" w:themeTint="40" w:fill="D8E0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9509A" w:themeColor="accent6"/>
          <w:right w:val="none" w:sz="4" w:space="0" w:color="000000"/>
        </w:tcBorders>
      </w:tcPr>
    </w:tblStylePr>
    <w:tblStylePr w:type="lastRow">
      <w:rPr>
        <w:b/>
        <w:color w:val="404040"/>
      </w:rPr>
      <w:tblPr/>
      <w:tcPr>
        <w:tcBorders>
          <w:top w:val="single" w:sz="4" w:space="0" w:color="99509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D1E7" w:themeColor="accent6" w:themeTint="40" w:fill="E6D1E7" w:themeFill="accent6" w:themeFillTint="40"/>
      </w:tcPr>
    </w:tblStylePr>
    <w:tblStylePr w:type="band1Horz">
      <w:tblPr/>
      <w:tcPr>
        <w:shd w:val="clear" w:color="E6D1E7" w:themeColor="accent6" w:themeTint="40" w:fill="E6D1E7"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2EACFF" w:themeColor="accent1" w:themeTint="90"/>
        <w:bottom w:val="single" w:sz="4" w:space="0" w:color="2EACFF" w:themeColor="accent1" w:themeTint="90"/>
        <w:insideH w:val="single" w:sz="4" w:space="0" w:color="2EACFF" w:themeColor="accent1" w:themeTint="90"/>
      </w:tblBorders>
    </w:tblPr>
    <w:tblStylePr w:type="firstRow">
      <w:rPr>
        <w:rFonts w:ascii="Arial" w:hAnsi="Arial"/>
        <w:b/>
        <w:color w:val="404040"/>
        <w:sz w:val="22"/>
      </w:rPr>
      <w:tblPr/>
      <w:tcPr>
        <w:tcBorders>
          <w:top w:val="single" w:sz="4" w:space="0" w:color="2EACFF" w:themeColor="accent1" w:themeTint="90"/>
          <w:left w:val="none" w:sz="4" w:space="0" w:color="000000"/>
          <w:bottom w:val="single" w:sz="4" w:space="0" w:color="2EACFF" w:themeColor="accent1" w:themeTint="90"/>
          <w:right w:val="none" w:sz="4" w:space="0" w:color="000000"/>
        </w:tcBorders>
      </w:tcPr>
    </w:tblStylePr>
    <w:tblStylePr w:type="lastRow">
      <w:rPr>
        <w:rFonts w:ascii="Arial" w:hAnsi="Arial"/>
        <w:b/>
        <w:color w:val="404040"/>
        <w:sz w:val="22"/>
      </w:rPr>
      <w:tblPr/>
      <w:tcPr>
        <w:tcBorders>
          <w:top w:val="single" w:sz="4" w:space="0" w:color="2EACFF" w:themeColor="accent1" w:themeTint="90"/>
          <w:left w:val="none" w:sz="4" w:space="0" w:color="000000"/>
          <w:bottom w:val="single" w:sz="4" w:space="0" w:color="2EAC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2DAFF" w:themeColor="accent1" w:themeTint="40" w:fill="A2DAFF" w:themeFill="accent1" w:themeFillTint="40"/>
      </w:tcPr>
    </w:tblStylePr>
    <w:tblStylePr w:type="band1Horz">
      <w:rPr>
        <w:rFonts w:ascii="Arial" w:hAnsi="Arial"/>
        <w:color w:val="404040"/>
        <w:sz w:val="22"/>
      </w:rPr>
      <w:tblPr/>
      <w:tcPr>
        <w:shd w:val="clear" w:color="A2DAFF" w:themeColor="accent1" w:themeTint="40" w:fill="A2DA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5FCEFF" w:themeColor="accent2" w:themeTint="90"/>
        <w:bottom w:val="single" w:sz="4" w:space="0" w:color="5FCEFF" w:themeColor="accent2" w:themeTint="90"/>
        <w:insideH w:val="single" w:sz="4" w:space="0" w:color="5FCEFF" w:themeColor="accent2" w:themeTint="90"/>
      </w:tblBorders>
    </w:tblPr>
    <w:tblStylePr w:type="firstRow">
      <w:rPr>
        <w:rFonts w:ascii="Arial" w:hAnsi="Arial"/>
        <w:b/>
        <w:color w:val="404040"/>
        <w:sz w:val="22"/>
      </w:rPr>
      <w:tblPr/>
      <w:tcPr>
        <w:tcBorders>
          <w:top w:val="single" w:sz="4" w:space="0" w:color="5FCEFF" w:themeColor="accent2" w:themeTint="90"/>
          <w:left w:val="none" w:sz="4" w:space="0" w:color="000000"/>
          <w:bottom w:val="single" w:sz="4" w:space="0" w:color="5FCEFF" w:themeColor="accent2" w:themeTint="90"/>
          <w:right w:val="none" w:sz="4" w:space="0" w:color="000000"/>
        </w:tcBorders>
      </w:tcPr>
    </w:tblStylePr>
    <w:tblStylePr w:type="lastRow">
      <w:rPr>
        <w:rFonts w:ascii="Arial" w:hAnsi="Arial"/>
        <w:b/>
        <w:color w:val="404040"/>
        <w:sz w:val="22"/>
      </w:rPr>
      <w:tblPr/>
      <w:tcPr>
        <w:tcBorders>
          <w:top w:val="single" w:sz="4" w:space="0" w:color="5FCEFF" w:themeColor="accent2" w:themeTint="90"/>
          <w:left w:val="none" w:sz="4" w:space="0" w:color="000000"/>
          <w:bottom w:val="single" w:sz="4" w:space="0" w:color="5FCEF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7E9FF" w:themeColor="accent2" w:themeTint="40" w:fill="B7E9FF" w:themeFill="accent2" w:themeFillTint="40"/>
      </w:tcPr>
    </w:tblStylePr>
    <w:tblStylePr w:type="band1Horz">
      <w:rPr>
        <w:rFonts w:ascii="Arial" w:hAnsi="Arial"/>
        <w:color w:val="404040"/>
        <w:sz w:val="22"/>
      </w:rPr>
      <w:tblPr/>
      <w:tcPr>
        <w:shd w:val="clear" w:color="B7E9FF" w:themeColor="accent2" w:themeTint="40" w:fill="B7E9FF"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42FFF6" w:themeColor="accent3" w:themeTint="90"/>
        <w:bottom w:val="single" w:sz="4" w:space="0" w:color="42FFF6" w:themeColor="accent3" w:themeTint="90"/>
        <w:insideH w:val="single" w:sz="4" w:space="0" w:color="42FFF6" w:themeColor="accent3" w:themeTint="90"/>
      </w:tblBorders>
    </w:tblPr>
    <w:tblStylePr w:type="firstRow">
      <w:rPr>
        <w:rFonts w:ascii="Arial" w:hAnsi="Arial"/>
        <w:b/>
        <w:color w:val="404040"/>
        <w:sz w:val="22"/>
      </w:rPr>
      <w:tblPr/>
      <w:tcPr>
        <w:tcBorders>
          <w:top w:val="single" w:sz="4" w:space="0" w:color="42FFF6" w:themeColor="accent3" w:themeTint="90"/>
          <w:left w:val="none" w:sz="4" w:space="0" w:color="000000"/>
          <w:bottom w:val="single" w:sz="4" w:space="0" w:color="42FFF6" w:themeColor="accent3" w:themeTint="90"/>
          <w:right w:val="none" w:sz="4" w:space="0" w:color="000000"/>
        </w:tcBorders>
      </w:tcPr>
    </w:tblStylePr>
    <w:tblStylePr w:type="lastRow">
      <w:rPr>
        <w:rFonts w:ascii="Arial" w:hAnsi="Arial"/>
        <w:b/>
        <w:color w:val="404040"/>
        <w:sz w:val="22"/>
      </w:rPr>
      <w:tblPr/>
      <w:tcPr>
        <w:tcBorders>
          <w:top w:val="single" w:sz="4" w:space="0" w:color="42FFF6" w:themeColor="accent3" w:themeTint="90"/>
          <w:left w:val="none" w:sz="4" w:space="0" w:color="000000"/>
          <w:bottom w:val="single" w:sz="4" w:space="0" w:color="42FFF6"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BFFFB" w:themeColor="accent3" w:themeTint="40" w:fill="ABFFFB" w:themeFill="accent3" w:themeFillTint="40"/>
      </w:tcPr>
    </w:tblStylePr>
    <w:tblStylePr w:type="band1Horz">
      <w:rPr>
        <w:rFonts w:ascii="Arial" w:hAnsi="Arial"/>
        <w:color w:val="404040"/>
        <w:sz w:val="22"/>
      </w:rPr>
      <w:tblPr/>
      <w:tcPr>
        <w:shd w:val="clear" w:color="ABFFFB" w:themeColor="accent3" w:themeTint="40" w:fill="ABFFFB"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54EEFF" w:themeColor="accent4" w:themeTint="90"/>
        <w:bottom w:val="single" w:sz="4" w:space="0" w:color="54EEFF" w:themeColor="accent4" w:themeTint="90"/>
        <w:insideH w:val="single" w:sz="4" w:space="0" w:color="54EEFF" w:themeColor="accent4" w:themeTint="90"/>
      </w:tblBorders>
    </w:tblPr>
    <w:tblStylePr w:type="firstRow">
      <w:rPr>
        <w:rFonts w:ascii="Arial" w:hAnsi="Arial"/>
        <w:b/>
        <w:color w:val="404040"/>
        <w:sz w:val="22"/>
      </w:rPr>
      <w:tblPr/>
      <w:tcPr>
        <w:tcBorders>
          <w:top w:val="single" w:sz="4" w:space="0" w:color="54EEFF" w:themeColor="accent4" w:themeTint="90"/>
          <w:left w:val="none" w:sz="4" w:space="0" w:color="000000"/>
          <w:bottom w:val="single" w:sz="4" w:space="0" w:color="54EEFF" w:themeColor="accent4" w:themeTint="90"/>
          <w:right w:val="none" w:sz="4" w:space="0" w:color="000000"/>
        </w:tcBorders>
      </w:tcPr>
    </w:tblStylePr>
    <w:tblStylePr w:type="lastRow">
      <w:rPr>
        <w:rFonts w:ascii="Arial" w:hAnsi="Arial"/>
        <w:b/>
        <w:color w:val="404040"/>
        <w:sz w:val="22"/>
      </w:rPr>
      <w:tblPr/>
      <w:tcPr>
        <w:tcBorders>
          <w:top w:val="single" w:sz="4" w:space="0" w:color="54EEFF" w:themeColor="accent4" w:themeTint="90"/>
          <w:left w:val="none" w:sz="4" w:space="0" w:color="000000"/>
          <w:bottom w:val="single" w:sz="4" w:space="0" w:color="54EEF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3F7FF" w:themeColor="accent4" w:themeTint="40" w:fill="B3F7FF" w:themeFill="accent4" w:themeFillTint="40"/>
      </w:tcPr>
    </w:tblStylePr>
    <w:tblStylePr w:type="band1Horz">
      <w:rPr>
        <w:rFonts w:ascii="Arial" w:hAnsi="Arial"/>
        <w:color w:val="404040"/>
        <w:sz w:val="22"/>
      </w:rPr>
      <w:tblPr/>
      <w:tcPr>
        <w:shd w:val="clear" w:color="B3F7FF" w:themeColor="accent4" w:themeTint="40" w:fill="B3F7F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9BADD" w:themeColor="accent5" w:themeTint="90"/>
        <w:bottom w:val="single" w:sz="4" w:space="0" w:color="A9BADD" w:themeColor="accent5" w:themeTint="90"/>
        <w:insideH w:val="single" w:sz="4" w:space="0" w:color="A9BADD" w:themeColor="accent5" w:themeTint="90"/>
      </w:tblBorders>
    </w:tblPr>
    <w:tblStylePr w:type="firstRow">
      <w:rPr>
        <w:rFonts w:ascii="Arial" w:hAnsi="Arial"/>
        <w:b/>
        <w:color w:val="404040"/>
        <w:sz w:val="22"/>
      </w:rPr>
      <w:tblPr/>
      <w:tcPr>
        <w:tcBorders>
          <w:top w:val="single" w:sz="4" w:space="0" w:color="A9BADD" w:themeColor="accent5" w:themeTint="90"/>
          <w:left w:val="none" w:sz="4" w:space="0" w:color="000000"/>
          <w:bottom w:val="single" w:sz="4" w:space="0" w:color="A9BADD" w:themeColor="accent5" w:themeTint="90"/>
          <w:right w:val="none" w:sz="4" w:space="0" w:color="000000"/>
        </w:tcBorders>
      </w:tcPr>
    </w:tblStylePr>
    <w:tblStylePr w:type="lastRow">
      <w:rPr>
        <w:rFonts w:ascii="Arial" w:hAnsi="Arial"/>
        <w:b/>
        <w:color w:val="404040"/>
        <w:sz w:val="22"/>
      </w:rPr>
      <w:tblPr/>
      <w:tcPr>
        <w:tcBorders>
          <w:top w:val="single" w:sz="4" w:space="0" w:color="A9BADD" w:themeColor="accent5" w:themeTint="90"/>
          <w:left w:val="none" w:sz="4" w:space="0" w:color="000000"/>
          <w:bottom w:val="single" w:sz="4" w:space="0" w:color="A9BA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8E0F0" w:themeColor="accent5" w:themeTint="40" w:fill="D8E0F0" w:themeFill="accent5" w:themeFillTint="40"/>
      </w:tcPr>
    </w:tblStylePr>
    <w:tblStylePr w:type="band1Horz">
      <w:rPr>
        <w:rFonts w:ascii="Arial" w:hAnsi="Arial"/>
        <w:color w:val="404040"/>
        <w:sz w:val="22"/>
      </w:rPr>
      <w:tblPr/>
      <w:tcPr>
        <w:shd w:val="clear" w:color="D8E0F0" w:themeColor="accent5" w:themeTint="40" w:fill="D8E0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C898C9" w:themeColor="accent6" w:themeTint="90"/>
        <w:bottom w:val="single" w:sz="4" w:space="0" w:color="C898C9" w:themeColor="accent6" w:themeTint="90"/>
        <w:insideH w:val="single" w:sz="4" w:space="0" w:color="C898C9" w:themeColor="accent6" w:themeTint="90"/>
      </w:tblBorders>
    </w:tblPr>
    <w:tblStylePr w:type="firstRow">
      <w:rPr>
        <w:rFonts w:ascii="Arial" w:hAnsi="Arial"/>
        <w:b/>
        <w:color w:val="404040"/>
        <w:sz w:val="22"/>
      </w:rPr>
      <w:tblPr/>
      <w:tcPr>
        <w:tcBorders>
          <w:top w:val="single" w:sz="4" w:space="0" w:color="C898C9" w:themeColor="accent6" w:themeTint="90"/>
          <w:left w:val="none" w:sz="4" w:space="0" w:color="000000"/>
          <w:bottom w:val="single" w:sz="4" w:space="0" w:color="C898C9" w:themeColor="accent6" w:themeTint="90"/>
          <w:right w:val="none" w:sz="4" w:space="0" w:color="000000"/>
        </w:tcBorders>
      </w:tcPr>
    </w:tblStylePr>
    <w:tblStylePr w:type="lastRow">
      <w:rPr>
        <w:rFonts w:ascii="Arial" w:hAnsi="Arial"/>
        <w:b/>
        <w:color w:val="404040"/>
        <w:sz w:val="22"/>
      </w:rPr>
      <w:tblPr/>
      <w:tcPr>
        <w:tcBorders>
          <w:top w:val="single" w:sz="4" w:space="0" w:color="C898C9" w:themeColor="accent6" w:themeTint="90"/>
          <w:left w:val="none" w:sz="4" w:space="0" w:color="000000"/>
          <w:bottom w:val="single" w:sz="4" w:space="0" w:color="C898C9"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D1E7" w:themeColor="accent6" w:themeTint="40" w:fill="E6D1E7" w:themeFill="accent6" w:themeFillTint="40"/>
      </w:tcPr>
    </w:tblStylePr>
    <w:tblStylePr w:type="band1Horz">
      <w:rPr>
        <w:rFonts w:ascii="Arial" w:hAnsi="Arial"/>
        <w:color w:val="404040"/>
        <w:sz w:val="22"/>
      </w:rPr>
      <w:tblPr/>
      <w:tcPr>
        <w:shd w:val="clear" w:color="E6D1E7" w:themeColor="accent6" w:themeTint="40" w:fill="E6D1E7"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558C" w:themeColor="accent1"/>
        <w:left w:val="single" w:sz="4" w:space="0" w:color="00558C" w:themeColor="accent1"/>
        <w:bottom w:val="single" w:sz="4" w:space="0" w:color="00558C" w:themeColor="accent1"/>
        <w:right w:val="single" w:sz="4" w:space="0" w:color="00558C" w:themeColor="accent1"/>
      </w:tblBorders>
    </w:tblPr>
    <w:tblStylePr w:type="firstRow">
      <w:rPr>
        <w:rFonts w:ascii="Arial" w:hAnsi="Arial"/>
        <w:b/>
        <w:color w:val="FFFFFF"/>
        <w:sz w:val="22"/>
      </w:rPr>
      <w:tblPr/>
      <w:tcPr>
        <w:shd w:val="clear" w:color="00558C" w:themeColor="accent1" w:fill="00558C"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558C" w:themeColor="accent1"/>
          <w:right w:val="single" w:sz="4" w:space="0" w:color="00558C" w:themeColor="accent1"/>
        </w:tcBorders>
      </w:tcPr>
    </w:tblStylePr>
    <w:tblStylePr w:type="band1Horz">
      <w:rPr>
        <w:rFonts w:ascii="Arial" w:hAnsi="Arial"/>
        <w:color w:val="404040"/>
        <w:sz w:val="22"/>
      </w:rPr>
      <w:tblPr/>
      <w:tcPr>
        <w:tcBorders>
          <w:top w:val="single" w:sz="4" w:space="0" w:color="00558C" w:themeColor="accent1"/>
          <w:bottom w:val="single" w:sz="4" w:space="0" w:color="00558C"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57CCFF" w:themeColor="accent2" w:themeTint="97"/>
        <w:left w:val="single" w:sz="4" w:space="0" w:color="57CCFF" w:themeColor="accent2" w:themeTint="97"/>
        <w:bottom w:val="single" w:sz="4" w:space="0" w:color="57CCFF" w:themeColor="accent2" w:themeTint="97"/>
        <w:right w:val="single" w:sz="4" w:space="0" w:color="57CCFF" w:themeColor="accent2" w:themeTint="97"/>
      </w:tblBorders>
    </w:tblPr>
    <w:tblStylePr w:type="firstRow">
      <w:rPr>
        <w:rFonts w:ascii="Arial" w:hAnsi="Arial"/>
        <w:b/>
        <w:color w:val="FFFFFF"/>
        <w:sz w:val="22"/>
      </w:rPr>
      <w:tblPr/>
      <w:tcPr>
        <w:shd w:val="clear" w:color="57CCFF" w:themeColor="accent2" w:themeTint="97" w:fill="57CCFF"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7CCFF" w:themeColor="accent2" w:themeTint="97"/>
          <w:right w:val="single" w:sz="4" w:space="0" w:color="57CCFF" w:themeColor="accent2" w:themeTint="97"/>
        </w:tcBorders>
      </w:tcPr>
    </w:tblStylePr>
    <w:tblStylePr w:type="band1Horz">
      <w:rPr>
        <w:rFonts w:ascii="Arial" w:hAnsi="Arial"/>
        <w:color w:val="404040"/>
        <w:sz w:val="22"/>
      </w:rPr>
      <w:tblPr/>
      <w:tcPr>
        <w:tcBorders>
          <w:top w:val="single" w:sz="4" w:space="0" w:color="57CCFF" w:themeColor="accent2" w:themeTint="97"/>
          <w:bottom w:val="single" w:sz="4" w:space="0" w:color="57CCFF"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37FFF6" w:themeColor="accent3" w:themeTint="98"/>
        <w:left w:val="single" w:sz="4" w:space="0" w:color="37FFF6" w:themeColor="accent3" w:themeTint="98"/>
        <w:bottom w:val="single" w:sz="4" w:space="0" w:color="37FFF6" w:themeColor="accent3" w:themeTint="98"/>
        <w:right w:val="single" w:sz="4" w:space="0" w:color="37FFF6" w:themeColor="accent3" w:themeTint="98"/>
      </w:tblBorders>
    </w:tblPr>
    <w:tblStylePr w:type="firstRow">
      <w:rPr>
        <w:rFonts w:ascii="Arial" w:hAnsi="Arial"/>
        <w:b/>
        <w:color w:val="FFFFFF"/>
        <w:sz w:val="22"/>
      </w:rPr>
      <w:tblPr/>
      <w:tcPr>
        <w:shd w:val="clear" w:color="37FFF6" w:themeColor="accent3" w:themeTint="98" w:fill="37FFF6"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7FFF6" w:themeColor="accent3" w:themeTint="98"/>
          <w:right w:val="single" w:sz="4" w:space="0" w:color="37FFF6" w:themeColor="accent3" w:themeTint="98"/>
        </w:tcBorders>
      </w:tcPr>
    </w:tblStylePr>
    <w:tblStylePr w:type="band1Horz">
      <w:rPr>
        <w:rFonts w:ascii="Arial" w:hAnsi="Arial"/>
        <w:color w:val="404040"/>
        <w:sz w:val="22"/>
      </w:rPr>
      <w:tblPr/>
      <w:tcPr>
        <w:tcBorders>
          <w:top w:val="single" w:sz="4" w:space="0" w:color="37FFF6" w:themeColor="accent3" w:themeTint="98"/>
          <w:bottom w:val="single" w:sz="4" w:space="0" w:color="37FFF6"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48EDFF" w:themeColor="accent4" w:themeTint="9A"/>
        <w:left w:val="single" w:sz="4" w:space="0" w:color="48EDFF" w:themeColor="accent4" w:themeTint="9A"/>
        <w:bottom w:val="single" w:sz="4" w:space="0" w:color="48EDFF" w:themeColor="accent4" w:themeTint="9A"/>
        <w:right w:val="single" w:sz="4" w:space="0" w:color="48EDFF" w:themeColor="accent4" w:themeTint="9A"/>
      </w:tblBorders>
    </w:tblPr>
    <w:tblStylePr w:type="firstRow">
      <w:rPr>
        <w:rFonts w:ascii="Arial" w:hAnsi="Arial"/>
        <w:b/>
        <w:color w:val="FFFFFF"/>
        <w:sz w:val="22"/>
      </w:rPr>
      <w:tblPr/>
      <w:tcPr>
        <w:shd w:val="clear" w:color="48EDFF" w:themeColor="accent4" w:themeTint="9A" w:fill="48EDFF"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EDFF" w:themeColor="accent4" w:themeTint="9A"/>
          <w:right w:val="single" w:sz="4" w:space="0" w:color="48EDFF" w:themeColor="accent4" w:themeTint="9A"/>
        </w:tcBorders>
      </w:tcPr>
    </w:tblStylePr>
    <w:tblStylePr w:type="band1Horz">
      <w:rPr>
        <w:rFonts w:ascii="Arial" w:hAnsi="Arial"/>
        <w:color w:val="404040"/>
        <w:sz w:val="22"/>
      </w:rPr>
      <w:tblPr/>
      <w:tcPr>
        <w:tcBorders>
          <w:top w:val="single" w:sz="4" w:space="0" w:color="48EDFF" w:themeColor="accent4" w:themeTint="9A"/>
          <w:bottom w:val="single" w:sz="4" w:space="0" w:color="48EDFF"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A3B6DB" w:themeColor="accent5" w:themeTint="9A"/>
        <w:left w:val="single" w:sz="4" w:space="0" w:color="A3B6DB" w:themeColor="accent5" w:themeTint="9A"/>
        <w:bottom w:val="single" w:sz="4" w:space="0" w:color="A3B6DB" w:themeColor="accent5" w:themeTint="9A"/>
        <w:right w:val="single" w:sz="4" w:space="0" w:color="A3B6DB" w:themeColor="accent5" w:themeTint="9A"/>
      </w:tblBorders>
    </w:tblPr>
    <w:tblStylePr w:type="firstRow">
      <w:rPr>
        <w:rFonts w:ascii="Arial" w:hAnsi="Arial"/>
        <w:b/>
        <w:color w:val="FFFFFF"/>
        <w:sz w:val="22"/>
      </w:rPr>
      <w:tblPr/>
      <w:tcPr>
        <w:shd w:val="clear" w:color="A3B6DB" w:themeColor="accent5" w:themeTint="9A" w:fill="A3B6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3B6DB" w:themeColor="accent5" w:themeTint="9A"/>
          <w:right w:val="single" w:sz="4" w:space="0" w:color="A3B6DB" w:themeColor="accent5" w:themeTint="9A"/>
        </w:tcBorders>
      </w:tcPr>
    </w:tblStylePr>
    <w:tblStylePr w:type="band1Horz">
      <w:rPr>
        <w:rFonts w:ascii="Arial" w:hAnsi="Arial"/>
        <w:color w:val="404040"/>
        <w:sz w:val="22"/>
      </w:rPr>
      <w:tblPr/>
      <w:tcPr>
        <w:tcBorders>
          <w:top w:val="single" w:sz="4" w:space="0" w:color="A3B6DB" w:themeColor="accent5" w:themeTint="9A"/>
          <w:bottom w:val="single" w:sz="4" w:space="0" w:color="A3B6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C592C6" w:themeColor="accent6" w:themeTint="98"/>
        <w:left w:val="single" w:sz="4" w:space="0" w:color="C592C6" w:themeColor="accent6" w:themeTint="98"/>
        <w:bottom w:val="single" w:sz="4" w:space="0" w:color="C592C6" w:themeColor="accent6" w:themeTint="98"/>
        <w:right w:val="single" w:sz="4" w:space="0" w:color="C592C6" w:themeColor="accent6" w:themeTint="98"/>
      </w:tblBorders>
    </w:tblPr>
    <w:tblStylePr w:type="firstRow">
      <w:rPr>
        <w:rFonts w:ascii="Arial" w:hAnsi="Arial"/>
        <w:b/>
        <w:color w:val="FFFFFF"/>
        <w:sz w:val="22"/>
      </w:rPr>
      <w:tblPr/>
      <w:tcPr>
        <w:shd w:val="clear" w:color="C592C6" w:themeColor="accent6" w:themeTint="98" w:fill="C592C6"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592C6" w:themeColor="accent6" w:themeTint="98"/>
          <w:right w:val="single" w:sz="4" w:space="0" w:color="C592C6" w:themeColor="accent6" w:themeTint="98"/>
        </w:tcBorders>
      </w:tcPr>
    </w:tblStylePr>
    <w:tblStylePr w:type="band1Horz">
      <w:rPr>
        <w:rFonts w:ascii="Arial" w:hAnsi="Arial"/>
        <w:color w:val="404040"/>
        <w:sz w:val="22"/>
      </w:rPr>
      <w:tblPr/>
      <w:tcPr>
        <w:tcBorders>
          <w:top w:val="single" w:sz="4" w:space="0" w:color="C592C6" w:themeColor="accent6" w:themeTint="98"/>
          <w:bottom w:val="single" w:sz="4" w:space="0" w:color="C592C6"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2EACFF" w:themeColor="accent1" w:themeTint="90"/>
        <w:left w:val="single" w:sz="4" w:space="0" w:color="2EACFF" w:themeColor="accent1" w:themeTint="90"/>
        <w:bottom w:val="single" w:sz="4" w:space="0" w:color="2EACFF" w:themeColor="accent1" w:themeTint="90"/>
        <w:right w:val="single" w:sz="4" w:space="0" w:color="2EACFF" w:themeColor="accent1" w:themeTint="90"/>
        <w:insideH w:val="single" w:sz="4" w:space="0" w:color="2EACFF" w:themeColor="accent1" w:themeTint="90"/>
      </w:tblBorders>
    </w:tblPr>
    <w:tblStylePr w:type="firstRow">
      <w:rPr>
        <w:rFonts w:ascii="Arial" w:hAnsi="Arial"/>
        <w:b/>
        <w:color w:val="FFFFFF"/>
        <w:sz w:val="22"/>
      </w:rPr>
      <w:tblPr/>
      <w:tcPr>
        <w:shd w:val="clear" w:color="00558C" w:themeColor="accent1" w:fill="00558C"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2DAFF" w:themeColor="accent1" w:themeTint="40" w:fill="A2DAFF" w:themeFill="accent1" w:themeFillTint="40"/>
      </w:tcPr>
    </w:tblStylePr>
    <w:tblStylePr w:type="band1Horz">
      <w:rPr>
        <w:rFonts w:ascii="Arial" w:hAnsi="Arial"/>
        <w:color w:val="404040"/>
        <w:sz w:val="22"/>
      </w:rPr>
      <w:tblPr/>
      <w:tcPr>
        <w:shd w:val="clear" w:color="A2DAFF" w:themeColor="accent1" w:themeTint="40" w:fill="A2DA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5FCEFF" w:themeColor="accent2" w:themeTint="90"/>
        <w:left w:val="single" w:sz="4" w:space="0" w:color="5FCEFF" w:themeColor="accent2" w:themeTint="90"/>
        <w:bottom w:val="single" w:sz="4" w:space="0" w:color="5FCEFF" w:themeColor="accent2" w:themeTint="90"/>
        <w:right w:val="single" w:sz="4" w:space="0" w:color="5FCEFF" w:themeColor="accent2" w:themeTint="90"/>
        <w:insideH w:val="single" w:sz="4" w:space="0" w:color="5FCEFF" w:themeColor="accent2" w:themeTint="90"/>
      </w:tblBorders>
    </w:tblPr>
    <w:tblStylePr w:type="firstRow">
      <w:rPr>
        <w:rFonts w:ascii="Arial" w:hAnsi="Arial"/>
        <w:b/>
        <w:color w:val="FFFFFF"/>
        <w:sz w:val="22"/>
      </w:rPr>
      <w:tblPr/>
      <w:tcPr>
        <w:shd w:val="clear" w:color="009FE3" w:themeColor="accent2" w:fill="009FE3"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7E9FF" w:themeColor="accent2" w:themeTint="40" w:fill="B7E9FF" w:themeFill="accent2" w:themeFillTint="40"/>
      </w:tcPr>
    </w:tblStylePr>
    <w:tblStylePr w:type="band1Horz">
      <w:rPr>
        <w:rFonts w:ascii="Arial" w:hAnsi="Arial"/>
        <w:color w:val="404040"/>
        <w:sz w:val="22"/>
      </w:rPr>
      <w:tblPr/>
      <w:tcPr>
        <w:shd w:val="clear" w:color="B7E9FF" w:themeColor="accent2" w:themeTint="40" w:fill="B7E9FF"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42FFF6" w:themeColor="accent3" w:themeTint="90"/>
        <w:left w:val="single" w:sz="4" w:space="0" w:color="42FFF6" w:themeColor="accent3" w:themeTint="90"/>
        <w:bottom w:val="single" w:sz="4" w:space="0" w:color="42FFF6" w:themeColor="accent3" w:themeTint="90"/>
        <w:right w:val="single" w:sz="4" w:space="0" w:color="42FFF6" w:themeColor="accent3" w:themeTint="90"/>
        <w:insideH w:val="single" w:sz="4" w:space="0" w:color="42FFF6" w:themeColor="accent3" w:themeTint="90"/>
      </w:tblBorders>
    </w:tblPr>
    <w:tblStylePr w:type="firstRow">
      <w:rPr>
        <w:rFonts w:ascii="Arial" w:hAnsi="Arial"/>
        <w:b/>
        <w:color w:val="FFFFFF"/>
        <w:sz w:val="22"/>
      </w:rPr>
      <w:tblPr/>
      <w:tcPr>
        <w:shd w:val="clear" w:color="00B0A9" w:themeColor="accent3" w:fill="00B0A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BFFFB" w:themeColor="accent3" w:themeTint="40" w:fill="ABFFFB" w:themeFill="accent3" w:themeFillTint="40"/>
      </w:tcPr>
    </w:tblStylePr>
    <w:tblStylePr w:type="band1Horz">
      <w:rPr>
        <w:rFonts w:ascii="Arial" w:hAnsi="Arial"/>
        <w:color w:val="404040"/>
        <w:sz w:val="22"/>
      </w:rPr>
      <w:tblPr/>
      <w:tcPr>
        <w:shd w:val="clear" w:color="ABFFFB" w:themeColor="accent3" w:themeTint="40" w:fill="ABFFFB"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54EEFF" w:themeColor="accent4" w:themeTint="90"/>
        <w:left w:val="single" w:sz="4" w:space="0" w:color="54EEFF" w:themeColor="accent4" w:themeTint="90"/>
        <w:bottom w:val="single" w:sz="4" w:space="0" w:color="54EEFF" w:themeColor="accent4" w:themeTint="90"/>
        <w:right w:val="single" w:sz="4" w:space="0" w:color="54EEFF" w:themeColor="accent4" w:themeTint="90"/>
        <w:insideH w:val="single" w:sz="4" w:space="0" w:color="54EEFF" w:themeColor="accent4" w:themeTint="90"/>
      </w:tblBorders>
    </w:tblPr>
    <w:tblStylePr w:type="firstRow">
      <w:rPr>
        <w:rFonts w:ascii="Arial" w:hAnsi="Arial"/>
        <w:b/>
        <w:color w:val="FFFFFF"/>
        <w:sz w:val="22"/>
      </w:rPr>
      <w:tblPr/>
      <w:tcPr>
        <w:shd w:val="clear" w:color="00BCD0" w:themeColor="accent4" w:fill="00BCD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3F7FF" w:themeColor="accent4" w:themeTint="40" w:fill="B3F7FF" w:themeFill="accent4" w:themeFillTint="40"/>
      </w:tcPr>
    </w:tblStylePr>
    <w:tblStylePr w:type="band1Horz">
      <w:rPr>
        <w:rFonts w:ascii="Arial" w:hAnsi="Arial"/>
        <w:color w:val="404040"/>
        <w:sz w:val="22"/>
      </w:rPr>
      <w:tblPr/>
      <w:tcPr>
        <w:shd w:val="clear" w:color="B3F7FF" w:themeColor="accent4" w:themeTint="40" w:fill="B3F7F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9BADD" w:themeColor="accent5" w:themeTint="90"/>
        <w:left w:val="single" w:sz="4" w:space="0" w:color="A9BADD" w:themeColor="accent5" w:themeTint="90"/>
        <w:bottom w:val="single" w:sz="4" w:space="0" w:color="A9BADD" w:themeColor="accent5" w:themeTint="90"/>
        <w:right w:val="single" w:sz="4" w:space="0" w:color="A9BADD" w:themeColor="accent5" w:themeTint="90"/>
        <w:insideH w:val="single" w:sz="4" w:space="0" w:color="A9BADD" w:themeColor="accent5" w:themeTint="90"/>
      </w:tblBorders>
    </w:tblPr>
    <w:tblStylePr w:type="firstRow">
      <w:rPr>
        <w:rFonts w:ascii="Arial" w:hAnsi="Arial"/>
        <w:b/>
        <w:color w:val="FFFFFF"/>
        <w:sz w:val="22"/>
      </w:rPr>
      <w:tblPr/>
      <w:tcPr>
        <w:shd w:val="clear" w:color="6787C4" w:themeColor="accent5" w:fill="6787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0F0" w:themeColor="accent5" w:themeTint="40" w:fill="D8E0F0" w:themeFill="accent5" w:themeFillTint="40"/>
      </w:tcPr>
    </w:tblStylePr>
    <w:tblStylePr w:type="band1Horz">
      <w:rPr>
        <w:rFonts w:ascii="Arial" w:hAnsi="Arial"/>
        <w:color w:val="404040"/>
        <w:sz w:val="22"/>
      </w:rPr>
      <w:tblPr/>
      <w:tcPr>
        <w:shd w:val="clear" w:color="D8E0F0" w:themeColor="accent5" w:themeTint="40" w:fill="D8E0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C898C9" w:themeColor="accent6" w:themeTint="90"/>
        <w:left w:val="single" w:sz="4" w:space="0" w:color="C898C9" w:themeColor="accent6" w:themeTint="90"/>
        <w:bottom w:val="single" w:sz="4" w:space="0" w:color="C898C9" w:themeColor="accent6" w:themeTint="90"/>
        <w:right w:val="single" w:sz="4" w:space="0" w:color="C898C9" w:themeColor="accent6" w:themeTint="90"/>
        <w:insideH w:val="single" w:sz="4" w:space="0" w:color="C898C9" w:themeColor="accent6" w:themeTint="90"/>
      </w:tblBorders>
    </w:tblPr>
    <w:tblStylePr w:type="firstRow">
      <w:rPr>
        <w:rFonts w:ascii="Arial" w:hAnsi="Arial"/>
        <w:b/>
        <w:color w:val="FFFFFF"/>
        <w:sz w:val="22"/>
      </w:rPr>
      <w:tblPr/>
      <w:tcPr>
        <w:shd w:val="clear" w:color="99509A" w:themeColor="accent6" w:fill="99509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D1E7" w:themeColor="accent6" w:themeTint="40" w:fill="E6D1E7" w:themeFill="accent6" w:themeFillTint="40"/>
      </w:tcPr>
    </w:tblStylePr>
    <w:tblStylePr w:type="band1Horz">
      <w:rPr>
        <w:rFonts w:ascii="Arial" w:hAnsi="Arial"/>
        <w:color w:val="404040"/>
        <w:sz w:val="22"/>
      </w:rPr>
      <w:tblPr/>
      <w:tcPr>
        <w:shd w:val="clear" w:color="E6D1E7" w:themeColor="accent6" w:themeTint="40" w:fill="E6D1E7"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558C" w:themeColor="accent1"/>
        <w:left w:val="single" w:sz="32" w:space="0" w:color="00558C" w:themeColor="accent1"/>
        <w:bottom w:val="single" w:sz="32" w:space="0" w:color="00558C" w:themeColor="accent1"/>
        <w:right w:val="single" w:sz="32" w:space="0" w:color="00558C" w:themeColor="accent1"/>
      </w:tblBorders>
      <w:shd w:val="clear" w:color="00558C" w:themeColor="accent1" w:fill="00558C" w:themeFill="accent1"/>
    </w:tblPr>
    <w:tblStylePr w:type="firstRow">
      <w:rPr>
        <w:rFonts w:ascii="Arial" w:hAnsi="Arial"/>
        <w:b/>
        <w:color w:val="FFFFFF" w:themeColor="light1"/>
        <w:sz w:val="22"/>
      </w:rPr>
      <w:tblPr/>
      <w:tcPr>
        <w:tcBorders>
          <w:top w:val="single" w:sz="32" w:space="0" w:color="00558C" w:themeColor="accent1"/>
          <w:bottom w:val="single" w:sz="12" w:space="0" w:color="FFFFFF" w:themeColor="light1"/>
        </w:tcBorders>
        <w:shd w:val="clear" w:color="00558C" w:themeColor="accent1" w:fill="00558C"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558C" w:themeColor="accent1"/>
          <w:right w:val="single" w:sz="4" w:space="0" w:color="FFFFFF" w:themeColor="light1"/>
        </w:tcBorders>
      </w:tcPr>
    </w:tblStylePr>
    <w:tblStylePr w:type="lastCol">
      <w:tblPr/>
      <w:tcPr>
        <w:tcBorders>
          <w:left w:val="single" w:sz="4" w:space="0" w:color="FFFFFF" w:themeColor="light1"/>
          <w:right w:val="single" w:sz="32" w:space="0" w:color="00558C" w:themeColor="accent1"/>
        </w:tcBorders>
      </w:tcPr>
    </w:tblStylePr>
    <w:tblStylePr w:type="band1Vert">
      <w:tblPr/>
      <w:tcPr>
        <w:tcBorders>
          <w:left w:val="single" w:sz="4" w:space="0" w:color="FFFFFF" w:themeColor="light1"/>
          <w:right w:val="single" w:sz="4" w:space="0" w:color="FFFFFF" w:themeColor="light1"/>
        </w:tcBorders>
        <w:shd w:val="clear" w:color="00558C" w:themeColor="accent1" w:fill="00558C"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558C" w:themeColor="accent1" w:fill="00558C" w:themeFill="accent1"/>
      </w:tcPr>
    </w:tblStylePr>
    <w:tblStylePr w:type="band2Horz">
      <w:tblPr/>
      <w:tcPr>
        <w:tcBorders>
          <w:top w:val="single" w:sz="4" w:space="0" w:color="FFFFFF" w:themeColor="light1"/>
          <w:bottom w:val="single" w:sz="4" w:space="0" w:color="FFFFFF" w:themeColor="light1"/>
        </w:tcBorders>
        <w:shd w:val="clear" w:color="00558C" w:themeColor="accent1" w:fill="00558C"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57CCFF" w:themeColor="accent2" w:themeTint="97"/>
        <w:left w:val="single" w:sz="32" w:space="0" w:color="57CCFF" w:themeColor="accent2" w:themeTint="97"/>
        <w:bottom w:val="single" w:sz="32" w:space="0" w:color="57CCFF" w:themeColor="accent2" w:themeTint="97"/>
        <w:right w:val="single" w:sz="32" w:space="0" w:color="57CCFF" w:themeColor="accent2" w:themeTint="97"/>
      </w:tblBorders>
      <w:shd w:val="clear" w:color="57CCFF" w:themeColor="accent2" w:themeTint="97" w:fill="57CCFF" w:themeFill="accent2" w:themeFillTint="97"/>
    </w:tblPr>
    <w:tblStylePr w:type="firstRow">
      <w:rPr>
        <w:rFonts w:ascii="Arial" w:hAnsi="Arial"/>
        <w:b/>
        <w:color w:val="FFFFFF" w:themeColor="light1"/>
        <w:sz w:val="22"/>
      </w:rPr>
      <w:tblPr/>
      <w:tcPr>
        <w:tcBorders>
          <w:top w:val="single" w:sz="32" w:space="0" w:color="57CCFF" w:themeColor="accent2" w:themeTint="97"/>
          <w:bottom w:val="single" w:sz="12" w:space="0" w:color="FFFFFF" w:themeColor="light1"/>
        </w:tcBorders>
        <w:shd w:val="clear" w:color="57CCFF" w:themeColor="accent2" w:themeTint="97" w:fill="57CCFF"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7CCFF" w:themeColor="accent2" w:themeTint="97"/>
          <w:right w:val="single" w:sz="4" w:space="0" w:color="FFFFFF" w:themeColor="light1"/>
        </w:tcBorders>
      </w:tcPr>
    </w:tblStylePr>
    <w:tblStylePr w:type="lastCol">
      <w:tblPr/>
      <w:tcPr>
        <w:tcBorders>
          <w:left w:val="single" w:sz="4" w:space="0" w:color="FFFFFF" w:themeColor="light1"/>
          <w:right w:val="single" w:sz="32" w:space="0" w:color="57CCFF" w:themeColor="accent2" w:themeTint="97"/>
        </w:tcBorders>
      </w:tcPr>
    </w:tblStylePr>
    <w:tblStylePr w:type="band1Vert">
      <w:tblPr/>
      <w:tcPr>
        <w:tcBorders>
          <w:left w:val="single" w:sz="4" w:space="0" w:color="FFFFFF" w:themeColor="light1"/>
          <w:right w:val="single" w:sz="4" w:space="0" w:color="FFFFFF" w:themeColor="light1"/>
        </w:tcBorders>
        <w:shd w:val="clear" w:color="57CCFF" w:themeColor="accent2" w:themeTint="97" w:fill="57CCFF"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7CCFF" w:themeColor="accent2" w:themeTint="97" w:fill="57CCFF" w:themeFill="accent2" w:themeFillTint="97"/>
      </w:tcPr>
    </w:tblStylePr>
    <w:tblStylePr w:type="band2Horz">
      <w:tblPr/>
      <w:tcPr>
        <w:tcBorders>
          <w:top w:val="single" w:sz="4" w:space="0" w:color="FFFFFF" w:themeColor="light1"/>
          <w:bottom w:val="single" w:sz="4" w:space="0" w:color="FFFFFF" w:themeColor="light1"/>
        </w:tcBorders>
        <w:shd w:val="clear" w:color="57CCFF" w:themeColor="accent2" w:themeTint="97" w:fill="57CCFF"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37FFF6" w:themeColor="accent3" w:themeTint="98"/>
        <w:left w:val="single" w:sz="32" w:space="0" w:color="37FFF6" w:themeColor="accent3" w:themeTint="98"/>
        <w:bottom w:val="single" w:sz="32" w:space="0" w:color="37FFF6" w:themeColor="accent3" w:themeTint="98"/>
        <w:right w:val="single" w:sz="32" w:space="0" w:color="37FFF6" w:themeColor="accent3" w:themeTint="98"/>
      </w:tblBorders>
      <w:shd w:val="clear" w:color="37FFF6" w:themeColor="accent3" w:themeTint="98" w:fill="37FFF6" w:themeFill="accent3" w:themeFillTint="98"/>
    </w:tblPr>
    <w:tblStylePr w:type="firstRow">
      <w:rPr>
        <w:rFonts w:ascii="Arial" w:hAnsi="Arial"/>
        <w:b/>
        <w:color w:val="FFFFFF" w:themeColor="light1"/>
        <w:sz w:val="22"/>
      </w:rPr>
      <w:tblPr/>
      <w:tcPr>
        <w:tcBorders>
          <w:top w:val="single" w:sz="32" w:space="0" w:color="37FFF6" w:themeColor="accent3" w:themeTint="98"/>
          <w:bottom w:val="single" w:sz="12" w:space="0" w:color="FFFFFF" w:themeColor="light1"/>
        </w:tcBorders>
        <w:shd w:val="clear" w:color="37FFF6" w:themeColor="accent3" w:themeTint="98" w:fill="37FFF6"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37FFF6" w:themeColor="accent3" w:themeTint="98"/>
          <w:right w:val="single" w:sz="4" w:space="0" w:color="FFFFFF" w:themeColor="light1"/>
        </w:tcBorders>
      </w:tcPr>
    </w:tblStylePr>
    <w:tblStylePr w:type="lastCol">
      <w:tblPr/>
      <w:tcPr>
        <w:tcBorders>
          <w:left w:val="single" w:sz="4" w:space="0" w:color="FFFFFF" w:themeColor="light1"/>
          <w:right w:val="single" w:sz="32" w:space="0" w:color="37FFF6" w:themeColor="accent3" w:themeTint="98"/>
        </w:tcBorders>
      </w:tcPr>
    </w:tblStylePr>
    <w:tblStylePr w:type="band1Vert">
      <w:tblPr/>
      <w:tcPr>
        <w:tcBorders>
          <w:left w:val="single" w:sz="4" w:space="0" w:color="FFFFFF" w:themeColor="light1"/>
          <w:right w:val="single" w:sz="4" w:space="0" w:color="FFFFFF" w:themeColor="light1"/>
        </w:tcBorders>
        <w:shd w:val="clear" w:color="37FFF6" w:themeColor="accent3" w:themeTint="98" w:fill="37FFF6"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37FFF6" w:themeColor="accent3" w:themeTint="98" w:fill="37FFF6" w:themeFill="accent3" w:themeFillTint="98"/>
      </w:tcPr>
    </w:tblStylePr>
    <w:tblStylePr w:type="band2Horz">
      <w:tblPr/>
      <w:tcPr>
        <w:tcBorders>
          <w:top w:val="single" w:sz="4" w:space="0" w:color="FFFFFF" w:themeColor="light1"/>
          <w:bottom w:val="single" w:sz="4" w:space="0" w:color="FFFFFF" w:themeColor="light1"/>
        </w:tcBorders>
        <w:shd w:val="clear" w:color="37FFF6" w:themeColor="accent3" w:themeTint="98" w:fill="37FFF6"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48EDFF" w:themeColor="accent4" w:themeTint="9A"/>
        <w:left w:val="single" w:sz="32" w:space="0" w:color="48EDFF" w:themeColor="accent4" w:themeTint="9A"/>
        <w:bottom w:val="single" w:sz="32" w:space="0" w:color="48EDFF" w:themeColor="accent4" w:themeTint="9A"/>
        <w:right w:val="single" w:sz="32" w:space="0" w:color="48EDFF" w:themeColor="accent4" w:themeTint="9A"/>
      </w:tblBorders>
      <w:shd w:val="clear" w:color="48EDFF" w:themeColor="accent4" w:themeTint="9A" w:fill="48EDFF" w:themeFill="accent4" w:themeFillTint="9A"/>
    </w:tblPr>
    <w:tblStylePr w:type="firstRow">
      <w:rPr>
        <w:rFonts w:ascii="Arial" w:hAnsi="Arial"/>
        <w:b/>
        <w:color w:val="FFFFFF" w:themeColor="light1"/>
        <w:sz w:val="22"/>
      </w:rPr>
      <w:tblPr/>
      <w:tcPr>
        <w:tcBorders>
          <w:top w:val="single" w:sz="32" w:space="0" w:color="48EDFF" w:themeColor="accent4" w:themeTint="9A"/>
          <w:bottom w:val="single" w:sz="12" w:space="0" w:color="FFFFFF" w:themeColor="light1"/>
        </w:tcBorders>
        <w:shd w:val="clear" w:color="48EDFF" w:themeColor="accent4" w:themeTint="9A" w:fill="48EDFF"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EDFF" w:themeColor="accent4" w:themeTint="9A"/>
          <w:right w:val="single" w:sz="4" w:space="0" w:color="FFFFFF" w:themeColor="light1"/>
        </w:tcBorders>
      </w:tcPr>
    </w:tblStylePr>
    <w:tblStylePr w:type="lastCol">
      <w:tblPr/>
      <w:tcPr>
        <w:tcBorders>
          <w:left w:val="single" w:sz="4" w:space="0" w:color="FFFFFF" w:themeColor="light1"/>
          <w:right w:val="single" w:sz="32" w:space="0" w:color="48EDFF" w:themeColor="accent4" w:themeTint="9A"/>
        </w:tcBorders>
      </w:tcPr>
    </w:tblStylePr>
    <w:tblStylePr w:type="band1Vert">
      <w:tblPr/>
      <w:tcPr>
        <w:tcBorders>
          <w:left w:val="single" w:sz="4" w:space="0" w:color="FFFFFF" w:themeColor="light1"/>
          <w:right w:val="single" w:sz="4" w:space="0" w:color="FFFFFF" w:themeColor="light1"/>
        </w:tcBorders>
        <w:shd w:val="clear" w:color="48EDFF" w:themeColor="accent4" w:themeTint="9A" w:fill="48EDFF"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EDFF" w:themeColor="accent4" w:themeTint="9A" w:fill="48EDFF" w:themeFill="accent4" w:themeFillTint="9A"/>
      </w:tcPr>
    </w:tblStylePr>
    <w:tblStylePr w:type="band2Horz">
      <w:tblPr/>
      <w:tcPr>
        <w:tcBorders>
          <w:top w:val="single" w:sz="4" w:space="0" w:color="FFFFFF" w:themeColor="light1"/>
          <w:bottom w:val="single" w:sz="4" w:space="0" w:color="FFFFFF" w:themeColor="light1"/>
        </w:tcBorders>
        <w:shd w:val="clear" w:color="48EDFF" w:themeColor="accent4" w:themeTint="9A" w:fill="48EDFF"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A3B6DB" w:themeColor="accent5" w:themeTint="9A"/>
        <w:left w:val="single" w:sz="32" w:space="0" w:color="A3B6DB" w:themeColor="accent5" w:themeTint="9A"/>
        <w:bottom w:val="single" w:sz="32" w:space="0" w:color="A3B6DB" w:themeColor="accent5" w:themeTint="9A"/>
        <w:right w:val="single" w:sz="32" w:space="0" w:color="A3B6DB" w:themeColor="accent5" w:themeTint="9A"/>
      </w:tblBorders>
      <w:shd w:val="clear" w:color="A3B6DB" w:themeColor="accent5" w:themeTint="9A" w:fill="A3B6DB" w:themeFill="accent5" w:themeFillTint="9A"/>
    </w:tblPr>
    <w:tblStylePr w:type="firstRow">
      <w:rPr>
        <w:rFonts w:ascii="Arial" w:hAnsi="Arial"/>
        <w:b/>
        <w:color w:val="FFFFFF" w:themeColor="light1"/>
        <w:sz w:val="22"/>
      </w:rPr>
      <w:tblPr/>
      <w:tcPr>
        <w:tcBorders>
          <w:top w:val="single" w:sz="32" w:space="0" w:color="A3B6DB" w:themeColor="accent5" w:themeTint="9A"/>
          <w:bottom w:val="single" w:sz="12" w:space="0" w:color="FFFFFF" w:themeColor="light1"/>
        </w:tcBorders>
        <w:shd w:val="clear" w:color="A3B6DB" w:themeColor="accent5" w:themeTint="9A" w:fill="A3B6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3B6DB" w:themeColor="accent5" w:themeTint="9A"/>
          <w:right w:val="single" w:sz="4" w:space="0" w:color="FFFFFF" w:themeColor="light1"/>
        </w:tcBorders>
      </w:tcPr>
    </w:tblStylePr>
    <w:tblStylePr w:type="lastCol">
      <w:tblPr/>
      <w:tcPr>
        <w:tcBorders>
          <w:left w:val="single" w:sz="4" w:space="0" w:color="FFFFFF" w:themeColor="light1"/>
          <w:right w:val="single" w:sz="32" w:space="0" w:color="A3B6DB" w:themeColor="accent5" w:themeTint="9A"/>
        </w:tcBorders>
      </w:tcPr>
    </w:tblStylePr>
    <w:tblStylePr w:type="band1Vert">
      <w:tblPr/>
      <w:tcPr>
        <w:tcBorders>
          <w:left w:val="single" w:sz="4" w:space="0" w:color="FFFFFF" w:themeColor="light1"/>
          <w:right w:val="single" w:sz="4" w:space="0" w:color="FFFFFF" w:themeColor="light1"/>
        </w:tcBorders>
        <w:shd w:val="clear" w:color="A3B6DB" w:themeColor="accent5" w:themeTint="9A" w:fill="A3B6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3B6DB" w:themeColor="accent5" w:themeTint="9A" w:fill="A3B6DB" w:themeFill="accent5" w:themeFillTint="9A"/>
      </w:tcPr>
    </w:tblStylePr>
    <w:tblStylePr w:type="band2Horz">
      <w:tblPr/>
      <w:tcPr>
        <w:tcBorders>
          <w:top w:val="single" w:sz="4" w:space="0" w:color="FFFFFF" w:themeColor="light1"/>
          <w:bottom w:val="single" w:sz="4" w:space="0" w:color="FFFFFF" w:themeColor="light1"/>
        </w:tcBorders>
        <w:shd w:val="clear" w:color="A3B6DB" w:themeColor="accent5" w:themeTint="9A" w:fill="A3B6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C592C6" w:themeColor="accent6" w:themeTint="98"/>
        <w:left w:val="single" w:sz="32" w:space="0" w:color="C592C6" w:themeColor="accent6" w:themeTint="98"/>
        <w:bottom w:val="single" w:sz="32" w:space="0" w:color="C592C6" w:themeColor="accent6" w:themeTint="98"/>
        <w:right w:val="single" w:sz="32" w:space="0" w:color="C592C6" w:themeColor="accent6" w:themeTint="98"/>
      </w:tblBorders>
      <w:shd w:val="clear" w:color="C592C6" w:themeColor="accent6" w:themeTint="98" w:fill="C592C6" w:themeFill="accent6" w:themeFillTint="98"/>
    </w:tblPr>
    <w:tblStylePr w:type="firstRow">
      <w:rPr>
        <w:rFonts w:ascii="Arial" w:hAnsi="Arial"/>
        <w:b/>
        <w:color w:val="FFFFFF" w:themeColor="light1"/>
        <w:sz w:val="22"/>
      </w:rPr>
      <w:tblPr/>
      <w:tcPr>
        <w:tcBorders>
          <w:top w:val="single" w:sz="32" w:space="0" w:color="C592C6" w:themeColor="accent6" w:themeTint="98"/>
          <w:bottom w:val="single" w:sz="12" w:space="0" w:color="FFFFFF" w:themeColor="light1"/>
        </w:tcBorders>
        <w:shd w:val="clear" w:color="C592C6" w:themeColor="accent6" w:themeTint="98" w:fill="C592C6"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592C6" w:themeColor="accent6" w:themeTint="98"/>
          <w:right w:val="single" w:sz="4" w:space="0" w:color="FFFFFF" w:themeColor="light1"/>
        </w:tcBorders>
      </w:tcPr>
    </w:tblStylePr>
    <w:tblStylePr w:type="lastCol">
      <w:tblPr/>
      <w:tcPr>
        <w:tcBorders>
          <w:left w:val="single" w:sz="4" w:space="0" w:color="FFFFFF" w:themeColor="light1"/>
          <w:right w:val="single" w:sz="32" w:space="0" w:color="C592C6" w:themeColor="accent6" w:themeTint="98"/>
        </w:tcBorders>
      </w:tcPr>
    </w:tblStylePr>
    <w:tblStylePr w:type="band1Vert">
      <w:tblPr/>
      <w:tcPr>
        <w:tcBorders>
          <w:left w:val="single" w:sz="4" w:space="0" w:color="FFFFFF" w:themeColor="light1"/>
          <w:right w:val="single" w:sz="4" w:space="0" w:color="FFFFFF" w:themeColor="light1"/>
        </w:tcBorders>
        <w:shd w:val="clear" w:color="C592C6" w:themeColor="accent6" w:themeTint="98" w:fill="C592C6"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592C6" w:themeColor="accent6" w:themeTint="98" w:fill="C592C6" w:themeFill="accent6" w:themeFillTint="98"/>
      </w:tcPr>
    </w:tblStylePr>
    <w:tblStylePr w:type="band2Horz">
      <w:tblPr/>
      <w:tcPr>
        <w:tcBorders>
          <w:top w:val="single" w:sz="4" w:space="0" w:color="FFFFFF" w:themeColor="light1"/>
          <w:bottom w:val="single" w:sz="4" w:space="0" w:color="FFFFFF" w:themeColor="light1"/>
        </w:tcBorders>
        <w:shd w:val="clear" w:color="C592C6" w:themeColor="accent6" w:themeTint="98" w:fill="C592C6"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00558C" w:themeColor="accent1"/>
        <w:bottom w:val="single" w:sz="4" w:space="0" w:color="00558C" w:themeColor="accent1"/>
      </w:tblBorders>
    </w:tblPr>
    <w:tblStylePr w:type="firstRow">
      <w:rPr>
        <w:b/>
        <w:color w:val="003151" w:themeColor="accent1" w:themeShade="95"/>
      </w:rPr>
      <w:tblPr/>
      <w:tcPr>
        <w:tcBorders>
          <w:bottom w:val="single" w:sz="4" w:space="0" w:color="00558C" w:themeColor="accent1"/>
        </w:tcBorders>
      </w:tcPr>
    </w:tblStylePr>
    <w:tblStylePr w:type="lastRow">
      <w:rPr>
        <w:b/>
        <w:color w:val="003151" w:themeColor="accent1" w:themeShade="95"/>
      </w:rPr>
      <w:tblPr/>
      <w:tcPr>
        <w:tcBorders>
          <w:top w:val="single" w:sz="4" w:space="0" w:color="00558C" w:themeColor="accent1"/>
        </w:tcBorders>
      </w:tcPr>
    </w:tblStylePr>
    <w:tblStylePr w:type="firstCol">
      <w:rPr>
        <w:b/>
        <w:color w:val="003151" w:themeColor="accent1" w:themeShade="95"/>
      </w:rPr>
    </w:tblStylePr>
    <w:tblStylePr w:type="lastCol">
      <w:rPr>
        <w:b/>
        <w:color w:val="003151" w:themeColor="accent1" w:themeShade="95"/>
      </w:rPr>
    </w:tblStylePr>
    <w:tblStylePr w:type="band1Vert">
      <w:tblPr/>
      <w:tcPr>
        <w:shd w:val="clear" w:color="A2DAFF" w:themeColor="accent1" w:themeTint="40" w:fill="A2DAFF" w:themeFill="accent1" w:themeFillTint="40"/>
      </w:tcPr>
    </w:tblStylePr>
    <w:tblStylePr w:type="band1Horz">
      <w:rPr>
        <w:rFonts w:ascii="Arial" w:hAnsi="Arial"/>
        <w:color w:val="003151" w:themeColor="accent1" w:themeShade="95"/>
        <w:sz w:val="22"/>
      </w:rPr>
      <w:tblPr/>
      <w:tcPr>
        <w:shd w:val="clear" w:color="A2DAFF" w:themeColor="accent1" w:themeTint="40" w:fill="A2DAFF" w:themeFill="accent1" w:themeFillTint="40"/>
      </w:tcPr>
    </w:tblStylePr>
    <w:tblStylePr w:type="band2Horz">
      <w:rPr>
        <w:rFonts w:ascii="Arial" w:hAnsi="Arial"/>
        <w:color w:val="00315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57CCFF" w:themeColor="accent2" w:themeTint="97"/>
        <w:bottom w:val="single" w:sz="4" w:space="0" w:color="57CCFF" w:themeColor="accent2" w:themeTint="97"/>
      </w:tblBorders>
    </w:tblPr>
    <w:tblStylePr w:type="firstRow">
      <w:rPr>
        <w:b/>
        <w:color w:val="57CCFF" w:themeColor="accent2" w:themeTint="97" w:themeShade="95"/>
      </w:rPr>
      <w:tblPr/>
      <w:tcPr>
        <w:tcBorders>
          <w:bottom w:val="single" w:sz="4" w:space="0" w:color="57CCFF" w:themeColor="accent2" w:themeTint="97"/>
        </w:tcBorders>
      </w:tcPr>
    </w:tblStylePr>
    <w:tblStylePr w:type="lastRow">
      <w:rPr>
        <w:b/>
        <w:color w:val="57CCFF" w:themeColor="accent2" w:themeTint="97" w:themeShade="95"/>
      </w:rPr>
      <w:tblPr/>
      <w:tcPr>
        <w:tcBorders>
          <w:top w:val="single" w:sz="4" w:space="0" w:color="57CCFF" w:themeColor="accent2" w:themeTint="97"/>
        </w:tcBorders>
      </w:tcPr>
    </w:tblStylePr>
    <w:tblStylePr w:type="firstCol">
      <w:rPr>
        <w:b/>
        <w:color w:val="57CCFF" w:themeColor="accent2" w:themeTint="97" w:themeShade="95"/>
      </w:rPr>
    </w:tblStylePr>
    <w:tblStylePr w:type="lastCol">
      <w:rPr>
        <w:b/>
        <w:color w:val="57CCFF" w:themeColor="accent2" w:themeTint="97" w:themeShade="95"/>
      </w:rPr>
    </w:tblStylePr>
    <w:tblStylePr w:type="band1Vert">
      <w:tblPr/>
      <w:tcPr>
        <w:shd w:val="clear" w:color="B7E9FF" w:themeColor="accent2" w:themeTint="40" w:fill="B7E9FF" w:themeFill="accent2" w:themeFillTint="40"/>
      </w:tcPr>
    </w:tblStylePr>
    <w:tblStylePr w:type="band1Horz">
      <w:rPr>
        <w:rFonts w:ascii="Arial" w:hAnsi="Arial"/>
        <w:color w:val="57CCFF" w:themeColor="accent2" w:themeTint="97" w:themeShade="95"/>
        <w:sz w:val="22"/>
      </w:rPr>
      <w:tblPr/>
      <w:tcPr>
        <w:shd w:val="clear" w:color="B7E9FF" w:themeColor="accent2" w:themeTint="40" w:fill="B7E9FF" w:themeFill="accent2" w:themeFillTint="40"/>
      </w:tcPr>
    </w:tblStylePr>
    <w:tblStylePr w:type="band2Horz">
      <w:rPr>
        <w:rFonts w:ascii="Arial" w:hAnsi="Arial"/>
        <w:color w:val="57CCFF"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37FFF6" w:themeColor="accent3" w:themeTint="98"/>
        <w:bottom w:val="single" w:sz="4" w:space="0" w:color="37FFF6" w:themeColor="accent3" w:themeTint="98"/>
      </w:tblBorders>
    </w:tblPr>
    <w:tblStylePr w:type="firstRow">
      <w:rPr>
        <w:b/>
        <w:color w:val="37FFF6" w:themeColor="accent3" w:themeTint="98" w:themeShade="95"/>
      </w:rPr>
      <w:tblPr/>
      <w:tcPr>
        <w:tcBorders>
          <w:bottom w:val="single" w:sz="4" w:space="0" w:color="37FFF6" w:themeColor="accent3" w:themeTint="98"/>
        </w:tcBorders>
      </w:tcPr>
    </w:tblStylePr>
    <w:tblStylePr w:type="lastRow">
      <w:rPr>
        <w:b/>
        <w:color w:val="37FFF6" w:themeColor="accent3" w:themeTint="98" w:themeShade="95"/>
      </w:rPr>
      <w:tblPr/>
      <w:tcPr>
        <w:tcBorders>
          <w:top w:val="single" w:sz="4" w:space="0" w:color="37FFF6" w:themeColor="accent3" w:themeTint="98"/>
        </w:tcBorders>
      </w:tcPr>
    </w:tblStylePr>
    <w:tblStylePr w:type="firstCol">
      <w:rPr>
        <w:b/>
        <w:color w:val="37FFF6" w:themeColor="accent3" w:themeTint="98" w:themeShade="95"/>
      </w:rPr>
    </w:tblStylePr>
    <w:tblStylePr w:type="lastCol">
      <w:rPr>
        <w:b/>
        <w:color w:val="37FFF6" w:themeColor="accent3" w:themeTint="98" w:themeShade="95"/>
      </w:rPr>
    </w:tblStylePr>
    <w:tblStylePr w:type="band1Vert">
      <w:tblPr/>
      <w:tcPr>
        <w:shd w:val="clear" w:color="ABFFFB" w:themeColor="accent3" w:themeTint="40" w:fill="ABFFFB" w:themeFill="accent3" w:themeFillTint="40"/>
      </w:tcPr>
    </w:tblStylePr>
    <w:tblStylePr w:type="band1Horz">
      <w:rPr>
        <w:rFonts w:ascii="Arial" w:hAnsi="Arial"/>
        <w:color w:val="37FFF6" w:themeColor="accent3" w:themeTint="98" w:themeShade="95"/>
        <w:sz w:val="22"/>
      </w:rPr>
      <w:tblPr/>
      <w:tcPr>
        <w:shd w:val="clear" w:color="ABFFFB" w:themeColor="accent3" w:themeTint="40" w:fill="ABFFFB" w:themeFill="accent3" w:themeFillTint="40"/>
      </w:tcPr>
    </w:tblStylePr>
    <w:tblStylePr w:type="band2Horz">
      <w:rPr>
        <w:rFonts w:ascii="Arial" w:hAnsi="Arial"/>
        <w:color w:val="37FFF6"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48EDFF" w:themeColor="accent4" w:themeTint="9A"/>
        <w:bottom w:val="single" w:sz="4" w:space="0" w:color="48EDFF" w:themeColor="accent4" w:themeTint="9A"/>
      </w:tblBorders>
    </w:tblPr>
    <w:tblStylePr w:type="firstRow">
      <w:rPr>
        <w:b/>
        <w:color w:val="48EDFF" w:themeColor="accent4" w:themeTint="9A" w:themeShade="95"/>
      </w:rPr>
      <w:tblPr/>
      <w:tcPr>
        <w:tcBorders>
          <w:bottom w:val="single" w:sz="4" w:space="0" w:color="48EDFF" w:themeColor="accent4" w:themeTint="9A"/>
        </w:tcBorders>
      </w:tcPr>
    </w:tblStylePr>
    <w:tblStylePr w:type="lastRow">
      <w:rPr>
        <w:b/>
        <w:color w:val="48EDFF" w:themeColor="accent4" w:themeTint="9A" w:themeShade="95"/>
      </w:rPr>
      <w:tblPr/>
      <w:tcPr>
        <w:tcBorders>
          <w:top w:val="single" w:sz="4" w:space="0" w:color="48EDFF" w:themeColor="accent4" w:themeTint="9A"/>
        </w:tcBorders>
      </w:tcPr>
    </w:tblStylePr>
    <w:tblStylePr w:type="firstCol">
      <w:rPr>
        <w:b/>
        <w:color w:val="48EDFF" w:themeColor="accent4" w:themeTint="9A" w:themeShade="95"/>
      </w:rPr>
    </w:tblStylePr>
    <w:tblStylePr w:type="lastCol">
      <w:rPr>
        <w:b/>
        <w:color w:val="48EDFF" w:themeColor="accent4" w:themeTint="9A" w:themeShade="95"/>
      </w:rPr>
    </w:tblStylePr>
    <w:tblStylePr w:type="band1Vert">
      <w:tblPr/>
      <w:tcPr>
        <w:shd w:val="clear" w:color="B3F7FF" w:themeColor="accent4" w:themeTint="40" w:fill="B3F7FF" w:themeFill="accent4" w:themeFillTint="40"/>
      </w:tcPr>
    </w:tblStylePr>
    <w:tblStylePr w:type="band1Horz">
      <w:rPr>
        <w:rFonts w:ascii="Arial" w:hAnsi="Arial"/>
        <w:color w:val="48EDFF" w:themeColor="accent4" w:themeTint="9A" w:themeShade="95"/>
        <w:sz w:val="22"/>
      </w:rPr>
      <w:tblPr/>
      <w:tcPr>
        <w:shd w:val="clear" w:color="B3F7FF" w:themeColor="accent4" w:themeTint="40" w:fill="B3F7FF" w:themeFill="accent4" w:themeFillTint="40"/>
      </w:tcPr>
    </w:tblStylePr>
    <w:tblStylePr w:type="band2Horz">
      <w:rPr>
        <w:rFonts w:ascii="Arial" w:hAnsi="Arial"/>
        <w:color w:val="48EDFF"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A3B6DB" w:themeColor="accent5" w:themeTint="9A"/>
        <w:bottom w:val="single" w:sz="4" w:space="0" w:color="A3B6DB" w:themeColor="accent5" w:themeTint="9A"/>
      </w:tblBorders>
    </w:tblPr>
    <w:tblStylePr w:type="firstRow">
      <w:rPr>
        <w:b/>
        <w:color w:val="A3B6DB" w:themeColor="accent5" w:themeTint="9A" w:themeShade="95"/>
      </w:rPr>
      <w:tblPr/>
      <w:tcPr>
        <w:tcBorders>
          <w:bottom w:val="single" w:sz="4" w:space="0" w:color="A3B6DB" w:themeColor="accent5" w:themeTint="9A"/>
        </w:tcBorders>
      </w:tcPr>
    </w:tblStylePr>
    <w:tblStylePr w:type="lastRow">
      <w:rPr>
        <w:b/>
        <w:color w:val="A3B6DB" w:themeColor="accent5" w:themeTint="9A" w:themeShade="95"/>
      </w:rPr>
      <w:tblPr/>
      <w:tcPr>
        <w:tcBorders>
          <w:top w:val="single" w:sz="4" w:space="0" w:color="A3B6DB" w:themeColor="accent5" w:themeTint="9A"/>
        </w:tcBorders>
      </w:tcPr>
    </w:tblStylePr>
    <w:tblStylePr w:type="firstCol">
      <w:rPr>
        <w:b/>
        <w:color w:val="A3B6DB" w:themeColor="accent5" w:themeTint="9A" w:themeShade="95"/>
      </w:rPr>
    </w:tblStylePr>
    <w:tblStylePr w:type="lastCol">
      <w:rPr>
        <w:b/>
        <w:color w:val="A3B6DB" w:themeColor="accent5" w:themeTint="9A" w:themeShade="95"/>
      </w:rPr>
    </w:tblStylePr>
    <w:tblStylePr w:type="band1Vert">
      <w:tblPr/>
      <w:tcPr>
        <w:shd w:val="clear" w:color="D8E0F0" w:themeColor="accent5" w:themeTint="40" w:fill="D8E0F0" w:themeFill="accent5" w:themeFillTint="40"/>
      </w:tcPr>
    </w:tblStylePr>
    <w:tblStylePr w:type="band1Horz">
      <w:rPr>
        <w:rFonts w:ascii="Arial" w:hAnsi="Arial"/>
        <w:color w:val="A3B6DB" w:themeColor="accent5" w:themeTint="9A" w:themeShade="95"/>
        <w:sz w:val="22"/>
      </w:rPr>
      <w:tblPr/>
      <w:tcPr>
        <w:shd w:val="clear" w:color="D8E0F0" w:themeColor="accent5" w:themeTint="40" w:fill="D8E0F0" w:themeFill="accent5" w:themeFillTint="40"/>
      </w:tcPr>
    </w:tblStylePr>
    <w:tblStylePr w:type="band2Horz">
      <w:rPr>
        <w:rFonts w:ascii="Arial" w:hAnsi="Arial"/>
        <w:color w:val="A3B6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C592C6" w:themeColor="accent6" w:themeTint="98"/>
        <w:bottom w:val="single" w:sz="4" w:space="0" w:color="C592C6" w:themeColor="accent6" w:themeTint="98"/>
      </w:tblBorders>
    </w:tblPr>
    <w:tblStylePr w:type="firstRow">
      <w:rPr>
        <w:b/>
        <w:color w:val="C592C6" w:themeColor="accent6" w:themeTint="98" w:themeShade="95"/>
      </w:rPr>
      <w:tblPr/>
      <w:tcPr>
        <w:tcBorders>
          <w:bottom w:val="single" w:sz="4" w:space="0" w:color="C592C6" w:themeColor="accent6" w:themeTint="98"/>
        </w:tcBorders>
      </w:tcPr>
    </w:tblStylePr>
    <w:tblStylePr w:type="lastRow">
      <w:rPr>
        <w:b/>
        <w:color w:val="C592C6" w:themeColor="accent6" w:themeTint="98" w:themeShade="95"/>
      </w:rPr>
      <w:tblPr/>
      <w:tcPr>
        <w:tcBorders>
          <w:top w:val="single" w:sz="4" w:space="0" w:color="C592C6" w:themeColor="accent6" w:themeTint="98"/>
        </w:tcBorders>
      </w:tcPr>
    </w:tblStylePr>
    <w:tblStylePr w:type="firstCol">
      <w:rPr>
        <w:b/>
        <w:color w:val="C592C6" w:themeColor="accent6" w:themeTint="98" w:themeShade="95"/>
      </w:rPr>
    </w:tblStylePr>
    <w:tblStylePr w:type="lastCol">
      <w:rPr>
        <w:b/>
        <w:color w:val="C592C6" w:themeColor="accent6" w:themeTint="98" w:themeShade="95"/>
      </w:rPr>
    </w:tblStylePr>
    <w:tblStylePr w:type="band1Vert">
      <w:tblPr/>
      <w:tcPr>
        <w:shd w:val="clear" w:color="E6D1E7" w:themeColor="accent6" w:themeTint="40" w:fill="E6D1E7" w:themeFill="accent6" w:themeFillTint="40"/>
      </w:tcPr>
    </w:tblStylePr>
    <w:tblStylePr w:type="band1Horz">
      <w:rPr>
        <w:rFonts w:ascii="Arial" w:hAnsi="Arial"/>
        <w:color w:val="C592C6" w:themeColor="accent6" w:themeTint="98" w:themeShade="95"/>
        <w:sz w:val="22"/>
      </w:rPr>
      <w:tblPr/>
      <w:tcPr>
        <w:shd w:val="clear" w:color="E6D1E7" w:themeColor="accent6" w:themeTint="40" w:fill="E6D1E7" w:themeFill="accent6" w:themeFillTint="40"/>
      </w:tcPr>
    </w:tblStylePr>
    <w:tblStylePr w:type="band2Horz">
      <w:rPr>
        <w:rFonts w:ascii="Arial" w:hAnsi="Arial"/>
        <w:color w:val="C592C6"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00558C" w:themeColor="accent1"/>
      </w:tblBorders>
    </w:tblPr>
    <w:tblStylePr w:type="firstRow">
      <w:rPr>
        <w:rFonts w:ascii="Arial" w:hAnsi="Arial"/>
        <w:i/>
        <w:color w:val="003151" w:themeColor="accent1" w:themeShade="95"/>
        <w:sz w:val="22"/>
      </w:rPr>
      <w:tblPr/>
      <w:tcPr>
        <w:tcBorders>
          <w:top w:val="none" w:sz="0" w:space="0" w:color="000000"/>
          <w:left w:val="none" w:sz="0" w:space="0" w:color="000000"/>
          <w:bottom w:val="single" w:sz="4" w:space="0" w:color="00558C" w:themeColor="accent1"/>
          <w:right w:val="none" w:sz="0" w:space="0" w:color="000000"/>
        </w:tcBorders>
        <w:shd w:val="clear" w:color="FFFFFF" w:themeColor="light1" w:fill="FFFFFF" w:themeFill="light1"/>
      </w:tcPr>
    </w:tblStylePr>
    <w:tblStylePr w:type="lastRow">
      <w:rPr>
        <w:rFonts w:ascii="Arial" w:hAnsi="Arial"/>
        <w:i/>
        <w:color w:val="003151" w:themeColor="accent1" w:themeShade="95"/>
        <w:sz w:val="22"/>
      </w:rPr>
      <w:tblPr/>
      <w:tcPr>
        <w:tcBorders>
          <w:top w:val="single" w:sz="4" w:space="0" w:color="00558C"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003151" w:themeColor="accent1" w:themeShade="95"/>
        <w:sz w:val="22"/>
      </w:rPr>
      <w:tblPr/>
      <w:tcPr>
        <w:tcBorders>
          <w:top w:val="none" w:sz="0" w:space="0" w:color="000000"/>
          <w:left w:val="none" w:sz="0" w:space="0" w:color="000000"/>
          <w:bottom w:val="none" w:sz="0" w:space="0" w:color="000000"/>
          <w:right w:val="single" w:sz="4" w:space="0" w:color="00558C" w:themeColor="accent1"/>
        </w:tcBorders>
        <w:shd w:val="clear" w:color="FFFFFF" w:fill="auto"/>
      </w:tcPr>
    </w:tblStylePr>
    <w:tblStylePr w:type="lastCol">
      <w:rPr>
        <w:rFonts w:ascii="Arial" w:hAnsi="Arial"/>
        <w:i/>
        <w:color w:val="003151" w:themeColor="accent1" w:themeShade="95"/>
        <w:sz w:val="22"/>
      </w:rPr>
      <w:tblPr/>
      <w:tcPr>
        <w:tcBorders>
          <w:top w:val="none" w:sz="0" w:space="0" w:color="000000"/>
          <w:left w:val="single" w:sz="4" w:space="0" w:color="00558C" w:themeColor="accent1"/>
          <w:bottom w:val="none" w:sz="0" w:space="0" w:color="000000"/>
          <w:right w:val="none" w:sz="0" w:space="0" w:color="000000"/>
        </w:tcBorders>
        <w:shd w:val="clear" w:color="FFFFFF" w:fill="auto"/>
      </w:tcPr>
    </w:tblStylePr>
    <w:tblStylePr w:type="band1Vert">
      <w:tblPr/>
      <w:tcPr>
        <w:shd w:val="clear" w:color="A2DAFF" w:themeColor="accent1" w:themeTint="40" w:fill="A2DAFF" w:themeFill="accent1" w:themeFillTint="40"/>
      </w:tcPr>
    </w:tblStylePr>
    <w:tblStylePr w:type="band1Horz">
      <w:rPr>
        <w:rFonts w:ascii="Arial" w:hAnsi="Arial"/>
        <w:color w:val="003151" w:themeColor="accent1" w:themeShade="95"/>
        <w:sz w:val="22"/>
      </w:rPr>
      <w:tblPr/>
      <w:tcPr>
        <w:shd w:val="clear" w:color="A2DAFF" w:themeColor="accent1" w:themeTint="40" w:fill="A2DAFF" w:themeFill="accent1" w:themeFillTint="40"/>
      </w:tcPr>
    </w:tblStylePr>
    <w:tblStylePr w:type="band2Horz">
      <w:rPr>
        <w:rFonts w:ascii="Arial" w:hAnsi="Arial"/>
        <w:color w:val="00315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57CCFF" w:themeColor="accent2" w:themeTint="97"/>
      </w:tblBorders>
    </w:tblPr>
    <w:tblStylePr w:type="firstRow">
      <w:rPr>
        <w:rFonts w:ascii="Arial" w:hAnsi="Arial"/>
        <w:i/>
        <w:color w:val="57CCFF" w:themeColor="accent2" w:themeTint="97" w:themeShade="95"/>
        <w:sz w:val="22"/>
      </w:rPr>
      <w:tblPr/>
      <w:tcPr>
        <w:tcBorders>
          <w:top w:val="none" w:sz="0" w:space="0" w:color="000000"/>
          <w:left w:val="none" w:sz="0" w:space="0" w:color="000000"/>
          <w:bottom w:val="single" w:sz="4" w:space="0" w:color="57CCFF" w:themeColor="accent2" w:themeTint="97"/>
          <w:right w:val="none" w:sz="0" w:space="0" w:color="000000"/>
        </w:tcBorders>
        <w:shd w:val="clear" w:color="FFFFFF" w:themeColor="light1" w:fill="FFFFFF" w:themeFill="light1"/>
      </w:tcPr>
    </w:tblStylePr>
    <w:tblStylePr w:type="lastRow">
      <w:rPr>
        <w:rFonts w:ascii="Arial" w:hAnsi="Arial"/>
        <w:i/>
        <w:color w:val="57CCFF" w:themeColor="accent2" w:themeTint="97" w:themeShade="95"/>
        <w:sz w:val="22"/>
      </w:rPr>
      <w:tblPr/>
      <w:tcPr>
        <w:tcBorders>
          <w:top w:val="single" w:sz="4" w:space="0" w:color="57CCFF"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7CCFF" w:themeColor="accent2" w:themeTint="97" w:themeShade="95"/>
        <w:sz w:val="22"/>
      </w:rPr>
      <w:tblPr/>
      <w:tcPr>
        <w:tcBorders>
          <w:top w:val="none" w:sz="0" w:space="0" w:color="000000"/>
          <w:left w:val="none" w:sz="0" w:space="0" w:color="000000"/>
          <w:bottom w:val="none" w:sz="0" w:space="0" w:color="000000"/>
          <w:right w:val="single" w:sz="4" w:space="0" w:color="57CCFF" w:themeColor="accent2" w:themeTint="97"/>
        </w:tcBorders>
        <w:shd w:val="clear" w:color="FFFFFF" w:fill="auto"/>
      </w:tcPr>
    </w:tblStylePr>
    <w:tblStylePr w:type="lastCol">
      <w:rPr>
        <w:rFonts w:ascii="Arial" w:hAnsi="Arial"/>
        <w:i/>
        <w:color w:val="57CCFF" w:themeColor="accent2" w:themeTint="97" w:themeShade="95"/>
        <w:sz w:val="22"/>
      </w:rPr>
      <w:tblPr/>
      <w:tcPr>
        <w:tcBorders>
          <w:top w:val="none" w:sz="0" w:space="0" w:color="000000"/>
          <w:left w:val="single" w:sz="4" w:space="0" w:color="57CCFF" w:themeColor="accent2" w:themeTint="97"/>
          <w:bottom w:val="none" w:sz="0" w:space="0" w:color="000000"/>
          <w:right w:val="none" w:sz="0" w:space="0" w:color="000000"/>
        </w:tcBorders>
        <w:shd w:val="clear" w:color="FFFFFF" w:fill="auto"/>
      </w:tcPr>
    </w:tblStylePr>
    <w:tblStylePr w:type="band1Vert">
      <w:tblPr/>
      <w:tcPr>
        <w:shd w:val="clear" w:color="B7E9FF" w:themeColor="accent2" w:themeTint="40" w:fill="B7E9FF" w:themeFill="accent2" w:themeFillTint="40"/>
      </w:tcPr>
    </w:tblStylePr>
    <w:tblStylePr w:type="band1Horz">
      <w:rPr>
        <w:rFonts w:ascii="Arial" w:hAnsi="Arial"/>
        <w:color w:val="57CCFF" w:themeColor="accent2" w:themeTint="97" w:themeShade="95"/>
        <w:sz w:val="22"/>
      </w:rPr>
      <w:tblPr/>
      <w:tcPr>
        <w:shd w:val="clear" w:color="B7E9FF" w:themeColor="accent2" w:themeTint="40" w:fill="B7E9FF" w:themeFill="accent2" w:themeFillTint="40"/>
      </w:tcPr>
    </w:tblStylePr>
    <w:tblStylePr w:type="band2Horz">
      <w:rPr>
        <w:rFonts w:ascii="Arial" w:hAnsi="Arial"/>
        <w:color w:val="57CCFF"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37FFF6" w:themeColor="accent3" w:themeTint="98"/>
      </w:tblBorders>
    </w:tblPr>
    <w:tblStylePr w:type="firstRow">
      <w:rPr>
        <w:rFonts w:ascii="Arial" w:hAnsi="Arial"/>
        <w:i/>
        <w:color w:val="37FFF6" w:themeColor="accent3" w:themeTint="98" w:themeShade="95"/>
        <w:sz w:val="22"/>
      </w:rPr>
      <w:tblPr/>
      <w:tcPr>
        <w:tcBorders>
          <w:top w:val="none" w:sz="0" w:space="0" w:color="000000"/>
          <w:left w:val="none" w:sz="0" w:space="0" w:color="000000"/>
          <w:bottom w:val="single" w:sz="4" w:space="0" w:color="37FFF6" w:themeColor="accent3" w:themeTint="98"/>
          <w:right w:val="none" w:sz="0" w:space="0" w:color="000000"/>
        </w:tcBorders>
        <w:shd w:val="clear" w:color="FFFFFF" w:themeColor="light1" w:fill="FFFFFF" w:themeFill="light1"/>
      </w:tcPr>
    </w:tblStylePr>
    <w:tblStylePr w:type="lastRow">
      <w:rPr>
        <w:rFonts w:ascii="Arial" w:hAnsi="Arial"/>
        <w:i/>
        <w:color w:val="37FFF6" w:themeColor="accent3" w:themeTint="98" w:themeShade="95"/>
        <w:sz w:val="22"/>
      </w:rPr>
      <w:tblPr/>
      <w:tcPr>
        <w:tcBorders>
          <w:top w:val="single" w:sz="4" w:space="0" w:color="37FFF6"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37FFF6" w:themeColor="accent3" w:themeTint="98" w:themeShade="95"/>
        <w:sz w:val="22"/>
      </w:rPr>
      <w:tblPr/>
      <w:tcPr>
        <w:tcBorders>
          <w:top w:val="none" w:sz="0" w:space="0" w:color="000000"/>
          <w:left w:val="none" w:sz="0" w:space="0" w:color="000000"/>
          <w:bottom w:val="none" w:sz="0" w:space="0" w:color="000000"/>
          <w:right w:val="single" w:sz="4" w:space="0" w:color="37FFF6" w:themeColor="accent3" w:themeTint="98"/>
        </w:tcBorders>
        <w:shd w:val="clear" w:color="FFFFFF" w:fill="auto"/>
      </w:tcPr>
    </w:tblStylePr>
    <w:tblStylePr w:type="lastCol">
      <w:rPr>
        <w:rFonts w:ascii="Arial" w:hAnsi="Arial"/>
        <w:i/>
        <w:color w:val="37FFF6" w:themeColor="accent3" w:themeTint="98" w:themeShade="95"/>
        <w:sz w:val="22"/>
      </w:rPr>
      <w:tblPr/>
      <w:tcPr>
        <w:tcBorders>
          <w:top w:val="none" w:sz="0" w:space="0" w:color="000000"/>
          <w:left w:val="single" w:sz="4" w:space="0" w:color="37FFF6" w:themeColor="accent3" w:themeTint="98"/>
          <w:bottom w:val="none" w:sz="0" w:space="0" w:color="000000"/>
          <w:right w:val="none" w:sz="0" w:space="0" w:color="000000"/>
        </w:tcBorders>
        <w:shd w:val="clear" w:color="FFFFFF" w:fill="auto"/>
      </w:tcPr>
    </w:tblStylePr>
    <w:tblStylePr w:type="band1Vert">
      <w:tblPr/>
      <w:tcPr>
        <w:shd w:val="clear" w:color="ABFFFB" w:themeColor="accent3" w:themeTint="40" w:fill="ABFFFB" w:themeFill="accent3" w:themeFillTint="40"/>
      </w:tcPr>
    </w:tblStylePr>
    <w:tblStylePr w:type="band1Horz">
      <w:rPr>
        <w:rFonts w:ascii="Arial" w:hAnsi="Arial"/>
        <w:color w:val="37FFF6" w:themeColor="accent3" w:themeTint="98" w:themeShade="95"/>
        <w:sz w:val="22"/>
      </w:rPr>
      <w:tblPr/>
      <w:tcPr>
        <w:shd w:val="clear" w:color="ABFFFB" w:themeColor="accent3" w:themeTint="40" w:fill="ABFFFB" w:themeFill="accent3" w:themeFillTint="40"/>
      </w:tcPr>
    </w:tblStylePr>
    <w:tblStylePr w:type="band2Horz">
      <w:rPr>
        <w:rFonts w:ascii="Arial" w:hAnsi="Arial"/>
        <w:color w:val="37FFF6"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48EDFF" w:themeColor="accent4" w:themeTint="9A"/>
      </w:tblBorders>
    </w:tblPr>
    <w:tblStylePr w:type="firstRow">
      <w:rPr>
        <w:rFonts w:ascii="Arial" w:hAnsi="Arial"/>
        <w:i/>
        <w:color w:val="48EDFF" w:themeColor="accent4" w:themeTint="9A" w:themeShade="95"/>
        <w:sz w:val="22"/>
      </w:rPr>
      <w:tblPr/>
      <w:tcPr>
        <w:tcBorders>
          <w:top w:val="none" w:sz="0" w:space="0" w:color="000000"/>
          <w:left w:val="none" w:sz="0" w:space="0" w:color="000000"/>
          <w:bottom w:val="single" w:sz="4" w:space="0" w:color="48EDFF" w:themeColor="accent4" w:themeTint="9A"/>
          <w:right w:val="none" w:sz="0" w:space="0" w:color="000000"/>
        </w:tcBorders>
        <w:shd w:val="clear" w:color="FFFFFF" w:themeColor="light1" w:fill="FFFFFF" w:themeFill="light1"/>
      </w:tcPr>
    </w:tblStylePr>
    <w:tblStylePr w:type="lastRow">
      <w:rPr>
        <w:rFonts w:ascii="Arial" w:hAnsi="Arial"/>
        <w:i/>
        <w:color w:val="48EDFF" w:themeColor="accent4" w:themeTint="9A" w:themeShade="95"/>
        <w:sz w:val="22"/>
      </w:rPr>
      <w:tblPr/>
      <w:tcPr>
        <w:tcBorders>
          <w:top w:val="single" w:sz="4" w:space="0" w:color="48EDFF"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8EDFF" w:themeColor="accent4" w:themeTint="9A" w:themeShade="95"/>
        <w:sz w:val="22"/>
      </w:rPr>
      <w:tblPr/>
      <w:tcPr>
        <w:tcBorders>
          <w:top w:val="none" w:sz="0" w:space="0" w:color="000000"/>
          <w:left w:val="none" w:sz="0" w:space="0" w:color="000000"/>
          <w:bottom w:val="none" w:sz="0" w:space="0" w:color="000000"/>
          <w:right w:val="single" w:sz="4" w:space="0" w:color="48EDFF" w:themeColor="accent4" w:themeTint="9A"/>
        </w:tcBorders>
        <w:shd w:val="clear" w:color="FFFFFF" w:fill="auto"/>
      </w:tcPr>
    </w:tblStylePr>
    <w:tblStylePr w:type="lastCol">
      <w:rPr>
        <w:rFonts w:ascii="Arial" w:hAnsi="Arial"/>
        <w:i/>
        <w:color w:val="48EDFF" w:themeColor="accent4" w:themeTint="9A" w:themeShade="95"/>
        <w:sz w:val="22"/>
      </w:rPr>
      <w:tblPr/>
      <w:tcPr>
        <w:tcBorders>
          <w:top w:val="none" w:sz="0" w:space="0" w:color="000000"/>
          <w:left w:val="single" w:sz="4" w:space="0" w:color="48EDFF" w:themeColor="accent4" w:themeTint="9A"/>
          <w:bottom w:val="none" w:sz="0" w:space="0" w:color="000000"/>
          <w:right w:val="none" w:sz="0" w:space="0" w:color="000000"/>
        </w:tcBorders>
        <w:shd w:val="clear" w:color="FFFFFF" w:fill="auto"/>
      </w:tcPr>
    </w:tblStylePr>
    <w:tblStylePr w:type="band1Vert">
      <w:tblPr/>
      <w:tcPr>
        <w:shd w:val="clear" w:color="B3F7FF" w:themeColor="accent4" w:themeTint="40" w:fill="B3F7FF" w:themeFill="accent4" w:themeFillTint="40"/>
      </w:tcPr>
    </w:tblStylePr>
    <w:tblStylePr w:type="band1Horz">
      <w:rPr>
        <w:rFonts w:ascii="Arial" w:hAnsi="Arial"/>
        <w:color w:val="48EDFF" w:themeColor="accent4" w:themeTint="9A" w:themeShade="95"/>
        <w:sz w:val="22"/>
      </w:rPr>
      <w:tblPr/>
      <w:tcPr>
        <w:shd w:val="clear" w:color="B3F7FF" w:themeColor="accent4" w:themeTint="40" w:fill="B3F7FF" w:themeFill="accent4" w:themeFillTint="40"/>
      </w:tcPr>
    </w:tblStylePr>
    <w:tblStylePr w:type="band2Horz">
      <w:rPr>
        <w:rFonts w:ascii="Arial" w:hAnsi="Arial"/>
        <w:color w:val="48EDFF"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A3B6DB" w:themeColor="accent5" w:themeTint="9A"/>
      </w:tblBorders>
    </w:tblPr>
    <w:tblStylePr w:type="firstRow">
      <w:rPr>
        <w:rFonts w:ascii="Arial" w:hAnsi="Arial"/>
        <w:i/>
        <w:color w:val="A3B6DB" w:themeColor="accent5" w:themeTint="9A" w:themeShade="95"/>
        <w:sz w:val="22"/>
      </w:rPr>
      <w:tblPr/>
      <w:tcPr>
        <w:tcBorders>
          <w:top w:val="none" w:sz="0" w:space="0" w:color="000000"/>
          <w:left w:val="none" w:sz="0" w:space="0" w:color="000000"/>
          <w:bottom w:val="single" w:sz="4" w:space="0" w:color="A3B6DB" w:themeColor="accent5" w:themeTint="9A"/>
          <w:right w:val="none" w:sz="0" w:space="0" w:color="000000"/>
        </w:tcBorders>
        <w:shd w:val="clear" w:color="FFFFFF" w:themeColor="light1" w:fill="FFFFFF" w:themeFill="light1"/>
      </w:tcPr>
    </w:tblStylePr>
    <w:tblStylePr w:type="lastRow">
      <w:rPr>
        <w:rFonts w:ascii="Arial" w:hAnsi="Arial"/>
        <w:i/>
        <w:color w:val="A3B6DB" w:themeColor="accent5" w:themeTint="9A" w:themeShade="95"/>
        <w:sz w:val="22"/>
      </w:rPr>
      <w:tblPr/>
      <w:tcPr>
        <w:tcBorders>
          <w:top w:val="single" w:sz="4" w:space="0" w:color="A3B6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3B6DB" w:themeColor="accent5" w:themeTint="9A" w:themeShade="95"/>
        <w:sz w:val="22"/>
      </w:rPr>
      <w:tblPr/>
      <w:tcPr>
        <w:tcBorders>
          <w:top w:val="none" w:sz="0" w:space="0" w:color="000000"/>
          <w:left w:val="none" w:sz="0" w:space="0" w:color="000000"/>
          <w:bottom w:val="none" w:sz="0" w:space="0" w:color="000000"/>
          <w:right w:val="single" w:sz="4" w:space="0" w:color="A3B6DB" w:themeColor="accent5" w:themeTint="9A"/>
        </w:tcBorders>
        <w:shd w:val="clear" w:color="FFFFFF" w:fill="auto"/>
      </w:tcPr>
    </w:tblStylePr>
    <w:tblStylePr w:type="lastCol">
      <w:rPr>
        <w:rFonts w:ascii="Arial" w:hAnsi="Arial"/>
        <w:i/>
        <w:color w:val="A3B6DB" w:themeColor="accent5" w:themeTint="9A" w:themeShade="95"/>
        <w:sz w:val="22"/>
      </w:rPr>
      <w:tblPr/>
      <w:tcPr>
        <w:tcBorders>
          <w:top w:val="none" w:sz="0" w:space="0" w:color="000000"/>
          <w:left w:val="single" w:sz="4" w:space="0" w:color="A3B6DB" w:themeColor="accent5" w:themeTint="9A"/>
          <w:bottom w:val="none" w:sz="0" w:space="0" w:color="000000"/>
          <w:right w:val="none" w:sz="0" w:space="0" w:color="000000"/>
        </w:tcBorders>
        <w:shd w:val="clear" w:color="FFFFFF" w:fill="auto"/>
      </w:tcPr>
    </w:tblStylePr>
    <w:tblStylePr w:type="band1Vert">
      <w:tblPr/>
      <w:tcPr>
        <w:shd w:val="clear" w:color="D8E0F0" w:themeColor="accent5" w:themeTint="40" w:fill="D8E0F0" w:themeFill="accent5" w:themeFillTint="40"/>
      </w:tcPr>
    </w:tblStylePr>
    <w:tblStylePr w:type="band1Horz">
      <w:rPr>
        <w:rFonts w:ascii="Arial" w:hAnsi="Arial"/>
        <w:color w:val="A3B6DB" w:themeColor="accent5" w:themeTint="9A" w:themeShade="95"/>
        <w:sz w:val="22"/>
      </w:rPr>
      <w:tblPr/>
      <w:tcPr>
        <w:shd w:val="clear" w:color="D8E0F0" w:themeColor="accent5" w:themeTint="40" w:fill="D8E0F0" w:themeFill="accent5" w:themeFillTint="40"/>
      </w:tcPr>
    </w:tblStylePr>
    <w:tblStylePr w:type="band2Horz">
      <w:rPr>
        <w:rFonts w:ascii="Arial" w:hAnsi="Arial"/>
        <w:color w:val="A3B6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C592C6" w:themeColor="accent6" w:themeTint="98"/>
      </w:tblBorders>
    </w:tblPr>
    <w:tblStylePr w:type="firstRow">
      <w:rPr>
        <w:rFonts w:ascii="Arial" w:hAnsi="Arial"/>
        <w:i/>
        <w:color w:val="C592C6" w:themeColor="accent6" w:themeTint="98" w:themeShade="95"/>
        <w:sz w:val="22"/>
      </w:rPr>
      <w:tblPr/>
      <w:tcPr>
        <w:tcBorders>
          <w:top w:val="none" w:sz="0" w:space="0" w:color="000000"/>
          <w:left w:val="none" w:sz="0" w:space="0" w:color="000000"/>
          <w:bottom w:val="single" w:sz="4" w:space="0" w:color="C592C6" w:themeColor="accent6" w:themeTint="98"/>
          <w:right w:val="none" w:sz="0" w:space="0" w:color="000000"/>
        </w:tcBorders>
        <w:shd w:val="clear" w:color="FFFFFF" w:themeColor="light1" w:fill="FFFFFF" w:themeFill="light1"/>
      </w:tcPr>
    </w:tblStylePr>
    <w:tblStylePr w:type="lastRow">
      <w:rPr>
        <w:rFonts w:ascii="Arial" w:hAnsi="Arial"/>
        <w:i/>
        <w:color w:val="C592C6" w:themeColor="accent6" w:themeTint="98" w:themeShade="95"/>
        <w:sz w:val="22"/>
      </w:rPr>
      <w:tblPr/>
      <w:tcPr>
        <w:tcBorders>
          <w:top w:val="single" w:sz="4" w:space="0" w:color="C592C6"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592C6" w:themeColor="accent6" w:themeTint="98" w:themeShade="95"/>
        <w:sz w:val="22"/>
      </w:rPr>
      <w:tblPr/>
      <w:tcPr>
        <w:tcBorders>
          <w:top w:val="none" w:sz="0" w:space="0" w:color="000000"/>
          <w:left w:val="none" w:sz="0" w:space="0" w:color="000000"/>
          <w:bottom w:val="none" w:sz="0" w:space="0" w:color="000000"/>
          <w:right w:val="single" w:sz="4" w:space="0" w:color="C592C6" w:themeColor="accent6" w:themeTint="98"/>
        </w:tcBorders>
        <w:shd w:val="clear" w:color="FFFFFF" w:fill="auto"/>
      </w:tcPr>
    </w:tblStylePr>
    <w:tblStylePr w:type="lastCol">
      <w:rPr>
        <w:rFonts w:ascii="Arial" w:hAnsi="Arial"/>
        <w:i/>
        <w:color w:val="C592C6" w:themeColor="accent6" w:themeTint="98" w:themeShade="95"/>
        <w:sz w:val="22"/>
      </w:rPr>
      <w:tblPr/>
      <w:tcPr>
        <w:tcBorders>
          <w:top w:val="none" w:sz="0" w:space="0" w:color="000000"/>
          <w:left w:val="single" w:sz="4" w:space="0" w:color="C592C6" w:themeColor="accent6" w:themeTint="98"/>
          <w:bottom w:val="none" w:sz="0" w:space="0" w:color="000000"/>
          <w:right w:val="none" w:sz="0" w:space="0" w:color="000000"/>
        </w:tcBorders>
        <w:shd w:val="clear" w:color="FFFFFF" w:fill="auto"/>
      </w:tcPr>
    </w:tblStylePr>
    <w:tblStylePr w:type="band1Vert">
      <w:tblPr/>
      <w:tcPr>
        <w:shd w:val="clear" w:color="E6D1E7" w:themeColor="accent6" w:themeTint="40" w:fill="E6D1E7" w:themeFill="accent6" w:themeFillTint="40"/>
      </w:tcPr>
    </w:tblStylePr>
    <w:tblStylePr w:type="band1Horz">
      <w:rPr>
        <w:rFonts w:ascii="Arial" w:hAnsi="Arial"/>
        <w:color w:val="C592C6" w:themeColor="accent6" w:themeTint="98" w:themeShade="95"/>
        <w:sz w:val="22"/>
      </w:rPr>
      <w:tblPr/>
      <w:tcPr>
        <w:shd w:val="clear" w:color="E6D1E7" w:themeColor="accent6" w:themeTint="40" w:fill="E6D1E7" w:themeFill="accent6" w:themeFillTint="40"/>
      </w:tcPr>
    </w:tblStylePr>
    <w:tblStylePr w:type="band2Horz">
      <w:rPr>
        <w:rFonts w:ascii="Arial" w:hAnsi="Arial"/>
        <w:color w:val="C592C6" w:themeColor="accent6" w:themeTint="98" w:themeShade="95"/>
        <w:sz w:val="22"/>
      </w:rPr>
    </w:tblStyle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3E1FF" w:themeColor="accent1" w:themeTint="34" w:fill="B3E1FF" w:themeFill="accent1" w:themeFillTint="34"/>
    </w:tblPr>
    <w:tblStylePr w:type="firstRow">
      <w:rPr>
        <w:rFonts w:ascii="Arial" w:hAnsi="Arial"/>
        <w:b/>
        <w:color w:val="FFFFFF"/>
        <w:sz w:val="22"/>
      </w:rPr>
      <w:tblPr/>
      <w:tcPr>
        <w:shd w:val="clear" w:color="00558C" w:themeColor="accent1" w:fill="00558C" w:themeFill="accent1"/>
      </w:tcPr>
    </w:tblStylePr>
    <w:tblStylePr w:type="lastRow">
      <w:rPr>
        <w:rFonts w:ascii="Arial" w:hAnsi="Arial"/>
        <w:b/>
        <w:color w:val="FFFFFF"/>
        <w:sz w:val="22"/>
      </w:rPr>
      <w:tblPr/>
      <w:tcPr>
        <w:tcBorders>
          <w:top w:val="single" w:sz="4" w:space="0" w:color="FFFFFF" w:themeColor="light1"/>
        </w:tcBorders>
        <w:shd w:val="clear" w:color="00558C" w:themeColor="accent1" w:fill="00558C" w:themeFill="accent1"/>
      </w:tcPr>
    </w:tblStylePr>
    <w:tblStylePr w:type="firstCol">
      <w:rPr>
        <w:rFonts w:ascii="Arial" w:hAnsi="Arial"/>
        <w:b/>
        <w:color w:val="FFFFFF"/>
        <w:sz w:val="22"/>
      </w:rPr>
      <w:tblPr/>
      <w:tcPr>
        <w:shd w:val="clear" w:color="00558C" w:themeColor="accent1" w:fill="00558C" w:themeFill="accent1"/>
      </w:tcPr>
    </w:tblStylePr>
    <w:tblStylePr w:type="lastCol">
      <w:rPr>
        <w:rFonts w:ascii="Arial" w:hAnsi="Arial"/>
        <w:b/>
        <w:color w:val="FFFFFF"/>
        <w:sz w:val="22"/>
      </w:rPr>
      <w:tblPr/>
      <w:tcPr>
        <w:shd w:val="clear" w:color="00558C" w:themeColor="accent1" w:fill="00558C" w:themeFill="accent1"/>
      </w:tcPr>
    </w:tblStylePr>
    <w:tblStylePr w:type="band1Vert">
      <w:tblPr/>
      <w:tcPr>
        <w:shd w:val="clear" w:color="55BBFF" w:themeColor="accent1" w:themeTint="75" w:fill="55BBFF" w:themeFill="accent1" w:themeFillTint="75"/>
      </w:tcPr>
    </w:tblStylePr>
    <w:tblStylePr w:type="band1Horz">
      <w:tblPr/>
      <w:tcPr>
        <w:shd w:val="clear" w:color="55BBFF" w:themeColor="accent1" w:themeTint="75" w:fill="55BBFF"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F8FF" w:themeColor="accent4" w:themeTint="34" w:fill="C1F8FF" w:themeFill="accent4" w:themeFillTint="34"/>
    </w:tblPr>
    <w:tblStylePr w:type="firstRow">
      <w:rPr>
        <w:rFonts w:ascii="Arial" w:hAnsi="Arial"/>
        <w:b/>
        <w:color w:val="FFFFFF"/>
        <w:sz w:val="22"/>
      </w:rPr>
      <w:tblPr/>
      <w:tcPr>
        <w:shd w:val="clear" w:color="00BCD0" w:themeColor="accent4" w:fill="00BCD0" w:themeFill="accent4"/>
      </w:tcPr>
    </w:tblStylePr>
    <w:tblStylePr w:type="lastRow">
      <w:rPr>
        <w:rFonts w:ascii="Arial" w:hAnsi="Arial"/>
        <w:b/>
        <w:color w:val="FFFFFF"/>
        <w:sz w:val="22"/>
      </w:rPr>
      <w:tblPr/>
      <w:tcPr>
        <w:tcBorders>
          <w:top w:val="single" w:sz="4" w:space="0" w:color="FFFFFF" w:themeColor="light1"/>
        </w:tcBorders>
        <w:shd w:val="clear" w:color="00BCD0" w:themeColor="accent4" w:fill="00BCD0" w:themeFill="accent4"/>
      </w:tcPr>
    </w:tblStylePr>
    <w:tblStylePr w:type="firstCol">
      <w:rPr>
        <w:rFonts w:ascii="Arial" w:hAnsi="Arial"/>
        <w:b/>
        <w:color w:val="FFFFFF"/>
        <w:sz w:val="22"/>
      </w:rPr>
      <w:tblPr/>
      <w:tcPr>
        <w:shd w:val="clear" w:color="00BCD0" w:themeColor="accent4" w:fill="00BCD0" w:themeFill="accent4"/>
      </w:tcPr>
    </w:tblStylePr>
    <w:tblStylePr w:type="lastCol">
      <w:rPr>
        <w:rFonts w:ascii="Arial" w:hAnsi="Arial"/>
        <w:b/>
        <w:color w:val="FFFFFF"/>
        <w:sz w:val="22"/>
      </w:rPr>
      <w:tblPr/>
      <w:tcPr>
        <w:shd w:val="clear" w:color="00BCD0" w:themeColor="accent4" w:fill="00BCD0" w:themeFill="accent4"/>
      </w:tcPr>
    </w:tblStylePr>
    <w:tblStylePr w:type="band1Vert">
      <w:tblPr/>
      <w:tcPr>
        <w:shd w:val="clear" w:color="74F1FF" w:themeColor="accent4" w:themeTint="75" w:fill="74F1FF" w:themeFill="accent4" w:themeFillTint="75"/>
      </w:tcPr>
    </w:tblStylePr>
    <w:tblStylePr w:type="band1Horz">
      <w:tblPr/>
      <w:tcPr>
        <w:shd w:val="clear" w:color="74F1FF" w:themeColor="accent4" w:themeTint="75" w:fill="74F1FF"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0066AA" w:themeColor="accent1" w:themeTint="EA" w:fill="0066AA" w:themeFill="accent1" w:themeFillTint="EA"/>
      </w:tcPr>
    </w:tblStylePr>
    <w:tblStylePr w:type="lastRow">
      <w:rPr>
        <w:rFonts w:ascii="Arial" w:hAnsi="Arial"/>
        <w:color w:val="F2F2F2"/>
        <w:sz w:val="22"/>
      </w:rPr>
      <w:tblPr/>
      <w:tcPr>
        <w:shd w:val="clear" w:color="0066AA" w:themeColor="accent1" w:themeTint="EA" w:fill="0066AA" w:themeFill="accent1" w:themeFillTint="EA"/>
      </w:tcPr>
    </w:tblStylePr>
    <w:tblStylePr w:type="firstCol">
      <w:rPr>
        <w:rFonts w:ascii="Arial" w:hAnsi="Arial"/>
        <w:color w:val="F2F2F2"/>
        <w:sz w:val="22"/>
      </w:rPr>
      <w:tblPr/>
      <w:tcPr>
        <w:shd w:val="clear" w:color="0066AA" w:themeColor="accent1" w:themeTint="EA" w:fill="0066AA" w:themeFill="accent1" w:themeFillTint="EA"/>
      </w:tcPr>
    </w:tblStylePr>
    <w:tblStylePr w:type="lastCol">
      <w:rPr>
        <w:rFonts w:ascii="Arial" w:hAnsi="Arial"/>
        <w:color w:val="F2F2F2"/>
        <w:sz w:val="22"/>
      </w:rPr>
      <w:tblPr/>
      <w:tcPr>
        <w:shd w:val="clear" w:color="0066AA" w:themeColor="accent1" w:themeTint="EA" w:fill="0066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8AD0FF" w:themeColor="accent1" w:themeTint="50" w:fill="8AD0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8AD0FF" w:themeColor="accent1" w:themeTint="50" w:fill="8AD0F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7CCFF" w:themeColor="accent2" w:themeTint="97" w:fill="57CCFF" w:themeFill="accent2" w:themeFillTint="97"/>
      </w:tcPr>
    </w:tblStylePr>
    <w:tblStylePr w:type="lastRow">
      <w:rPr>
        <w:rFonts w:ascii="Arial" w:hAnsi="Arial"/>
        <w:color w:val="F2F2F2"/>
        <w:sz w:val="22"/>
      </w:rPr>
      <w:tblPr/>
      <w:tcPr>
        <w:shd w:val="clear" w:color="57CCFF" w:themeColor="accent2" w:themeTint="97" w:fill="57CCFF" w:themeFill="accent2" w:themeFillTint="97"/>
      </w:tcPr>
    </w:tblStylePr>
    <w:tblStylePr w:type="firstCol">
      <w:rPr>
        <w:rFonts w:ascii="Arial" w:hAnsi="Arial"/>
        <w:color w:val="F2F2F2"/>
        <w:sz w:val="22"/>
      </w:rPr>
      <w:tblPr/>
      <w:tcPr>
        <w:shd w:val="clear" w:color="57CCFF" w:themeColor="accent2" w:themeTint="97" w:fill="57CCFF" w:themeFill="accent2" w:themeFillTint="97"/>
      </w:tcPr>
    </w:tblStylePr>
    <w:tblStylePr w:type="lastCol">
      <w:rPr>
        <w:rFonts w:ascii="Arial" w:hAnsi="Arial"/>
        <w:color w:val="F2F2F2"/>
        <w:sz w:val="22"/>
      </w:rPr>
      <w:tblPr/>
      <w:tcPr>
        <w:shd w:val="clear" w:color="57CCFF" w:themeColor="accent2" w:themeTint="97" w:fill="57CCF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C7EEFF" w:themeColor="accent2" w:themeTint="32" w:fill="C7EEF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C7EEFF" w:themeColor="accent2" w:themeTint="32" w:fill="C7EEFF"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00B1A9" w:themeColor="accent3" w:themeTint="FE" w:fill="00B1A9" w:themeFill="accent3" w:themeFillTint="FE"/>
      </w:tcPr>
    </w:tblStylePr>
    <w:tblStylePr w:type="lastRow">
      <w:rPr>
        <w:rFonts w:ascii="Arial" w:hAnsi="Arial"/>
        <w:color w:val="F2F2F2"/>
        <w:sz w:val="22"/>
      </w:rPr>
      <w:tblPr/>
      <w:tcPr>
        <w:shd w:val="clear" w:color="00B1A9" w:themeColor="accent3" w:themeTint="FE" w:fill="00B1A9" w:themeFill="accent3" w:themeFillTint="FE"/>
      </w:tcPr>
    </w:tblStylePr>
    <w:tblStylePr w:type="firstCol">
      <w:rPr>
        <w:rFonts w:ascii="Arial" w:hAnsi="Arial"/>
        <w:color w:val="F2F2F2"/>
        <w:sz w:val="22"/>
      </w:rPr>
      <w:tblPr/>
      <w:tcPr>
        <w:shd w:val="clear" w:color="00B1A9" w:themeColor="accent3" w:themeTint="FE" w:fill="00B1A9" w:themeFill="accent3" w:themeFillTint="FE"/>
      </w:tcPr>
    </w:tblStylePr>
    <w:tblStylePr w:type="lastCol">
      <w:rPr>
        <w:rFonts w:ascii="Arial" w:hAnsi="Arial"/>
        <w:color w:val="F2F2F2"/>
        <w:sz w:val="22"/>
      </w:rPr>
      <w:tblPr/>
      <w:tcPr>
        <w:shd w:val="clear" w:color="00B1A9" w:themeColor="accent3" w:themeTint="FE" w:fill="00B1A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BAFFFC" w:themeColor="accent3" w:themeTint="34" w:fill="BAFFF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BAFFFC" w:themeColor="accent3" w:themeTint="34" w:fill="BAFFF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8EDFF" w:themeColor="accent4" w:themeTint="9A" w:fill="48EDFF" w:themeFill="accent4" w:themeFillTint="9A"/>
      </w:tcPr>
    </w:tblStylePr>
    <w:tblStylePr w:type="lastRow">
      <w:rPr>
        <w:rFonts w:ascii="Arial" w:hAnsi="Arial"/>
        <w:color w:val="F2F2F2"/>
        <w:sz w:val="22"/>
      </w:rPr>
      <w:tblPr/>
      <w:tcPr>
        <w:shd w:val="clear" w:color="48EDFF" w:themeColor="accent4" w:themeTint="9A" w:fill="48EDFF" w:themeFill="accent4" w:themeFillTint="9A"/>
      </w:tcPr>
    </w:tblStylePr>
    <w:tblStylePr w:type="firstCol">
      <w:rPr>
        <w:rFonts w:ascii="Arial" w:hAnsi="Arial"/>
        <w:color w:val="F2F2F2"/>
        <w:sz w:val="22"/>
      </w:rPr>
      <w:tblPr/>
      <w:tcPr>
        <w:shd w:val="clear" w:color="48EDFF" w:themeColor="accent4" w:themeTint="9A" w:fill="48EDFF" w:themeFill="accent4" w:themeFillTint="9A"/>
      </w:tcPr>
    </w:tblStylePr>
    <w:tblStylePr w:type="lastCol">
      <w:rPr>
        <w:rFonts w:ascii="Arial" w:hAnsi="Arial"/>
        <w:color w:val="F2F2F2"/>
        <w:sz w:val="22"/>
      </w:rPr>
      <w:tblPr/>
      <w:tcPr>
        <w:shd w:val="clear" w:color="48EDFF" w:themeColor="accent4" w:themeTint="9A" w:fill="48EDFF"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1F8FF" w:themeColor="accent4" w:themeTint="34" w:fill="C1F8FF"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1F8FF" w:themeColor="accent4" w:themeTint="34" w:fill="C1F8FF"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6787C4" w:themeColor="accent5" w:fill="6787C4" w:themeFill="accent5"/>
      </w:tcPr>
    </w:tblStylePr>
    <w:tblStylePr w:type="lastRow">
      <w:rPr>
        <w:rFonts w:ascii="Arial" w:hAnsi="Arial"/>
        <w:color w:val="F2F2F2"/>
        <w:sz w:val="22"/>
      </w:rPr>
      <w:tblPr/>
      <w:tcPr>
        <w:shd w:val="clear" w:color="6787C4" w:themeColor="accent5" w:fill="6787C4" w:themeFill="accent5"/>
      </w:tcPr>
    </w:tblStylePr>
    <w:tblStylePr w:type="firstCol">
      <w:rPr>
        <w:rFonts w:ascii="Arial" w:hAnsi="Arial"/>
        <w:color w:val="F2F2F2"/>
        <w:sz w:val="22"/>
      </w:rPr>
      <w:tblPr/>
      <w:tcPr>
        <w:shd w:val="clear" w:color="6787C4" w:themeColor="accent5" w:fill="6787C4" w:themeFill="accent5"/>
      </w:tcPr>
    </w:tblStylePr>
    <w:tblStylePr w:type="lastCol">
      <w:rPr>
        <w:rFonts w:ascii="Arial" w:hAnsi="Arial"/>
        <w:color w:val="F2F2F2"/>
        <w:sz w:val="22"/>
      </w:rPr>
      <w:tblPr/>
      <w:tcPr>
        <w:shd w:val="clear" w:color="6787C4" w:themeColor="accent5" w:fill="6787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FE6F3" w:themeColor="accent5" w:themeTint="34" w:fill="DFE6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FE6F3" w:themeColor="accent5" w:themeTint="34" w:fill="DFE6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9509A" w:themeColor="accent6" w:fill="99509A" w:themeFill="accent6"/>
      </w:tcPr>
    </w:tblStylePr>
    <w:tblStylePr w:type="lastRow">
      <w:rPr>
        <w:rFonts w:ascii="Arial" w:hAnsi="Arial"/>
        <w:color w:val="F2F2F2"/>
        <w:sz w:val="22"/>
      </w:rPr>
      <w:tblPr/>
      <w:tcPr>
        <w:shd w:val="clear" w:color="99509A" w:themeColor="accent6" w:fill="99509A" w:themeFill="accent6"/>
      </w:tcPr>
    </w:tblStylePr>
    <w:tblStylePr w:type="firstCol">
      <w:rPr>
        <w:rFonts w:ascii="Arial" w:hAnsi="Arial"/>
        <w:color w:val="F2F2F2"/>
        <w:sz w:val="22"/>
      </w:rPr>
      <w:tblPr/>
      <w:tcPr>
        <w:shd w:val="clear" w:color="99509A" w:themeColor="accent6" w:fill="99509A" w:themeFill="accent6"/>
      </w:tcPr>
    </w:tblStylePr>
    <w:tblStylePr w:type="lastCol">
      <w:rPr>
        <w:rFonts w:ascii="Arial" w:hAnsi="Arial"/>
        <w:color w:val="F2F2F2"/>
        <w:sz w:val="22"/>
      </w:rPr>
      <w:tblPr/>
      <w:tcPr>
        <w:shd w:val="clear" w:color="99509A" w:themeColor="accent6" w:fill="99509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BD9EB" w:themeColor="accent6" w:themeTint="34" w:fill="EBD9E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BD9EB" w:themeColor="accent6" w:themeTint="34" w:fill="EBD9EB"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003151" w:themeColor="accent1" w:themeShade="95"/>
        <w:left w:val="single" w:sz="4" w:space="0" w:color="003151" w:themeColor="accent1" w:themeShade="95"/>
        <w:bottom w:val="single" w:sz="4" w:space="0" w:color="003151" w:themeColor="accent1" w:themeShade="95"/>
        <w:right w:val="single" w:sz="4" w:space="0" w:color="003151" w:themeColor="accent1" w:themeShade="95"/>
        <w:insideH w:val="single" w:sz="4" w:space="0" w:color="003151" w:themeColor="accent1" w:themeShade="95"/>
        <w:insideV w:val="single" w:sz="4" w:space="0" w:color="003151" w:themeColor="accent1" w:themeShade="95"/>
      </w:tblBorders>
    </w:tblPr>
    <w:tblStylePr w:type="firstRow">
      <w:rPr>
        <w:rFonts w:ascii="Arial" w:hAnsi="Arial"/>
        <w:color w:val="F2F2F2"/>
        <w:sz w:val="22"/>
      </w:rPr>
      <w:tblPr/>
      <w:tcPr>
        <w:shd w:val="clear" w:color="0066AA" w:themeColor="accent1" w:themeTint="EA" w:fill="0066AA" w:themeFill="accent1" w:themeFillTint="EA"/>
      </w:tcPr>
    </w:tblStylePr>
    <w:tblStylePr w:type="lastRow">
      <w:rPr>
        <w:rFonts w:ascii="Arial" w:hAnsi="Arial"/>
        <w:color w:val="F2F2F2"/>
        <w:sz w:val="22"/>
      </w:rPr>
      <w:tblPr/>
      <w:tcPr>
        <w:shd w:val="clear" w:color="0066AA" w:themeColor="accent1" w:themeTint="EA" w:fill="0066AA" w:themeFill="accent1" w:themeFillTint="EA"/>
      </w:tcPr>
    </w:tblStylePr>
    <w:tblStylePr w:type="firstCol">
      <w:rPr>
        <w:rFonts w:ascii="Arial" w:hAnsi="Arial"/>
        <w:color w:val="F2F2F2"/>
        <w:sz w:val="22"/>
      </w:rPr>
      <w:tblPr/>
      <w:tcPr>
        <w:shd w:val="clear" w:color="0066AA" w:themeColor="accent1" w:themeTint="EA" w:fill="0066AA" w:themeFill="accent1" w:themeFillTint="EA"/>
      </w:tcPr>
    </w:tblStylePr>
    <w:tblStylePr w:type="lastCol">
      <w:rPr>
        <w:rFonts w:ascii="Arial" w:hAnsi="Arial"/>
        <w:color w:val="F2F2F2"/>
        <w:sz w:val="22"/>
      </w:rPr>
      <w:tblPr/>
      <w:tcPr>
        <w:shd w:val="clear" w:color="0066AA" w:themeColor="accent1" w:themeTint="EA" w:fill="0066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8AD0FF" w:themeColor="accent1" w:themeTint="50" w:fill="8AD0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8AD0FF" w:themeColor="accent1" w:themeTint="50" w:fill="8AD0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005C84" w:themeColor="accent2" w:themeShade="95"/>
        <w:left w:val="single" w:sz="4" w:space="0" w:color="005C84" w:themeColor="accent2" w:themeShade="95"/>
        <w:bottom w:val="single" w:sz="4" w:space="0" w:color="005C84" w:themeColor="accent2" w:themeShade="95"/>
        <w:right w:val="single" w:sz="4" w:space="0" w:color="005C84" w:themeColor="accent2" w:themeShade="95"/>
        <w:insideH w:val="single" w:sz="4" w:space="0" w:color="005C84" w:themeColor="accent2" w:themeShade="95"/>
        <w:insideV w:val="single" w:sz="4" w:space="0" w:color="005C84" w:themeColor="accent2" w:themeShade="95"/>
      </w:tblBorders>
    </w:tblPr>
    <w:tblStylePr w:type="firstRow">
      <w:rPr>
        <w:rFonts w:ascii="Arial" w:hAnsi="Arial"/>
        <w:color w:val="F2F2F2"/>
        <w:sz w:val="22"/>
      </w:rPr>
      <w:tblPr/>
      <w:tcPr>
        <w:shd w:val="clear" w:color="57CCFF" w:themeColor="accent2" w:themeTint="97" w:fill="57CCFF" w:themeFill="accent2" w:themeFillTint="97"/>
      </w:tcPr>
    </w:tblStylePr>
    <w:tblStylePr w:type="lastRow">
      <w:rPr>
        <w:rFonts w:ascii="Arial" w:hAnsi="Arial"/>
        <w:color w:val="F2F2F2"/>
        <w:sz w:val="22"/>
      </w:rPr>
      <w:tblPr/>
      <w:tcPr>
        <w:shd w:val="clear" w:color="57CCFF" w:themeColor="accent2" w:themeTint="97" w:fill="57CCFF" w:themeFill="accent2" w:themeFillTint="97"/>
      </w:tcPr>
    </w:tblStylePr>
    <w:tblStylePr w:type="firstCol">
      <w:rPr>
        <w:rFonts w:ascii="Arial" w:hAnsi="Arial"/>
        <w:color w:val="F2F2F2"/>
        <w:sz w:val="22"/>
      </w:rPr>
      <w:tblPr/>
      <w:tcPr>
        <w:shd w:val="clear" w:color="57CCFF" w:themeColor="accent2" w:themeTint="97" w:fill="57CCFF" w:themeFill="accent2" w:themeFillTint="97"/>
      </w:tcPr>
    </w:tblStylePr>
    <w:tblStylePr w:type="lastCol">
      <w:rPr>
        <w:rFonts w:ascii="Arial" w:hAnsi="Arial"/>
        <w:color w:val="F2F2F2"/>
        <w:sz w:val="22"/>
      </w:rPr>
      <w:tblPr/>
      <w:tcPr>
        <w:shd w:val="clear" w:color="57CCFF" w:themeColor="accent2" w:themeTint="97" w:fill="57CCF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C7EEFF" w:themeColor="accent2" w:themeTint="32" w:fill="C7EEF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C7EEFF" w:themeColor="accent2" w:themeTint="32" w:fill="C7EEFF"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006662" w:themeColor="accent3" w:themeShade="95"/>
        <w:left w:val="single" w:sz="4" w:space="0" w:color="006662" w:themeColor="accent3" w:themeShade="95"/>
        <w:bottom w:val="single" w:sz="4" w:space="0" w:color="006662" w:themeColor="accent3" w:themeShade="95"/>
        <w:right w:val="single" w:sz="4" w:space="0" w:color="006662" w:themeColor="accent3" w:themeShade="95"/>
        <w:insideH w:val="single" w:sz="4" w:space="0" w:color="006662" w:themeColor="accent3" w:themeShade="95"/>
        <w:insideV w:val="single" w:sz="4" w:space="0" w:color="006662" w:themeColor="accent3" w:themeShade="95"/>
      </w:tblBorders>
    </w:tblPr>
    <w:tblStylePr w:type="firstRow">
      <w:rPr>
        <w:rFonts w:ascii="Arial" w:hAnsi="Arial"/>
        <w:color w:val="F2F2F2"/>
        <w:sz w:val="22"/>
      </w:rPr>
      <w:tblPr/>
      <w:tcPr>
        <w:shd w:val="clear" w:color="00B1A9" w:themeColor="accent3" w:themeTint="FE" w:fill="00B1A9" w:themeFill="accent3" w:themeFillTint="FE"/>
      </w:tcPr>
    </w:tblStylePr>
    <w:tblStylePr w:type="lastRow">
      <w:rPr>
        <w:rFonts w:ascii="Arial" w:hAnsi="Arial"/>
        <w:color w:val="F2F2F2"/>
        <w:sz w:val="22"/>
      </w:rPr>
      <w:tblPr/>
      <w:tcPr>
        <w:shd w:val="clear" w:color="00B1A9" w:themeColor="accent3" w:themeTint="FE" w:fill="00B1A9" w:themeFill="accent3" w:themeFillTint="FE"/>
      </w:tcPr>
    </w:tblStylePr>
    <w:tblStylePr w:type="firstCol">
      <w:rPr>
        <w:rFonts w:ascii="Arial" w:hAnsi="Arial"/>
        <w:color w:val="F2F2F2"/>
        <w:sz w:val="22"/>
      </w:rPr>
      <w:tblPr/>
      <w:tcPr>
        <w:shd w:val="clear" w:color="00B1A9" w:themeColor="accent3" w:themeTint="FE" w:fill="00B1A9" w:themeFill="accent3" w:themeFillTint="FE"/>
      </w:tcPr>
    </w:tblStylePr>
    <w:tblStylePr w:type="lastCol">
      <w:rPr>
        <w:rFonts w:ascii="Arial" w:hAnsi="Arial"/>
        <w:color w:val="F2F2F2"/>
        <w:sz w:val="22"/>
      </w:rPr>
      <w:tblPr/>
      <w:tcPr>
        <w:shd w:val="clear" w:color="00B1A9" w:themeColor="accent3" w:themeTint="FE" w:fill="00B1A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BAFFFC" w:themeColor="accent3" w:themeTint="34" w:fill="BAFFF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BAFFFC" w:themeColor="accent3" w:themeTint="34" w:fill="BAFFF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006D79" w:themeColor="accent4" w:themeShade="95"/>
        <w:left w:val="single" w:sz="4" w:space="0" w:color="006D79" w:themeColor="accent4" w:themeShade="95"/>
        <w:bottom w:val="single" w:sz="4" w:space="0" w:color="006D79" w:themeColor="accent4" w:themeShade="95"/>
        <w:right w:val="single" w:sz="4" w:space="0" w:color="006D79" w:themeColor="accent4" w:themeShade="95"/>
        <w:insideH w:val="single" w:sz="4" w:space="0" w:color="006D79" w:themeColor="accent4" w:themeShade="95"/>
        <w:insideV w:val="single" w:sz="4" w:space="0" w:color="006D79" w:themeColor="accent4" w:themeShade="95"/>
      </w:tblBorders>
    </w:tblPr>
    <w:tblStylePr w:type="firstRow">
      <w:rPr>
        <w:rFonts w:ascii="Arial" w:hAnsi="Arial"/>
        <w:color w:val="F2F2F2"/>
        <w:sz w:val="22"/>
      </w:rPr>
      <w:tblPr/>
      <w:tcPr>
        <w:shd w:val="clear" w:color="48EDFF" w:themeColor="accent4" w:themeTint="9A" w:fill="48EDFF" w:themeFill="accent4" w:themeFillTint="9A"/>
      </w:tcPr>
    </w:tblStylePr>
    <w:tblStylePr w:type="lastRow">
      <w:rPr>
        <w:rFonts w:ascii="Arial" w:hAnsi="Arial"/>
        <w:color w:val="F2F2F2"/>
        <w:sz w:val="22"/>
      </w:rPr>
      <w:tblPr/>
      <w:tcPr>
        <w:shd w:val="clear" w:color="48EDFF" w:themeColor="accent4" w:themeTint="9A" w:fill="48EDFF" w:themeFill="accent4" w:themeFillTint="9A"/>
      </w:tcPr>
    </w:tblStylePr>
    <w:tblStylePr w:type="firstCol">
      <w:rPr>
        <w:rFonts w:ascii="Arial" w:hAnsi="Arial"/>
        <w:color w:val="F2F2F2"/>
        <w:sz w:val="22"/>
      </w:rPr>
      <w:tblPr/>
      <w:tcPr>
        <w:shd w:val="clear" w:color="48EDFF" w:themeColor="accent4" w:themeTint="9A" w:fill="48EDFF" w:themeFill="accent4" w:themeFillTint="9A"/>
      </w:tcPr>
    </w:tblStylePr>
    <w:tblStylePr w:type="lastCol">
      <w:rPr>
        <w:rFonts w:ascii="Arial" w:hAnsi="Arial"/>
        <w:color w:val="F2F2F2"/>
        <w:sz w:val="22"/>
      </w:rPr>
      <w:tblPr/>
      <w:tcPr>
        <w:shd w:val="clear" w:color="48EDFF" w:themeColor="accent4" w:themeTint="9A" w:fill="48EDFF"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1F8FF" w:themeColor="accent4" w:themeTint="34" w:fill="C1F8FF"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1F8FF" w:themeColor="accent4" w:themeTint="34" w:fill="C1F8FF"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314B7D" w:themeColor="accent5" w:themeShade="95"/>
        <w:left w:val="single" w:sz="4" w:space="0" w:color="314B7D" w:themeColor="accent5" w:themeShade="95"/>
        <w:bottom w:val="single" w:sz="4" w:space="0" w:color="314B7D" w:themeColor="accent5" w:themeShade="95"/>
        <w:right w:val="single" w:sz="4" w:space="0" w:color="314B7D" w:themeColor="accent5" w:themeShade="95"/>
        <w:insideH w:val="single" w:sz="4" w:space="0" w:color="314B7D" w:themeColor="accent5" w:themeShade="95"/>
        <w:insideV w:val="single" w:sz="4" w:space="0" w:color="314B7D" w:themeColor="accent5" w:themeShade="95"/>
      </w:tblBorders>
    </w:tblPr>
    <w:tblStylePr w:type="firstRow">
      <w:rPr>
        <w:rFonts w:ascii="Arial" w:hAnsi="Arial"/>
        <w:color w:val="F2F2F2"/>
        <w:sz w:val="22"/>
      </w:rPr>
      <w:tblPr/>
      <w:tcPr>
        <w:shd w:val="clear" w:color="6787C4" w:themeColor="accent5" w:fill="6787C4" w:themeFill="accent5"/>
      </w:tcPr>
    </w:tblStylePr>
    <w:tblStylePr w:type="lastRow">
      <w:rPr>
        <w:rFonts w:ascii="Arial" w:hAnsi="Arial"/>
        <w:color w:val="F2F2F2"/>
        <w:sz w:val="22"/>
      </w:rPr>
      <w:tblPr/>
      <w:tcPr>
        <w:shd w:val="clear" w:color="6787C4" w:themeColor="accent5" w:fill="6787C4" w:themeFill="accent5"/>
      </w:tcPr>
    </w:tblStylePr>
    <w:tblStylePr w:type="firstCol">
      <w:rPr>
        <w:rFonts w:ascii="Arial" w:hAnsi="Arial"/>
        <w:color w:val="F2F2F2"/>
        <w:sz w:val="22"/>
      </w:rPr>
      <w:tblPr/>
      <w:tcPr>
        <w:shd w:val="clear" w:color="6787C4" w:themeColor="accent5" w:fill="6787C4" w:themeFill="accent5"/>
      </w:tcPr>
    </w:tblStylePr>
    <w:tblStylePr w:type="lastCol">
      <w:rPr>
        <w:rFonts w:ascii="Arial" w:hAnsi="Arial"/>
        <w:color w:val="F2F2F2"/>
        <w:sz w:val="22"/>
      </w:rPr>
      <w:tblPr/>
      <w:tcPr>
        <w:shd w:val="clear" w:color="6787C4" w:themeColor="accent5" w:fill="6787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FE6F3" w:themeColor="accent5" w:themeTint="34" w:fill="DFE6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FE6F3" w:themeColor="accent5" w:themeTint="34" w:fill="DFE6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2E59" w:themeColor="accent6" w:themeShade="95"/>
        <w:left w:val="single" w:sz="4" w:space="0" w:color="592E59" w:themeColor="accent6" w:themeShade="95"/>
        <w:bottom w:val="single" w:sz="4" w:space="0" w:color="592E59" w:themeColor="accent6" w:themeShade="95"/>
        <w:right w:val="single" w:sz="4" w:space="0" w:color="592E59" w:themeColor="accent6" w:themeShade="95"/>
        <w:insideH w:val="single" w:sz="4" w:space="0" w:color="592E59" w:themeColor="accent6" w:themeShade="95"/>
        <w:insideV w:val="single" w:sz="4" w:space="0" w:color="592E59" w:themeColor="accent6" w:themeShade="95"/>
      </w:tblBorders>
    </w:tblPr>
    <w:tblStylePr w:type="firstRow">
      <w:rPr>
        <w:rFonts w:ascii="Arial" w:hAnsi="Arial"/>
        <w:color w:val="F2F2F2"/>
        <w:sz w:val="22"/>
      </w:rPr>
      <w:tblPr/>
      <w:tcPr>
        <w:shd w:val="clear" w:color="99509A" w:themeColor="accent6" w:fill="99509A" w:themeFill="accent6"/>
      </w:tcPr>
    </w:tblStylePr>
    <w:tblStylePr w:type="lastRow">
      <w:rPr>
        <w:rFonts w:ascii="Arial" w:hAnsi="Arial"/>
        <w:color w:val="F2F2F2"/>
        <w:sz w:val="22"/>
      </w:rPr>
      <w:tblPr/>
      <w:tcPr>
        <w:shd w:val="clear" w:color="99509A" w:themeColor="accent6" w:fill="99509A" w:themeFill="accent6"/>
      </w:tcPr>
    </w:tblStylePr>
    <w:tblStylePr w:type="firstCol">
      <w:rPr>
        <w:rFonts w:ascii="Arial" w:hAnsi="Arial"/>
        <w:color w:val="F2F2F2"/>
        <w:sz w:val="22"/>
      </w:rPr>
      <w:tblPr/>
      <w:tcPr>
        <w:shd w:val="clear" w:color="99509A" w:themeColor="accent6" w:fill="99509A" w:themeFill="accent6"/>
      </w:tcPr>
    </w:tblStylePr>
    <w:tblStylePr w:type="lastCol">
      <w:rPr>
        <w:rFonts w:ascii="Arial" w:hAnsi="Arial"/>
        <w:color w:val="F2F2F2"/>
        <w:sz w:val="22"/>
      </w:rPr>
      <w:tblPr/>
      <w:tcPr>
        <w:shd w:val="clear" w:color="99509A" w:themeColor="accent6" w:fill="99509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BD9EB" w:themeColor="accent6" w:themeTint="34" w:fill="EBD9E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BD9EB" w:themeColor="accent6" w:themeTint="34" w:fill="EBD9E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69C3FF" w:themeColor="accent1" w:themeTint="67"/>
        <w:left w:val="single" w:sz="4" w:space="0" w:color="69C3FF" w:themeColor="accent1" w:themeTint="67"/>
        <w:bottom w:val="single" w:sz="4" w:space="0" w:color="69C3FF" w:themeColor="accent1" w:themeTint="67"/>
        <w:right w:val="single" w:sz="4" w:space="0" w:color="69C3FF" w:themeColor="accent1" w:themeTint="67"/>
        <w:insideH w:val="single" w:sz="4" w:space="0" w:color="69C3FF" w:themeColor="accent1" w:themeTint="67"/>
        <w:insideV w:val="single" w:sz="4" w:space="0" w:color="69C3FF" w:themeColor="accent1" w:themeTint="67"/>
      </w:tblBorders>
    </w:tblPr>
    <w:tblStylePr w:type="firstRow">
      <w:rPr>
        <w:rFonts w:ascii="Arial" w:hAnsi="Arial"/>
        <w:color w:val="404040"/>
        <w:sz w:val="22"/>
      </w:rPr>
      <w:tblPr/>
      <w:tcPr>
        <w:tcBorders>
          <w:bottom w:val="single" w:sz="12" w:space="0" w:color="00558C" w:themeColor="accent1"/>
        </w:tcBorders>
      </w:tcPr>
    </w:tblStylePr>
    <w:tblStylePr w:type="lastRow">
      <w:rPr>
        <w:rFonts w:ascii="Arial" w:hAnsi="Arial"/>
        <w:color w:val="404040"/>
        <w:sz w:val="22"/>
      </w:rPr>
      <w:tblPr/>
      <w:tcPr>
        <w:tcBorders>
          <w:top w:val="single" w:sz="12" w:space="0" w:color="00558C"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558C" w:themeColor="accent1"/>
        </w:tcBorders>
      </w:tcPr>
    </w:tblStylePr>
    <w:tblStylePr w:type="band1Horz">
      <w:rPr>
        <w:rFonts w:ascii="Arial" w:hAnsi="Arial"/>
        <w:color w:val="404040"/>
        <w:sz w:val="22"/>
      </w:rPr>
      <w:tblPr/>
      <w:tcPr>
        <w:tcBorders>
          <w:top w:val="single" w:sz="4" w:space="0" w:color="69C3FF" w:themeColor="accent1" w:themeTint="67"/>
          <w:left w:val="single" w:sz="4" w:space="0" w:color="69C3FF" w:themeColor="accent1" w:themeTint="67"/>
          <w:bottom w:val="single" w:sz="4" w:space="0" w:color="69C3FF" w:themeColor="accent1" w:themeTint="67"/>
          <w:right w:val="single" w:sz="4" w:space="0" w:color="69C3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8CDCFF" w:themeColor="accent2" w:themeTint="67"/>
        <w:left w:val="single" w:sz="4" w:space="0" w:color="8CDCFF" w:themeColor="accent2" w:themeTint="67"/>
        <w:bottom w:val="single" w:sz="4" w:space="0" w:color="8CDCFF" w:themeColor="accent2" w:themeTint="67"/>
        <w:right w:val="single" w:sz="4" w:space="0" w:color="8CDCFF" w:themeColor="accent2" w:themeTint="67"/>
        <w:insideH w:val="single" w:sz="4" w:space="0" w:color="8CDCFF" w:themeColor="accent2" w:themeTint="67"/>
        <w:insideV w:val="single" w:sz="4" w:space="0" w:color="8CDCFF" w:themeColor="accent2" w:themeTint="67"/>
      </w:tblBorders>
    </w:tblPr>
    <w:tblStylePr w:type="firstRow">
      <w:rPr>
        <w:rFonts w:ascii="Arial" w:hAnsi="Arial"/>
        <w:color w:val="404040"/>
        <w:sz w:val="22"/>
      </w:rPr>
      <w:tblPr/>
      <w:tcPr>
        <w:tcBorders>
          <w:bottom w:val="single" w:sz="12" w:space="0" w:color="57CCFF" w:themeColor="accent2" w:themeTint="97"/>
        </w:tcBorders>
      </w:tcPr>
    </w:tblStylePr>
    <w:tblStylePr w:type="lastRow">
      <w:rPr>
        <w:rFonts w:ascii="Arial" w:hAnsi="Arial"/>
        <w:color w:val="404040"/>
        <w:sz w:val="22"/>
      </w:rPr>
      <w:tblPr/>
      <w:tcPr>
        <w:tcBorders>
          <w:top w:val="single" w:sz="12" w:space="0" w:color="57CCFF"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7CCFF" w:themeColor="accent2" w:themeTint="97"/>
        </w:tcBorders>
      </w:tcPr>
    </w:tblStylePr>
    <w:tblStylePr w:type="band1Horz">
      <w:rPr>
        <w:rFonts w:ascii="Arial" w:hAnsi="Arial"/>
        <w:color w:val="404040"/>
        <w:sz w:val="22"/>
      </w:rPr>
      <w:tblPr/>
      <w:tcPr>
        <w:tcBorders>
          <w:top w:val="single" w:sz="4" w:space="0" w:color="8CDCFF" w:themeColor="accent2" w:themeTint="67"/>
          <w:left w:val="single" w:sz="4" w:space="0" w:color="8CDCFF" w:themeColor="accent2" w:themeTint="67"/>
          <w:bottom w:val="single" w:sz="4" w:space="0" w:color="8CDCFF" w:themeColor="accent2" w:themeTint="67"/>
          <w:right w:val="single" w:sz="4" w:space="0" w:color="8CDCFF"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78FFF9" w:themeColor="accent3" w:themeTint="67"/>
        <w:left w:val="single" w:sz="4" w:space="0" w:color="78FFF9" w:themeColor="accent3" w:themeTint="67"/>
        <w:bottom w:val="single" w:sz="4" w:space="0" w:color="78FFF9" w:themeColor="accent3" w:themeTint="67"/>
        <w:right w:val="single" w:sz="4" w:space="0" w:color="78FFF9" w:themeColor="accent3" w:themeTint="67"/>
        <w:insideH w:val="single" w:sz="4" w:space="0" w:color="78FFF9" w:themeColor="accent3" w:themeTint="67"/>
        <w:insideV w:val="single" w:sz="4" w:space="0" w:color="78FFF9" w:themeColor="accent3" w:themeTint="67"/>
      </w:tblBorders>
    </w:tblPr>
    <w:tblStylePr w:type="firstRow">
      <w:rPr>
        <w:rFonts w:ascii="Arial" w:hAnsi="Arial"/>
        <w:color w:val="404040"/>
        <w:sz w:val="22"/>
      </w:rPr>
      <w:tblPr/>
      <w:tcPr>
        <w:tcBorders>
          <w:bottom w:val="single" w:sz="12" w:space="0" w:color="37FFF6" w:themeColor="accent3" w:themeTint="98"/>
        </w:tcBorders>
      </w:tcPr>
    </w:tblStylePr>
    <w:tblStylePr w:type="lastRow">
      <w:rPr>
        <w:rFonts w:ascii="Arial" w:hAnsi="Arial"/>
        <w:color w:val="404040"/>
        <w:sz w:val="22"/>
      </w:rPr>
      <w:tblPr/>
      <w:tcPr>
        <w:tcBorders>
          <w:top w:val="single" w:sz="12" w:space="0" w:color="37FFF6"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37FFF6" w:themeColor="accent3" w:themeTint="98"/>
        </w:tcBorders>
      </w:tcPr>
    </w:tblStylePr>
    <w:tblStylePr w:type="band1Horz">
      <w:rPr>
        <w:rFonts w:ascii="Arial" w:hAnsi="Arial"/>
        <w:color w:val="404040"/>
        <w:sz w:val="22"/>
      </w:rPr>
      <w:tblPr/>
      <w:tcPr>
        <w:tcBorders>
          <w:top w:val="single" w:sz="4" w:space="0" w:color="78FFF9" w:themeColor="accent3" w:themeTint="67"/>
          <w:left w:val="single" w:sz="4" w:space="0" w:color="78FFF9" w:themeColor="accent3" w:themeTint="67"/>
          <w:bottom w:val="single" w:sz="4" w:space="0" w:color="78FFF9" w:themeColor="accent3" w:themeTint="67"/>
          <w:right w:val="single" w:sz="4" w:space="0" w:color="78FFF9"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85F3FF" w:themeColor="accent4" w:themeTint="67"/>
        <w:left w:val="single" w:sz="4" w:space="0" w:color="85F3FF" w:themeColor="accent4" w:themeTint="67"/>
        <w:bottom w:val="single" w:sz="4" w:space="0" w:color="85F3FF" w:themeColor="accent4" w:themeTint="67"/>
        <w:right w:val="single" w:sz="4" w:space="0" w:color="85F3FF" w:themeColor="accent4" w:themeTint="67"/>
        <w:insideH w:val="single" w:sz="4" w:space="0" w:color="85F3FF" w:themeColor="accent4" w:themeTint="67"/>
        <w:insideV w:val="single" w:sz="4" w:space="0" w:color="85F3FF" w:themeColor="accent4" w:themeTint="67"/>
      </w:tblBorders>
    </w:tblPr>
    <w:tblStylePr w:type="firstRow">
      <w:rPr>
        <w:rFonts w:ascii="Arial" w:hAnsi="Arial"/>
        <w:color w:val="404040"/>
        <w:sz w:val="22"/>
      </w:rPr>
      <w:tblPr/>
      <w:tcPr>
        <w:tcBorders>
          <w:bottom w:val="single" w:sz="12" w:space="0" w:color="48EDFF" w:themeColor="accent4" w:themeTint="9A"/>
        </w:tcBorders>
      </w:tcPr>
    </w:tblStylePr>
    <w:tblStylePr w:type="lastRow">
      <w:rPr>
        <w:rFonts w:ascii="Arial" w:hAnsi="Arial"/>
        <w:color w:val="404040"/>
        <w:sz w:val="22"/>
      </w:rPr>
      <w:tblPr/>
      <w:tcPr>
        <w:tcBorders>
          <w:top w:val="single" w:sz="12" w:space="0" w:color="48EDFF"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EDFF" w:themeColor="accent4" w:themeTint="9A"/>
        </w:tcBorders>
      </w:tcPr>
    </w:tblStylePr>
    <w:tblStylePr w:type="band1Horz">
      <w:rPr>
        <w:rFonts w:ascii="Arial" w:hAnsi="Arial"/>
        <w:color w:val="404040"/>
        <w:sz w:val="22"/>
      </w:rPr>
      <w:tblPr/>
      <w:tcPr>
        <w:tcBorders>
          <w:top w:val="single" w:sz="4" w:space="0" w:color="85F3FF" w:themeColor="accent4" w:themeTint="67"/>
          <w:left w:val="single" w:sz="4" w:space="0" w:color="85F3FF" w:themeColor="accent4" w:themeTint="67"/>
          <w:bottom w:val="single" w:sz="4" w:space="0" w:color="85F3FF" w:themeColor="accent4" w:themeTint="67"/>
          <w:right w:val="single" w:sz="4" w:space="0" w:color="85F3FF"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C1CEE7" w:themeColor="accent5" w:themeTint="67"/>
        <w:left w:val="single" w:sz="4" w:space="0" w:color="C1CEE7" w:themeColor="accent5" w:themeTint="67"/>
        <w:bottom w:val="single" w:sz="4" w:space="0" w:color="C1CEE7" w:themeColor="accent5" w:themeTint="67"/>
        <w:right w:val="single" w:sz="4" w:space="0" w:color="C1CEE7" w:themeColor="accent5" w:themeTint="67"/>
        <w:insideH w:val="single" w:sz="4" w:space="0" w:color="C1CEE7" w:themeColor="accent5" w:themeTint="67"/>
        <w:insideV w:val="single" w:sz="4" w:space="0" w:color="C1CEE7" w:themeColor="accent5" w:themeTint="67"/>
      </w:tblBorders>
    </w:tblPr>
    <w:tblStylePr w:type="firstRow">
      <w:rPr>
        <w:rFonts w:ascii="Arial" w:hAnsi="Arial"/>
        <w:color w:val="404040"/>
        <w:sz w:val="22"/>
      </w:rPr>
      <w:tblPr/>
      <w:tcPr>
        <w:tcBorders>
          <w:bottom w:val="single" w:sz="12" w:space="0" w:color="A3B6DB" w:themeColor="accent5" w:themeTint="9A"/>
        </w:tcBorders>
      </w:tcPr>
    </w:tblStylePr>
    <w:tblStylePr w:type="lastRow">
      <w:rPr>
        <w:rFonts w:ascii="Arial" w:hAnsi="Arial"/>
        <w:color w:val="404040"/>
        <w:sz w:val="22"/>
      </w:rPr>
      <w:tblPr/>
      <w:tcPr>
        <w:tcBorders>
          <w:top w:val="single" w:sz="12" w:space="0" w:color="A3B6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3B6DB" w:themeColor="accent5" w:themeTint="9A"/>
        </w:tcBorders>
      </w:tcPr>
    </w:tblStylePr>
    <w:tblStylePr w:type="band1Horz">
      <w:rPr>
        <w:rFonts w:ascii="Arial" w:hAnsi="Arial"/>
        <w:color w:val="404040"/>
        <w:sz w:val="22"/>
      </w:rPr>
      <w:tblPr/>
      <w:tcPr>
        <w:tcBorders>
          <w:top w:val="single" w:sz="4" w:space="0" w:color="C1CEE7" w:themeColor="accent5" w:themeTint="67"/>
          <w:left w:val="single" w:sz="4" w:space="0" w:color="C1CEE7" w:themeColor="accent5" w:themeTint="67"/>
          <w:bottom w:val="single" w:sz="4" w:space="0" w:color="C1CEE7" w:themeColor="accent5" w:themeTint="67"/>
          <w:right w:val="single" w:sz="4" w:space="0" w:color="C1CE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D8B5D8" w:themeColor="accent6" w:themeTint="67"/>
        <w:left w:val="single" w:sz="4" w:space="0" w:color="D8B5D8" w:themeColor="accent6" w:themeTint="67"/>
        <w:bottom w:val="single" w:sz="4" w:space="0" w:color="D8B5D8" w:themeColor="accent6" w:themeTint="67"/>
        <w:right w:val="single" w:sz="4" w:space="0" w:color="D8B5D8" w:themeColor="accent6" w:themeTint="67"/>
        <w:insideH w:val="single" w:sz="4" w:space="0" w:color="D8B5D8" w:themeColor="accent6" w:themeTint="67"/>
        <w:insideV w:val="single" w:sz="4" w:space="0" w:color="D8B5D8" w:themeColor="accent6" w:themeTint="67"/>
      </w:tblBorders>
    </w:tblPr>
    <w:tblStylePr w:type="firstRow">
      <w:rPr>
        <w:rFonts w:ascii="Arial" w:hAnsi="Arial"/>
        <w:color w:val="404040"/>
        <w:sz w:val="22"/>
      </w:rPr>
      <w:tblPr/>
      <w:tcPr>
        <w:tcBorders>
          <w:bottom w:val="single" w:sz="12" w:space="0" w:color="C592C6" w:themeColor="accent6" w:themeTint="98"/>
        </w:tcBorders>
      </w:tcPr>
    </w:tblStylePr>
    <w:tblStylePr w:type="lastRow">
      <w:rPr>
        <w:rFonts w:ascii="Arial" w:hAnsi="Arial"/>
        <w:color w:val="404040"/>
        <w:sz w:val="22"/>
      </w:rPr>
      <w:tblPr/>
      <w:tcPr>
        <w:tcBorders>
          <w:top w:val="single" w:sz="12" w:space="0" w:color="C592C6"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592C6" w:themeColor="accent6" w:themeTint="98"/>
        </w:tcBorders>
      </w:tcPr>
    </w:tblStylePr>
    <w:tblStylePr w:type="band1Horz">
      <w:rPr>
        <w:rFonts w:ascii="Arial" w:hAnsi="Arial"/>
        <w:color w:val="404040"/>
        <w:sz w:val="22"/>
      </w:rPr>
      <w:tblPr/>
      <w:tcPr>
        <w:tcBorders>
          <w:top w:val="single" w:sz="4" w:space="0" w:color="D8B5D8" w:themeColor="accent6" w:themeTint="67"/>
          <w:left w:val="single" w:sz="4" w:space="0" w:color="D8B5D8" w:themeColor="accent6" w:themeTint="67"/>
          <w:bottom w:val="single" w:sz="4" w:space="0" w:color="D8B5D8" w:themeColor="accent6" w:themeTint="67"/>
          <w:right w:val="single" w:sz="4" w:space="0" w:color="D8B5D8" w:themeColor="accent6" w:themeTint="67"/>
        </w:tcBorders>
      </w:tcPr>
    </w:tblStyle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003F68" w:themeColor="accent1" w:themeShade="BF"/>
    </w:rPr>
  </w:style>
  <w:style w:type="paragraph" w:styleId="IntenseQuote">
    <w:name w:val="Intense Quote"/>
    <w:basedOn w:val="Normal"/>
    <w:next w:val="Normal"/>
    <w:link w:val="IntenseQuoteChar"/>
    <w:uiPriority w:val="30"/>
    <w:qFormat/>
    <w:pPr>
      <w:pBdr>
        <w:top w:val="single" w:sz="4" w:space="10" w:color="003F68" w:themeColor="accent1" w:themeShade="BF"/>
        <w:bottom w:val="single" w:sz="4" w:space="10" w:color="003F68" w:themeColor="accent1" w:themeShade="BF"/>
      </w:pBdr>
      <w:spacing w:before="360" w:after="360"/>
      <w:ind w:left="864" w:right="864"/>
      <w:jc w:val="center"/>
    </w:pPr>
    <w:rPr>
      <w:i/>
      <w:iCs/>
      <w:color w:val="003F68" w:themeColor="accent1" w:themeShade="BF"/>
    </w:rPr>
  </w:style>
  <w:style w:type="character" w:customStyle="1" w:styleId="IntenseQuoteChar">
    <w:name w:val="Intense Quote Char"/>
    <w:basedOn w:val="DefaultParagraphFont"/>
    <w:link w:val="IntenseQuote"/>
    <w:uiPriority w:val="30"/>
    <w:rPr>
      <w:i/>
      <w:iCs/>
      <w:color w:val="003F68" w:themeColor="accent1" w:themeShade="BF"/>
    </w:rPr>
  </w:style>
  <w:style w:type="character" w:styleId="IntenseReference">
    <w:name w:val="Intense Reference"/>
    <w:basedOn w:val="DefaultParagraphFont"/>
    <w:uiPriority w:val="32"/>
    <w:qFormat/>
    <w:rPr>
      <w:b/>
      <w:bCs/>
      <w:smallCaps/>
      <w:color w:val="003F68"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Header">
    <w:name w:val="header"/>
    <w:link w:val="HeaderChar"/>
    <w:pPr>
      <w:spacing w:after="0" w:line="240" w:lineRule="exact"/>
    </w:pPr>
    <w:rPr>
      <w:sz w:val="20"/>
      <w:lang w:val="en-GB"/>
    </w:rPr>
  </w:style>
  <w:style w:type="character" w:customStyle="1" w:styleId="HeaderChar">
    <w:name w:val="Header Char"/>
    <w:basedOn w:val="DefaultParagraphFont"/>
    <w:link w:val="Header"/>
    <w:rPr>
      <w:sz w:val="20"/>
      <w:lang w:val="en-GB"/>
    </w:rPr>
  </w:style>
  <w:style w:type="paragraph" w:styleId="Footer">
    <w:name w:val="footer"/>
    <w:link w:val="FooterChar"/>
    <w:pPr>
      <w:spacing w:after="0" w:line="240" w:lineRule="exact"/>
    </w:pPr>
    <w:rPr>
      <w:sz w:val="20"/>
      <w:lang w:val="en-GB"/>
    </w:rPr>
  </w:style>
  <w:style w:type="character" w:customStyle="1" w:styleId="FooterChar">
    <w:name w:val="Footer Char"/>
    <w:basedOn w:val="DefaultParagraphFont"/>
    <w:link w:val="Footer"/>
    <w:rPr>
      <w:sz w:val="20"/>
      <w:lang w:val="en-GB"/>
    </w:rPr>
  </w:style>
  <w:style w:type="paragraph" w:styleId="BalloonText">
    <w:name w:val="Balloon Text"/>
    <w:basedOn w:val="Normal"/>
    <w:link w:val="BalloonTextChar"/>
    <w:pPr>
      <w:spacing w:line="240" w:lineRule="auto"/>
    </w:pP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lang w:val="en-GB"/>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style>
  <w:style w:type="paragraph" w:customStyle="1" w:styleId="Documenttype">
    <w:name w:val="Document type"/>
    <w:basedOn w:val="Normal"/>
    <w:pPr>
      <w:spacing w:line="500" w:lineRule="exact"/>
      <w:ind w:left="907" w:right="907"/>
    </w:pPr>
    <w:rPr>
      <w:b/>
      <w:caps/>
      <w:color w:val="FFFFFF" w:themeColor="background1"/>
      <w:sz w:val="50"/>
      <w:szCs w:val="50"/>
    </w:rPr>
  </w:style>
  <w:style w:type="character" w:customStyle="1" w:styleId="Heading1Char">
    <w:name w:val="Heading 1 Char"/>
    <w:basedOn w:val="DefaultParagraphFont"/>
    <w:link w:val="Heading1"/>
    <w:rPr>
      <w:rFonts w:asciiTheme="majorHAnsi" w:eastAsiaTheme="majorEastAsia" w:hAnsiTheme="majorHAnsi" w:cstheme="majorBidi"/>
      <w:b/>
      <w:bCs/>
      <w:caps/>
      <w:color w:val="00558C"/>
      <w:sz w:val="28"/>
      <w:szCs w:val="24"/>
      <w:lang w:val="en-GB"/>
    </w:rPr>
  </w:style>
  <w:style w:type="character" w:customStyle="1" w:styleId="Heading2Char">
    <w:name w:val="Heading 2 Char"/>
    <w:basedOn w:val="DefaultParagraphFont"/>
    <w:link w:val="Heading2"/>
    <w:rPr>
      <w:rFonts w:asciiTheme="majorHAnsi" w:eastAsiaTheme="majorEastAsia" w:hAnsiTheme="majorHAnsi" w:cstheme="majorBidi"/>
      <w:b/>
      <w:caps/>
      <w:color w:val="00558C"/>
      <w:sz w:val="24"/>
      <w:szCs w:val="24"/>
      <w:lang w:val="en-GB"/>
    </w:rPr>
  </w:style>
  <w:style w:type="character" w:customStyle="1" w:styleId="Heading3Char">
    <w:name w:val="Heading 3 Char"/>
    <w:basedOn w:val="DefaultParagraphFont"/>
    <w:link w:val="Heading3"/>
    <w:rPr>
      <w:rFonts w:asciiTheme="majorHAnsi" w:eastAsiaTheme="majorEastAsia" w:hAnsiTheme="majorHAnsi" w:cstheme="majorBidi"/>
      <w:b/>
      <w:bCs/>
      <w:smallCaps/>
      <w:color w:val="00558C"/>
      <w:sz w:val="24"/>
      <w:szCs w:val="24"/>
      <w:lang w:val="en-GB"/>
    </w:rPr>
  </w:style>
  <w:style w:type="paragraph" w:styleId="List">
    <w:name w:val="List"/>
    <w:basedOn w:val="Normal"/>
    <w:uiPriority w:val="99"/>
    <w:unhideWhenUsed/>
    <w:pPr>
      <w:ind w:left="360" w:hanging="360"/>
      <w:contextualSpacing/>
    </w:pPr>
  </w:style>
  <w:style w:type="character" w:customStyle="1" w:styleId="Heading4Char">
    <w:name w:val="Heading 4 Char"/>
    <w:basedOn w:val="DefaultParagraphFont"/>
    <w:link w:val="Heading4"/>
    <w:rPr>
      <w:rFonts w:asciiTheme="majorHAnsi" w:eastAsiaTheme="majorEastAsia" w:hAnsiTheme="majorHAnsi" w:cstheme="majorBidi"/>
      <w:b/>
      <w:iCs/>
      <w:color w:val="00558C"/>
      <w:szCs w:val="24"/>
      <w:lang w:val="en-GB"/>
    </w:rPr>
  </w:style>
  <w:style w:type="character" w:customStyle="1" w:styleId="Heading5Char">
    <w:name w:val="Heading 5 Char"/>
    <w:basedOn w:val="DefaultParagraphFont"/>
    <w:link w:val="Heading5"/>
    <w:rPr>
      <w:rFonts w:asciiTheme="majorHAnsi" w:eastAsiaTheme="majorEastAsia" w:hAnsiTheme="majorHAnsi" w:cstheme="majorBidi"/>
      <w:iCs/>
      <w:color w:val="00558C"/>
      <w:szCs w:val="24"/>
      <w:lang w:val="en-GB"/>
    </w:rPr>
  </w:style>
  <w:style w:type="character" w:customStyle="1" w:styleId="Heading6Char">
    <w:name w:val="Heading 6 Char"/>
    <w:basedOn w:val="DefaultParagraphFont"/>
    <w:link w:val="Heading6"/>
    <w:rPr>
      <w:rFonts w:asciiTheme="majorHAnsi" w:eastAsiaTheme="majorEastAsia" w:hAnsiTheme="majorHAnsi" w:cstheme="majorBidi"/>
      <w:i/>
      <w:iCs/>
      <w:color w:val="002A45" w:themeColor="accent1" w:themeShade="7F"/>
      <w:lang w:val="en-GB"/>
    </w:rPr>
  </w:style>
  <w:style w:type="character" w:customStyle="1" w:styleId="Heading7Char">
    <w:name w:val="Heading 7 Char"/>
    <w:basedOn w:val="DefaultParagraphFont"/>
    <w:link w:val="Heading7"/>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rPr>
      <w:rFonts w:asciiTheme="majorHAnsi" w:eastAsiaTheme="majorEastAsia" w:hAnsiTheme="majorHAnsi" w:cstheme="majorBidi"/>
      <w:i/>
      <w:iCs/>
      <w:color w:val="404040" w:themeColor="text1" w:themeTint="BF"/>
      <w:sz w:val="20"/>
      <w:szCs w:val="20"/>
      <w:lang w:val="en-GB"/>
    </w:rPr>
  </w:style>
  <w:style w:type="paragraph" w:customStyle="1" w:styleId="Bullet1">
    <w:name w:val="Bullet 1"/>
    <w:basedOn w:val="Normal"/>
    <w:qFormat/>
    <w:pPr>
      <w:numPr>
        <w:numId w:val="6"/>
      </w:numPr>
    </w:pPr>
    <w:rPr>
      <w:color w:val="000000" w:themeColor="text1"/>
    </w:rPr>
  </w:style>
  <w:style w:type="paragraph" w:customStyle="1" w:styleId="Bullet2">
    <w:name w:val="Bullet 2"/>
    <w:basedOn w:val="Normal"/>
    <w:link w:val="Bullet2Char"/>
    <w:qFormat/>
    <w:pPr>
      <w:numPr>
        <w:numId w:val="7"/>
      </w:numPr>
    </w:pPr>
    <w:rPr>
      <w:color w:val="000000" w:themeColor="text1"/>
    </w:rPr>
  </w:style>
  <w:style w:type="paragraph" w:customStyle="1" w:styleId="Heading1separationline">
    <w:name w:val="Heading 1 separation line"/>
    <w:basedOn w:val="Normal"/>
    <w:next w:val="BodyText"/>
    <w:pPr>
      <w:pBdr>
        <w:bottom w:val="single" w:sz="8" w:space="1" w:color="00558C" w:themeColor="accent1"/>
      </w:pBdr>
      <w:spacing w:line="90" w:lineRule="exact"/>
      <w:ind w:right="8789"/>
    </w:pPr>
    <w:rPr>
      <w:color w:val="000000" w:themeColor="text1"/>
    </w:rPr>
  </w:style>
  <w:style w:type="paragraph" w:customStyle="1" w:styleId="Heading2separationline">
    <w:name w:val="Heading 2 separation line"/>
    <w:basedOn w:val="Normal"/>
    <w:next w:val="BodyText"/>
    <w:pPr>
      <w:pBdr>
        <w:bottom w:val="single" w:sz="4" w:space="1" w:color="575756"/>
      </w:pBdr>
      <w:spacing w:after="60" w:line="110" w:lineRule="exact"/>
      <w:ind w:right="8787"/>
    </w:pPr>
    <w:rPr>
      <w:color w:val="000000" w:themeColor="text1"/>
    </w:rPr>
  </w:style>
  <w:style w:type="paragraph" w:customStyle="1" w:styleId="PageNumber1">
    <w:name w:val="Page Number1"/>
    <w:basedOn w:val="Normal"/>
    <w:pPr>
      <w:spacing w:line="180" w:lineRule="exact"/>
      <w:jc w:val="right"/>
    </w:pPr>
    <w:rPr>
      <w:color w:val="00558C" w:themeColor="accent1"/>
    </w:rPr>
  </w:style>
  <w:style w:type="paragraph" w:customStyle="1" w:styleId="Editionnumber">
    <w:name w:val="Edition number"/>
    <w:basedOn w:val="Normal"/>
    <w:rPr>
      <w:b/>
      <w:color w:val="00558C" w:themeColor="accent1"/>
      <w:sz w:val="50"/>
      <w:szCs w:val="50"/>
    </w:rPr>
  </w:style>
  <w:style w:type="paragraph" w:customStyle="1" w:styleId="Editionnumber-footer">
    <w:name w:val="Edition number - footer"/>
    <w:basedOn w:val="Footer"/>
    <w:next w:val="NoSpacing"/>
    <w:pPr>
      <w:framePr w:hSpace="142" w:wrap="around" w:hAnchor="margin" w:xAlign="center" w:yAlign="bottom"/>
      <w:spacing w:before="40" w:line="180" w:lineRule="exact"/>
    </w:pPr>
    <w:rPr>
      <w:b/>
      <w:color w:val="00558C" w:themeColor="accent1"/>
      <w:sz w:val="15"/>
      <w:szCs w:val="15"/>
    </w:rPr>
  </w:style>
  <w:style w:type="paragraph" w:customStyle="1" w:styleId="Contents">
    <w:name w:val="Contents"/>
    <w:basedOn w:val="Header"/>
    <w:pPr>
      <w:pBdr>
        <w:bottom w:val="single" w:sz="8" w:space="12" w:color="00558C" w:themeColor="accent1"/>
      </w:pBdr>
      <w:spacing w:before="100" w:line="560" w:lineRule="exact"/>
    </w:pPr>
    <w:rPr>
      <w:b/>
      <w:caps/>
      <w:color w:val="009FE3" w:themeColor="accent2"/>
      <w:sz w:val="56"/>
      <w:szCs w:val="56"/>
    </w:rPr>
  </w:style>
  <w:style w:type="paragraph" w:styleId="TOC1">
    <w:name w:val="toc 1"/>
    <w:basedOn w:val="Normal"/>
    <w:next w:val="Normal"/>
    <w:uiPriority w:val="39"/>
    <w:pPr>
      <w:tabs>
        <w:tab w:val="right" w:leader="dot" w:pos="9781"/>
      </w:tabs>
      <w:spacing w:after="40" w:line="300" w:lineRule="atLeast"/>
      <w:ind w:left="425" w:right="425" w:hanging="425"/>
    </w:pPr>
    <w:rPr>
      <w:b/>
      <w:caps/>
      <w:color w:val="00558C" w:themeColor="accent1"/>
    </w:rPr>
  </w:style>
  <w:style w:type="paragraph" w:styleId="TOC2">
    <w:name w:val="toc 2"/>
    <w:basedOn w:val="Normal"/>
    <w:next w:val="Normal"/>
    <w:uiPriority w:val="39"/>
    <w:pPr>
      <w:tabs>
        <w:tab w:val="right" w:leader="dot" w:pos="9781"/>
      </w:tabs>
      <w:spacing w:after="40" w:line="300" w:lineRule="atLeast"/>
      <w:ind w:left="709" w:right="425" w:hanging="709"/>
    </w:pPr>
    <w:rPr>
      <w:color w:val="00558C" w:themeColor="accent1"/>
    </w:rPr>
  </w:style>
  <w:style w:type="character" w:styleId="Hyperlink">
    <w:name w:val="Hyperlink"/>
    <w:basedOn w:val="DefaultParagraphFont"/>
    <w:uiPriority w:val="99"/>
    <w:unhideWhenUsed/>
    <w:qFormat/>
    <w:rPr>
      <w:color w:val="00558C" w:themeColor="accent1"/>
      <w:u w:val="single"/>
    </w:rPr>
  </w:style>
  <w:style w:type="paragraph" w:styleId="ListNumber3">
    <w:name w:val="List Number 3"/>
    <w:basedOn w:val="Normal"/>
    <w:uiPriority w:val="99"/>
    <w:unhideWhenUsed/>
    <w:pPr>
      <w:contextualSpacing/>
    </w:pPr>
  </w:style>
  <w:style w:type="paragraph" w:styleId="TableofFigures">
    <w:name w:val="table of figures"/>
    <w:basedOn w:val="Normal"/>
    <w:next w:val="Normal"/>
    <w:uiPriority w:val="99"/>
    <w:pPr>
      <w:tabs>
        <w:tab w:val="right" w:leader="dot" w:pos="9781"/>
      </w:tabs>
      <w:spacing w:after="60"/>
      <w:ind w:left="1276" w:right="425" w:hanging="1276"/>
    </w:pPr>
    <w:rPr>
      <w:i/>
      <w:color w:val="00558C"/>
    </w:rPr>
  </w:style>
  <w:style w:type="paragraph" w:customStyle="1" w:styleId="Tabletext">
    <w:name w:val="Table text"/>
    <w:basedOn w:val="Normal"/>
    <w:qFormat/>
    <w:pPr>
      <w:spacing w:before="60" w:after="60"/>
      <w:ind w:left="113" w:right="113"/>
    </w:pPr>
    <w:rPr>
      <w:color w:val="000000" w:themeColor="text1"/>
      <w:sz w:val="20"/>
    </w:rPr>
  </w:style>
  <w:style w:type="paragraph" w:customStyle="1" w:styleId="Doicumentrevisiontabletitle">
    <w:name w:val="Doicument revision table title"/>
    <w:basedOn w:val="Tabletext"/>
    <w:rPr>
      <w:b/>
      <w:color w:val="00558C"/>
    </w:r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575756"/>
          <w:left w:val="single" w:sz="8" w:space="0" w:color="575756"/>
          <w:bottom w:val="single" w:sz="8" w:space="0" w:color="575756"/>
          <w:right w:val="single" w:sz="8" w:space="0" w:color="575756"/>
        </w:tcBorders>
        <w:shd w:val="clear" w:color="auto" w:fill="009FE3" w:themeFill="accent2"/>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top w:val="single" w:sz="8" w:space="0" w:color="575756"/>
          <w:left w:val="single" w:sz="8" w:space="0" w:color="575756"/>
          <w:bottom w:val="single" w:sz="8" w:space="0" w:color="575756"/>
          <w:right w:val="single" w:sz="8" w:space="0" w:color="575756"/>
        </w:tcBorders>
      </w:tcPr>
    </w:tblStylePr>
    <w:tblStylePr w:type="band2Horz">
      <w:tblPr/>
      <w:tcPr>
        <w:tcBorders>
          <w:top w:val="single" w:sz="8" w:space="0" w:color="575756"/>
          <w:left w:val="single" w:sz="8" w:space="0" w:color="575756"/>
          <w:bottom w:val="single" w:sz="8" w:space="0" w:color="575756"/>
          <w:right w:val="single" w:sz="8" w:space="0" w:color="575756"/>
        </w:tcBorders>
        <w:shd w:val="clear" w:color="auto" w:fill="C6EDFF" w:themeFill="accent2" w:themeFillTint="33"/>
      </w:tcPr>
    </w:tblStylePr>
  </w:style>
  <w:style w:type="paragraph" w:styleId="Caption">
    <w:name w:val="caption"/>
    <w:basedOn w:val="Normal"/>
    <w:next w:val="Normal"/>
    <w:uiPriority w:val="35"/>
    <w:rPr>
      <w:b/>
      <w:bCs/>
      <w:i/>
      <w:color w:val="575756"/>
      <w:u w:val="single"/>
    </w:rPr>
  </w:style>
  <w:style w:type="paragraph" w:styleId="TOC3">
    <w:name w:val="toc 3"/>
    <w:basedOn w:val="Normal"/>
    <w:next w:val="Normal"/>
    <w:uiPriority w:val="39"/>
    <w:unhideWhenUsed/>
    <w:pPr>
      <w:tabs>
        <w:tab w:val="right" w:leader="dot" w:pos="9781"/>
      </w:tabs>
      <w:spacing w:after="60"/>
      <w:ind w:left="1134" w:hanging="709"/>
    </w:pPr>
    <w:rPr>
      <w:color w:val="00558C"/>
    </w:rPr>
  </w:style>
  <w:style w:type="paragraph" w:customStyle="1" w:styleId="Listatext">
    <w:name w:val="List a text"/>
    <w:basedOn w:val="Normal"/>
    <w:qFormat/>
    <w:pPr>
      <w:ind w:left="1134"/>
    </w:pPr>
  </w:style>
  <w:style w:type="character" w:customStyle="1" w:styleId="Bullet2Char">
    <w:name w:val="Bullet 2 Char"/>
    <w:basedOn w:val="DefaultParagraphFont"/>
    <w:link w:val="Bullet2"/>
    <w:rPr>
      <w:color w:val="000000" w:themeColor="text1"/>
      <w:lang w:val="en-GB"/>
    </w:rPr>
  </w:style>
  <w:style w:type="paragraph" w:customStyle="1" w:styleId="AppendixHead2">
    <w:name w:val="Appendix Head 2"/>
    <w:basedOn w:val="Appendix"/>
    <w:next w:val="Heading2separationline"/>
    <w:qFormat/>
    <w:pPr>
      <w:numPr>
        <w:ilvl w:val="2"/>
      </w:numPr>
      <w:spacing w:after="120"/>
    </w:pPr>
    <w:rPr>
      <w:rFonts w:cs="Arial"/>
      <w:sz w:val="24"/>
      <w:lang w:eastAsia="en-GB"/>
    </w:rPr>
  </w:style>
  <w:style w:type="paragraph" w:customStyle="1" w:styleId="AppendixHead3">
    <w:name w:val="Appendix Head 3"/>
    <w:basedOn w:val="Normal"/>
    <w:next w:val="BodyText"/>
    <w:qFormat/>
    <w:pPr>
      <w:numPr>
        <w:ilvl w:val="3"/>
        <w:numId w:val="4"/>
      </w:numPr>
      <w:spacing w:before="120" w:line="240" w:lineRule="auto"/>
    </w:pPr>
    <w:rPr>
      <w:rFonts w:eastAsia="Calibri" w:cs="Arial"/>
      <w:b/>
      <w:smallCaps/>
      <w:color w:val="00558C"/>
      <w:sz w:val="24"/>
      <w:lang w:eastAsia="en-GB"/>
    </w:rPr>
  </w:style>
  <w:style w:type="paragraph" w:customStyle="1" w:styleId="AppendixHead4">
    <w:name w:val="Appendix Head 4"/>
    <w:basedOn w:val="AppendixHead3"/>
    <w:next w:val="BodyText"/>
    <w:qFormat/>
    <w:pPr>
      <w:numPr>
        <w:ilvl w:val="4"/>
      </w:numPr>
    </w:pPr>
    <w:rPr>
      <w:smallCaps w:val="0"/>
      <w:sz w:val="22"/>
    </w:rPr>
  </w:style>
  <w:style w:type="paragraph" w:customStyle="1" w:styleId="AppendixHead5">
    <w:name w:val="Appendix Head 5"/>
    <w:basedOn w:val="AppendixHead4"/>
    <w:next w:val="BodyText"/>
    <w:qFormat/>
    <w:pPr>
      <w:ind w:left="1701" w:hanging="1701"/>
    </w:pPr>
    <w:rPr>
      <w:b w:val="0"/>
    </w:rPr>
  </w:style>
  <w:style w:type="paragraph" w:customStyle="1" w:styleId="Annex">
    <w:name w:val="Annex"/>
    <w:next w:val="BodyText"/>
    <w:link w:val="AnnexChar"/>
    <w:qFormat/>
    <w:pPr>
      <w:numPr>
        <w:numId w:val="2"/>
      </w:numPr>
      <w:spacing w:after="360"/>
    </w:pPr>
    <w:rPr>
      <w:b/>
      <w:caps/>
      <w:color w:val="00558C"/>
      <w:sz w:val="28"/>
      <w:lang w:val="en-GB"/>
    </w:rPr>
  </w:style>
  <w:style w:type="character" w:customStyle="1" w:styleId="AnnexChar">
    <w:name w:val="Annex Char"/>
    <w:basedOn w:val="DefaultParagraphFont"/>
    <w:link w:val="Annex"/>
    <w:rPr>
      <w:b/>
      <w:caps/>
      <w:color w:val="00558C"/>
      <w:sz w:val="28"/>
      <w:lang w:val="en-GB"/>
    </w:rPr>
  </w:style>
  <w:style w:type="paragraph" w:customStyle="1" w:styleId="AnnexHead2">
    <w:name w:val="Annex Head 2"/>
    <w:basedOn w:val="Annex"/>
    <w:next w:val="Heading1separationline"/>
    <w:qFormat/>
    <w:pPr>
      <w:numPr>
        <w:ilvl w:val="1"/>
      </w:numPr>
      <w:spacing w:before="120" w:after="120" w:line="240" w:lineRule="auto"/>
    </w:pPr>
    <w:rPr>
      <w:rFonts w:eastAsia="Calibri" w:cs="Calibri"/>
      <w:bCs/>
      <w:sz w:val="24"/>
      <w:lang w:eastAsia="en-GB"/>
    </w:rPr>
  </w:style>
  <w:style w:type="paragraph" w:customStyle="1" w:styleId="AnnexHead3">
    <w:name w:val="Annex Head 3"/>
    <w:basedOn w:val="AnnexHead2"/>
    <w:next w:val="Heading2separationline"/>
    <w:qFormat/>
    <w:pPr>
      <w:numPr>
        <w:ilvl w:val="2"/>
      </w:numPr>
    </w:pPr>
    <w:rPr>
      <w:caps w:val="0"/>
      <w:smallCaps/>
    </w:rPr>
  </w:style>
  <w:style w:type="paragraph" w:styleId="BodyText">
    <w:name w:val="Body Text"/>
    <w:basedOn w:val="Normal"/>
    <w:link w:val="BodyTextChar"/>
    <w:unhideWhenUsed/>
    <w:qFormat/>
    <w:pPr>
      <w:jc w:val="both"/>
    </w:pPr>
  </w:style>
  <w:style w:type="character" w:customStyle="1" w:styleId="BodyTextChar">
    <w:name w:val="Body Text Char"/>
    <w:basedOn w:val="DefaultParagraphFont"/>
    <w:link w:val="BodyText"/>
    <w:rPr>
      <w:lang w:val="en-GB"/>
    </w:rPr>
  </w:style>
  <w:style w:type="paragraph" w:customStyle="1" w:styleId="AnnexHead4">
    <w:name w:val="Annex Head 4"/>
    <w:basedOn w:val="AnnexHead3"/>
    <w:next w:val="BodyText"/>
    <w:qFormat/>
    <w:pPr>
      <w:numPr>
        <w:ilvl w:val="3"/>
      </w:numPr>
    </w:pPr>
    <w:rPr>
      <w:smallCaps w:val="0"/>
      <w:sz w:val="22"/>
    </w:rPr>
  </w:style>
  <w:style w:type="paragraph" w:customStyle="1" w:styleId="AnnexHead5">
    <w:name w:val="Annex Head 5"/>
    <w:basedOn w:val="Normal"/>
    <w:next w:val="BodyText"/>
    <w:qFormat/>
    <w:pPr>
      <w:numPr>
        <w:ilvl w:val="4"/>
        <w:numId w:val="2"/>
      </w:numPr>
      <w:spacing w:before="120" w:line="240" w:lineRule="auto"/>
    </w:pPr>
    <w:rPr>
      <w:rFonts w:eastAsia="Calibri" w:cs="Calibri"/>
      <w:color w:val="00558C"/>
      <w:lang w:eastAsia="en-GB"/>
    </w:rPr>
  </w:style>
  <w:style w:type="character" w:styleId="CommentReference">
    <w:name w:val="annotation reference"/>
    <w:basedOn w:val="DefaultParagraphFont"/>
    <w:unhideWhenUsed/>
    <w:rPr>
      <w:sz w:val="18"/>
      <w:szCs w:val="18"/>
      <w:lang w:val="en-GB"/>
    </w:rPr>
  </w:style>
  <w:style w:type="paragraph" w:styleId="CommentText">
    <w:name w:val="annotation text"/>
    <w:basedOn w:val="Normal"/>
    <w:link w:val="CommentTextChar"/>
    <w:unhideWhenUsed/>
    <w:pPr>
      <w:spacing w:line="240" w:lineRule="auto"/>
    </w:pPr>
    <w:rPr>
      <w:sz w:val="24"/>
      <w:szCs w:val="24"/>
    </w:rPr>
  </w:style>
  <w:style w:type="character" w:customStyle="1" w:styleId="CommentTextChar">
    <w:name w:val="Comment Text Char"/>
    <w:basedOn w:val="DefaultParagraphFont"/>
    <w:link w:val="CommentText"/>
    <w:rPr>
      <w:sz w:val="24"/>
      <w:szCs w:val="24"/>
      <w:lang w:val="en-GB"/>
    </w:rPr>
  </w:style>
  <w:style w:type="paragraph" w:styleId="CommentSubject">
    <w:name w:val="annotation subject"/>
    <w:basedOn w:val="CommentText"/>
    <w:next w:val="CommentText"/>
    <w:link w:val="CommentSubjectChar"/>
    <w:unhideWhenUsed/>
    <w:rPr>
      <w:b/>
      <w:bCs/>
      <w:sz w:val="20"/>
      <w:szCs w:val="20"/>
    </w:rPr>
  </w:style>
  <w:style w:type="character" w:customStyle="1" w:styleId="CommentSubjectChar">
    <w:name w:val="Comment Subject Char"/>
    <w:basedOn w:val="CommentTextChar"/>
    <w:link w:val="CommentSubject"/>
    <w:rPr>
      <w:b/>
      <w:bCs/>
      <w:sz w:val="20"/>
      <w:szCs w:val="20"/>
      <w:lang w:val="en-GB"/>
    </w:rPr>
  </w:style>
  <w:style w:type="paragraph" w:styleId="BodyTextIndent3">
    <w:name w:val="Body Text Indent 3"/>
    <w:basedOn w:val="Normal"/>
    <w:link w:val="BodyTextIndent3Char"/>
    <w:semiHidden/>
    <w:unhideWhenUsed/>
    <w:pPr>
      <w:ind w:left="360"/>
    </w:pPr>
    <w:rPr>
      <w:sz w:val="16"/>
      <w:szCs w:val="16"/>
    </w:rPr>
  </w:style>
  <w:style w:type="character" w:customStyle="1" w:styleId="BodyTextIndent3Char">
    <w:name w:val="Body Text Indent 3 Char"/>
    <w:basedOn w:val="DefaultParagraphFont"/>
    <w:link w:val="BodyTextIndent3"/>
    <w:semiHidden/>
    <w:rPr>
      <w:sz w:val="16"/>
      <w:szCs w:val="16"/>
      <w:lang w:val="en-GB"/>
    </w:rPr>
  </w:style>
  <w:style w:type="paragraph" w:customStyle="1" w:styleId="InsetList">
    <w:name w:val="Inset List"/>
    <w:basedOn w:val="Normal"/>
    <w:qFormat/>
    <w:pPr>
      <w:numPr>
        <w:numId w:val="13"/>
      </w:numPr>
      <w:jc w:val="both"/>
    </w:pPr>
  </w:style>
  <w:style w:type="paragraph" w:customStyle="1" w:styleId="ListofFigures">
    <w:name w:val="List of Figures"/>
    <w:basedOn w:val="Normal"/>
    <w:next w:val="Normal"/>
    <w:pPr>
      <w:spacing w:after="240" w:line="480" w:lineRule="atLeast"/>
    </w:pPr>
    <w:rPr>
      <w:b/>
      <w:color w:val="009FE3" w:themeColor="accent2"/>
      <w:sz w:val="40"/>
      <w:szCs w:val="40"/>
    </w:rPr>
  </w:style>
  <w:style w:type="paragraph" w:customStyle="1" w:styleId="Tablecaption0">
    <w:name w:val="Table caption"/>
    <w:basedOn w:val="Caption"/>
    <w:next w:val="BodyText"/>
    <w:qFormat/>
    <w:pPr>
      <w:tabs>
        <w:tab w:val="left" w:pos="851"/>
      </w:tabs>
      <w:spacing w:before="240" w:after="240"/>
      <w:jc w:val="center"/>
    </w:pPr>
    <w:rPr>
      <w:b w:val="0"/>
      <w:u w:val="none"/>
    </w:rPr>
  </w:style>
  <w:style w:type="paragraph" w:styleId="ListNumber">
    <w:name w:val="List Number"/>
    <w:basedOn w:val="Normal"/>
    <w:semiHidden/>
    <w:pPr>
      <w:numPr>
        <w:numId w:val="16"/>
      </w:numPr>
      <w:contextualSpacing/>
    </w:pPr>
  </w:style>
  <w:style w:type="paragraph" w:styleId="TOC4">
    <w:name w:val="toc 4"/>
    <w:basedOn w:val="Normal"/>
    <w:next w:val="Normal"/>
    <w:uiPriority w:val="39"/>
    <w:unhideWhenUsed/>
    <w:pPr>
      <w:tabs>
        <w:tab w:val="right" w:leader="dot" w:pos="9781"/>
        <w:tab w:val="right" w:leader="dot" w:pos="10195"/>
      </w:tabs>
      <w:ind w:left="1418" w:right="425" w:hanging="1418"/>
    </w:pPr>
    <w:rPr>
      <w:b/>
      <w:caps/>
      <w:color w:val="00558C"/>
    </w:rPr>
  </w:style>
  <w:style w:type="paragraph" w:styleId="FootnoteText">
    <w:name w:val="footnote text"/>
    <w:basedOn w:val="Normal"/>
    <w:link w:val="FootnoteTextChar"/>
    <w:uiPriority w:val="9"/>
    <w:unhideWhenUsed/>
    <w:qFormat/>
    <w:pPr>
      <w:tabs>
        <w:tab w:val="left" w:pos="425"/>
      </w:tabs>
      <w:spacing w:line="240" w:lineRule="auto"/>
      <w:ind w:left="425" w:hanging="425"/>
    </w:pPr>
    <w:rPr>
      <w:szCs w:val="24"/>
      <w:vertAlign w:val="superscript"/>
    </w:rPr>
  </w:style>
  <w:style w:type="character" w:customStyle="1" w:styleId="FootnoteTextChar">
    <w:name w:val="Footnote Text Char"/>
    <w:basedOn w:val="DefaultParagraphFont"/>
    <w:link w:val="FootnoteText"/>
    <w:uiPriority w:val="9"/>
    <w:rPr>
      <w:szCs w:val="24"/>
      <w:vertAlign w:val="superscript"/>
      <w:lang w:val="en-GB"/>
    </w:rPr>
  </w:style>
  <w:style w:type="character" w:styleId="FootnoteReference">
    <w:name w:val="footnote reference"/>
    <w:rPr>
      <w:rFonts w:asciiTheme="minorHAnsi" w:hAnsiTheme="minorHAnsi"/>
      <w:sz w:val="20"/>
      <w:vertAlign w:val="superscript"/>
    </w:rPr>
  </w:style>
  <w:style w:type="character" w:styleId="PageNumber">
    <w:name w:val="page number"/>
    <w:rPr>
      <w:rFonts w:asciiTheme="minorHAnsi" w:hAnsiTheme="minorHAnsi"/>
      <w:sz w:val="15"/>
    </w:rPr>
  </w:style>
  <w:style w:type="paragraph" w:customStyle="1" w:styleId="Footereditionno">
    <w:name w:val="Footer edition no."/>
    <w:basedOn w:val="Normal"/>
    <w:pPr>
      <w:tabs>
        <w:tab w:val="right" w:pos="10206"/>
      </w:tabs>
    </w:pPr>
    <w:rPr>
      <w:b/>
      <w:color w:val="00558C"/>
      <w:sz w:val="15"/>
    </w:rPr>
  </w:style>
  <w:style w:type="paragraph" w:customStyle="1" w:styleId="Lista">
    <w:name w:val="List a"/>
    <w:basedOn w:val="Normal"/>
    <w:qFormat/>
    <w:pPr>
      <w:numPr>
        <w:ilvl w:val="1"/>
        <w:numId w:val="15"/>
      </w:numPr>
      <w:spacing w:line="240" w:lineRule="auto"/>
      <w:jc w:val="both"/>
    </w:pPr>
    <w:rPr>
      <w:rFonts w:eastAsia="Times New Roman" w:cs="Times New Roman"/>
      <w:szCs w:val="20"/>
      <w:lang w:eastAsia="en-GB"/>
    </w:rPr>
  </w:style>
  <w:style w:type="numbering" w:styleId="ArticleSection">
    <w:name w:val="Outline List 3"/>
    <w:basedOn w:val="NoList"/>
    <w:pPr>
      <w:numPr>
        <w:numId w:val="5"/>
      </w:numPr>
    </w:pPr>
  </w:style>
  <w:style w:type="paragraph" w:styleId="TOC5">
    <w:name w:val="toc 5"/>
    <w:basedOn w:val="Normal"/>
    <w:next w:val="Normal"/>
    <w:uiPriority w:val="39"/>
    <w:pPr>
      <w:tabs>
        <w:tab w:val="right" w:leader="dot" w:pos="9781"/>
        <w:tab w:val="right" w:leader="dot" w:pos="10206"/>
      </w:tabs>
      <w:spacing w:before="60" w:after="60" w:line="240" w:lineRule="auto"/>
      <w:ind w:left="1418" w:right="425" w:hanging="1418"/>
    </w:pPr>
    <w:rPr>
      <w:rFonts w:eastAsia="Times New Roman" w:cs="Times New Roman"/>
      <w:b/>
      <w:caps/>
      <w:color w:val="00558C"/>
      <w:szCs w:val="20"/>
    </w:rPr>
  </w:style>
  <w:style w:type="paragraph" w:styleId="TOC6">
    <w:name w:val="toc 6"/>
    <w:basedOn w:val="Normal"/>
    <w:next w:val="Normal"/>
    <w:pPr>
      <w:spacing w:line="240" w:lineRule="auto"/>
      <w:ind w:left="960"/>
    </w:pPr>
    <w:rPr>
      <w:rFonts w:ascii="Arial" w:eastAsia="Times New Roman" w:hAnsi="Arial" w:cs="Times New Roman"/>
      <w:sz w:val="20"/>
      <w:szCs w:val="20"/>
    </w:rPr>
  </w:style>
  <w:style w:type="paragraph" w:styleId="TOC7">
    <w:name w:val="toc 7"/>
    <w:basedOn w:val="Normal"/>
    <w:next w:val="Normal"/>
    <w:pPr>
      <w:spacing w:line="240" w:lineRule="auto"/>
      <w:ind w:left="1200"/>
    </w:pPr>
    <w:rPr>
      <w:rFonts w:ascii="Arial" w:eastAsia="Times New Roman" w:hAnsi="Arial" w:cs="Times New Roman"/>
      <w:sz w:val="20"/>
      <w:szCs w:val="20"/>
    </w:rPr>
  </w:style>
  <w:style w:type="paragraph" w:styleId="TOC8">
    <w:name w:val="toc 8"/>
    <w:basedOn w:val="Normal"/>
    <w:next w:val="Normal"/>
    <w:pPr>
      <w:spacing w:line="240" w:lineRule="auto"/>
      <w:ind w:left="1440"/>
    </w:pPr>
    <w:rPr>
      <w:rFonts w:ascii="Arial" w:eastAsia="Times New Roman" w:hAnsi="Arial" w:cs="Times New Roman"/>
      <w:sz w:val="20"/>
      <w:szCs w:val="20"/>
    </w:rPr>
  </w:style>
  <w:style w:type="paragraph" w:styleId="TOC9">
    <w:name w:val="toc 9"/>
    <w:basedOn w:val="Normal"/>
    <w:next w:val="Normal"/>
    <w:pPr>
      <w:spacing w:line="240" w:lineRule="auto"/>
      <w:ind w:left="1680"/>
    </w:pPr>
    <w:rPr>
      <w:rFonts w:ascii="Arial" w:eastAsia="Times New Roman" w:hAnsi="Arial" w:cs="Times New Roman"/>
      <w:sz w:val="20"/>
      <w:szCs w:val="20"/>
    </w:rPr>
  </w:style>
  <w:style w:type="paragraph" w:customStyle="1" w:styleId="Listi">
    <w:name w:val="List i"/>
    <w:basedOn w:val="Listitext"/>
    <w:qFormat/>
    <w:pPr>
      <w:numPr>
        <w:ilvl w:val="2"/>
        <w:numId w:val="15"/>
      </w:numPr>
    </w:pPr>
  </w:style>
  <w:style w:type="paragraph" w:customStyle="1" w:styleId="Listitext">
    <w:name w:val="List i text"/>
    <w:basedOn w:val="Normal"/>
    <w:qFormat/>
    <w:pPr>
      <w:ind w:left="2268" w:hanging="567"/>
    </w:pPr>
    <w:rPr>
      <w:sz w:val="20"/>
    </w:rPr>
  </w:style>
  <w:style w:type="paragraph" w:customStyle="1" w:styleId="Bullet1text">
    <w:name w:val="Bullet 1 text"/>
    <w:basedOn w:val="Normal"/>
    <w:qFormat/>
    <w:pPr>
      <w:spacing w:line="240" w:lineRule="auto"/>
      <w:ind w:left="992"/>
      <w:jc w:val="both"/>
    </w:pPr>
    <w:rPr>
      <w:rFonts w:eastAsia="Times New Roman" w:cs="Times New Roman"/>
      <w:szCs w:val="20"/>
      <w:lang w:eastAsia="en-GB"/>
    </w:rPr>
  </w:style>
  <w:style w:type="paragraph" w:customStyle="1" w:styleId="Bullet2text">
    <w:name w:val="Bullet 2 text"/>
    <w:basedOn w:val="Normal"/>
    <w:qFormat/>
    <w:pPr>
      <w:spacing w:line="240" w:lineRule="auto"/>
      <w:ind w:left="1701" w:hanging="425"/>
      <w:jc w:val="both"/>
    </w:pPr>
    <w:rPr>
      <w:rFonts w:eastAsia="Times New Roman" w:cs="Times New Roman"/>
      <w:szCs w:val="20"/>
      <w:lang w:eastAsia="en-GB"/>
    </w:rPr>
  </w:style>
  <w:style w:type="paragraph" w:customStyle="1" w:styleId="Bullet3">
    <w:name w:val="Bullet 3"/>
    <w:basedOn w:val="Normal"/>
    <w:qFormat/>
    <w:pPr>
      <w:numPr>
        <w:numId w:val="8"/>
      </w:numPr>
      <w:spacing w:line="240" w:lineRule="auto"/>
    </w:pPr>
    <w:rPr>
      <w:rFonts w:eastAsia="Times New Roman" w:cs="Times New Roman"/>
      <w:sz w:val="20"/>
      <w:szCs w:val="20"/>
      <w:lang w:eastAsia="en-GB"/>
    </w:rPr>
  </w:style>
  <w:style w:type="paragraph" w:customStyle="1" w:styleId="Bullet3text">
    <w:name w:val="Bullet 3 text"/>
    <w:basedOn w:val="Normal"/>
    <w:qFormat/>
    <w:pPr>
      <w:spacing w:line="240" w:lineRule="auto"/>
      <w:ind w:left="1701"/>
    </w:pPr>
    <w:rPr>
      <w:rFonts w:eastAsia="Times New Roman" w:cs="Times New Roman"/>
      <w:sz w:val="20"/>
      <w:szCs w:val="20"/>
      <w:lang w:eastAsia="en-GB"/>
    </w:rPr>
  </w:style>
  <w:style w:type="paragraph" w:customStyle="1" w:styleId="List1">
    <w:name w:val="List 1"/>
    <w:basedOn w:val="Normal"/>
    <w:qFormat/>
    <w:pPr>
      <w:numPr>
        <w:numId w:val="14"/>
      </w:numPr>
      <w:spacing w:line="240" w:lineRule="auto"/>
      <w:jc w:val="both"/>
    </w:pPr>
    <w:rPr>
      <w:rFonts w:eastAsia="Times New Roman" w:cs="Times New Roman"/>
      <w:szCs w:val="20"/>
      <w:lang w:eastAsia="en-GB"/>
    </w:rPr>
  </w:style>
  <w:style w:type="paragraph" w:customStyle="1" w:styleId="List1text">
    <w:name w:val="List 1 text"/>
    <w:basedOn w:val="Normal"/>
    <w:qFormat/>
    <w:pPr>
      <w:spacing w:line="240" w:lineRule="auto"/>
      <w:ind w:left="567"/>
      <w:jc w:val="both"/>
    </w:pPr>
    <w:rPr>
      <w:rFonts w:eastAsia="Times New Roman" w:cs="Times New Roman"/>
      <w:szCs w:val="20"/>
      <w:lang w:eastAsia="en-GB"/>
    </w:rPr>
  </w:style>
  <w:style w:type="paragraph" w:styleId="DocumentMap">
    <w:name w:val="Document Map"/>
    <w:basedOn w:val="Normal"/>
    <w:link w:val="DocumentMapChar"/>
    <w:pPr>
      <w:shd w:val="clear" w:color="auto" w:fill="000080"/>
      <w:spacing w:line="240" w:lineRule="auto"/>
    </w:pPr>
    <w:rPr>
      <w:rFonts w:ascii="Tahoma" w:eastAsia="Times New Roman" w:hAnsi="Tahoma" w:cs="Times New Roman"/>
      <w:sz w:val="20"/>
      <w:szCs w:val="24"/>
      <w:lang w:val="de-DE" w:eastAsia="de-DE"/>
    </w:rPr>
  </w:style>
  <w:style w:type="character" w:customStyle="1" w:styleId="DocumentMapChar">
    <w:name w:val="Document Map Char"/>
    <w:basedOn w:val="DefaultParagraphFont"/>
    <w:link w:val="DocumentMap"/>
    <w:rPr>
      <w:rFonts w:ascii="Tahoma" w:eastAsia="Times New Roman" w:hAnsi="Tahoma" w:cs="Times New Roman"/>
      <w:sz w:val="20"/>
      <w:szCs w:val="24"/>
      <w:shd w:val="clear" w:color="auto" w:fill="000080"/>
      <w:lang w:val="de-DE" w:eastAsia="de-DE"/>
    </w:rPr>
  </w:style>
  <w:style w:type="character" w:styleId="FollowedHyperlink">
    <w:name w:val="FollowedHyperlink"/>
    <w:rPr>
      <w:color w:val="800080"/>
      <w:u w:val="single"/>
    </w:rPr>
  </w:style>
  <w:style w:type="paragraph" w:styleId="NormalWeb">
    <w:name w:val="Normal (Web)"/>
    <w:basedOn w:val="Normal"/>
    <w:uiPriority w:val="99"/>
    <w:pPr>
      <w:spacing w:line="240" w:lineRule="auto"/>
    </w:pPr>
    <w:rPr>
      <w:rFonts w:ascii="Arial" w:eastAsia="Times New Roman" w:hAnsi="Arial" w:cs="Times New Roman"/>
      <w:szCs w:val="24"/>
    </w:rPr>
  </w:style>
  <w:style w:type="paragraph" w:customStyle="1" w:styleId="TableofTables">
    <w:name w:val="Table of Tables"/>
    <w:basedOn w:val="TableofFigures"/>
    <w:pPr>
      <w:tabs>
        <w:tab w:val="left" w:pos="1134"/>
        <w:tab w:val="right" w:pos="9781"/>
      </w:tabs>
    </w:pPr>
  </w:style>
  <w:style w:type="character" w:styleId="Emphasis">
    <w:name w:val="Emphasis"/>
    <w:rPr>
      <w:i/>
      <w:iCs/>
    </w:rPr>
  </w:style>
  <w:style w:type="character" w:styleId="HTMLCite">
    <w:name w:val="HTML Cite"/>
    <w:rPr>
      <w:i/>
      <w:iCs/>
    </w:rPr>
  </w:style>
  <w:style w:type="paragraph" w:customStyle="1" w:styleId="Default">
    <w:name w:val="Default"/>
    <w:pPr>
      <w:spacing w:after="0" w:line="240" w:lineRule="auto"/>
    </w:pPr>
    <w:rPr>
      <w:rFonts w:ascii="Arial" w:eastAsia="Times New Roman" w:hAnsi="Arial" w:cs="Arial"/>
      <w:color w:val="000000"/>
      <w:sz w:val="24"/>
      <w:szCs w:val="24"/>
      <w:lang w:val="en-GB" w:eastAsia="en-GB"/>
    </w:rPr>
  </w:style>
  <w:style w:type="table" w:customStyle="1" w:styleId="TableGrid1">
    <w:name w:val="Table Grid1"/>
    <w:basedOn w:val="TableNormal"/>
    <w:next w:val="TableGrid"/>
    <w:uiPriority w:val="59"/>
    <w:pPr>
      <w:spacing w:after="0" w:line="240" w:lineRule="auto"/>
    </w:pPr>
    <w:rPr>
      <w:lang w:val="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pPr>
      <w:numPr>
        <w:numId w:val="0"/>
      </w:numPr>
      <w:spacing w:before="480" w:line="276" w:lineRule="auto"/>
      <w:outlineLvl w:val="9"/>
    </w:pPr>
    <w:rPr>
      <w:caps w:val="0"/>
      <w:color w:val="003F68" w:themeColor="accent1" w:themeShade="BF"/>
      <w:szCs w:val="28"/>
      <w:lang w:val="sv-SE"/>
    </w:rPr>
  </w:style>
  <w:style w:type="paragraph" w:customStyle="1" w:styleId="Tableinsetlist">
    <w:name w:val="Table inset list"/>
    <w:basedOn w:val="InsetList"/>
    <w:pPr>
      <w:numPr>
        <w:numId w:val="19"/>
      </w:numPr>
      <w:spacing w:before="120"/>
      <w:contextualSpacing/>
    </w:pPr>
    <w:rPr>
      <w:sz w:val="20"/>
    </w:rPr>
  </w:style>
  <w:style w:type="paragraph" w:customStyle="1" w:styleId="Textedesaisie">
    <w:name w:val="Texte de saisie"/>
    <w:basedOn w:val="Normal"/>
    <w:link w:val="TextedesaisieCar"/>
    <w:rPr>
      <w:color w:val="000000" w:themeColor="text1"/>
    </w:rPr>
  </w:style>
  <w:style w:type="character" w:customStyle="1" w:styleId="TextedesaisieCar">
    <w:name w:val="Texte de saisie Car"/>
    <w:basedOn w:val="DefaultParagraphFont"/>
    <w:link w:val="Textedesaisie"/>
    <w:rPr>
      <w:color w:val="000000" w:themeColor="text1"/>
      <w:lang w:val="en-GB"/>
    </w:rPr>
  </w:style>
  <w:style w:type="paragraph" w:customStyle="1" w:styleId="AnnexTablecaption">
    <w:name w:val="Annex Table caption"/>
    <w:basedOn w:val="BodyText"/>
    <w:qFormat/>
    <w:pPr>
      <w:numPr>
        <w:numId w:val="3"/>
      </w:numPr>
      <w:jc w:val="center"/>
    </w:pPr>
    <w:rPr>
      <w:i/>
      <w:color w:val="00558C"/>
      <w:lang w:eastAsia="en-GB"/>
    </w:rPr>
  </w:style>
  <w:style w:type="paragraph" w:customStyle="1" w:styleId="Figurecaption">
    <w:name w:val="Figure caption"/>
    <w:basedOn w:val="Caption"/>
    <w:next w:val="BodyText"/>
    <w:qFormat/>
    <w:pPr>
      <w:spacing w:before="240" w:after="240"/>
      <w:ind w:left="992" w:hanging="992"/>
      <w:jc w:val="center"/>
    </w:pPr>
    <w:rPr>
      <w:b w:val="0"/>
      <w:u w:val="none"/>
    </w:rPr>
  </w:style>
  <w:style w:type="paragraph" w:styleId="NoSpacing">
    <w:name w:val="No Spacing"/>
    <w:uiPriority w:val="1"/>
    <w:pPr>
      <w:spacing w:after="0" w:line="240" w:lineRule="auto"/>
    </w:pPr>
    <w:rPr>
      <w:sz w:val="18"/>
      <w:lang w:val="en-GB"/>
    </w:rPr>
  </w:style>
  <w:style w:type="paragraph" w:customStyle="1" w:styleId="Abbreviations">
    <w:name w:val="Abbreviations"/>
    <w:basedOn w:val="Normal"/>
    <w:qFormat/>
    <w:pPr>
      <w:spacing w:after="60"/>
      <w:ind w:left="1418" w:hanging="1418"/>
    </w:pPr>
  </w:style>
  <w:style w:type="paragraph" w:customStyle="1" w:styleId="Tableheading">
    <w:name w:val="Table heading"/>
    <w:basedOn w:val="Normal"/>
    <w:qFormat/>
    <w:pPr>
      <w:spacing w:before="60" w:after="60"/>
      <w:ind w:left="113" w:right="113"/>
      <w:jc w:val="center"/>
    </w:pPr>
    <w:rPr>
      <w:b/>
      <w:color w:val="00558C"/>
      <w:sz w:val="20"/>
      <w:lang w:val="en-US"/>
    </w:rPr>
  </w:style>
  <w:style w:type="paragraph" w:customStyle="1" w:styleId="Appendix">
    <w:name w:val="Appendix"/>
    <w:next w:val="BodyText"/>
    <w:qFormat/>
    <w:pPr>
      <w:numPr>
        <w:numId w:val="4"/>
      </w:numPr>
      <w:spacing w:before="120" w:after="240" w:line="240" w:lineRule="auto"/>
    </w:pPr>
    <w:rPr>
      <w:rFonts w:asciiTheme="majorHAnsi" w:eastAsia="Calibri" w:hAnsiTheme="majorHAnsi" w:cs="Calibri"/>
      <w:b/>
      <w:bCs/>
      <w:caps/>
      <w:color w:val="00558C"/>
      <w:sz w:val="28"/>
      <w:szCs w:val="28"/>
      <w:lang w:val="en-GB"/>
    </w:rPr>
  </w:style>
  <w:style w:type="paragraph" w:customStyle="1" w:styleId="Footerlandscape">
    <w:name w:val="Footer landscape"/>
    <w:basedOn w:val="Normal"/>
    <w:pPr>
      <w:pBdr>
        <w:top w:val="single" w:sz="4" w:space="1" w:color="000000"/>
      </w:pBdr>
      <w:tabs>
        <w:tab w:val="right" w:pos="15309"/>
      </w:tabs>
    </w:pPr>
    <w:rPr>
      <w:b/>
      <w:color w:val="00558C"/>
      <w:sz w:val="15"/>
    </w:rPr>
  </w:style>
  <w:style w:type="paragraph" w:customStyle="1" w:styleId="Documentnumber">
    <w:name w:val="Document number"/>
    <w:basedOn w:val="Normal"/>
    <w:next w:val="Normal"/>
    <w:rPr>
      <w:caps/>
      <w:color w:val="00558C"/>
      <w:sz w:val="50"/>
    </w:rPr>
  </w:style>
  <w:style w:type="paragraph" w:customStyle="1" w:styleId="Documentdate">
    <w:name w:val="Document date"/>
    <w:basedOn w:val="Normal"/>
    <w:rPr>
      <w:b/>
      <w:color w:val="00558C"/>
      <w:sz w:val="28"/>
    </w:rPr>
  </w:style>
  <w:style w:type="paragraph" w:customStyle="1" w:styleId="Footerportrait">
    <w:name w:val="Footer portrait"/>
    <w:basedOn w:val="Normal"/>
    <w:pPr>
      <w:pBdr>
        <w:top w:val="single" w:sz="4" w:space="1" w:color="000000"/>
      </w:pBdr>
      <w:tabs>
        <w:tab w:val="right" w:pos="10206"/>
      </w:tabs>
    </w:pPr>
    <w:rPr>
      <w:b/>
      <w:color w:val="00558C"/>
      <w:sz w:val="15"/>
      <w:lang w:val="en-US"/>
    </w:rPr>
  </w:style>
  <w:style w:type="paragraph" w:customStyle="1" w:styleId="Documentname">
    <w:name w:val="Document name"/>
    <w:basedOn w:val="Documenttype"/>
    <w:pPr>
      <w:ind w:left="0" w:right="0"/>
    </w:pPr>
    <w:rPr>
      <w:b w:val="0"/>
      <w:color w:val="00558C"/>
    </w:rPr>
  </w:style>
  <w:style w:type="character" w:styleId="PlaceholderText">
    <w:name w:val="Placeholder Text"/>
    <w:basedOn w:val="DefaultParagraphFont"/>
    <w:uiPriority w:val="99"/>
    <w:semiHidden/>
    <w:rPr>
      <w:color w:val="808080"/>
    </w:rPr>
  </w:style>
  <w:style w:type="paragraph" w:customStyle="1" w:styleId="Style1">
    <w:name w:val="Style1"/>
    <w:basedOn w:val="Tableheading"/>
  </w:style>
  <w:style w:type="paragraph" w:customStyle="1" w:styleId="Style2">
    <w:name w:val="Style2"/>
    <w:basedOn w:val="TOC3"/>
    <w:pPr>
      <w:tabs>
        <w:tab w:val="left" w:pos="1985"/>
        <w:tab w:val="right" w:pos="10195"/>
      </w:tabs>
    </w:pPr>
    <w:rPr>
      <w:sz w:val="24"/>
      <w:szCs w:val="24"/>
      <w:lang w:val="en-US"/>
    </w:rPr>
  </w:style>
  <w:style w:type="paragraph" w:customStyle="1" w:styleId="Headingseparationline-landscape">
    <w:name w:val="Heading separation line - landscape"/>
    <w:basedOn w:val="Heading1separationline"/>
    <w:pPr>
      <w:ind w:right="14317"/>
    </w:pPr>
  </w:style>
  <w:style w:type="paragraph" w:styleId="Title">
    <w:name w:val="Title"/>
    <w:basedOn w:val="Normal"/>
    <w:link w:val="TitleChar"/>
    <w:qFormat/>
    <w:pPr>
      <w:spacing w:before="180" w:after="60" w:line="240" w:lineRule="auto"/>
      <w:jc w:val="center"/>
      <w:outlineLvl w:val="0"/>
    </w:pPr>
    <w:rPr>
      <w:rFonts w:asciiTheme="majorHAnsi" w:eastAsiaTheme="majorEastAsia" w:hAnsiTheme="majorHAnsi" w:cstheme="majorBidi"/>
      <w:b/>
      <w:bCs/>
      <w:caps/>
      <w:color w:val="00558C"/>
      <w:sz w:val="32"/>
      <w:szCs w:val="24"/>
    </w:rPr>
  </w:style>
  <w:style w:type="character" w:customStyle="1" w:styleId="TitleChar">
    <w:name w:val="Title Char"/>
    <w:basedOn w:val="DefaultParagraphFont"/>
    <w:link w:val="Title"/>
    <w:rPr>
      <w:rFonts w:asciiTheme="majorHAnsi" w:eastAsiaTheme="majorEastAsia" w:hAnsiTheme="majorHAnsi" w:cstheme="majorBidi"/>
      <w:b/>
      <w:bCs/>
      <w:caps/>
      <w:color w:val="00558C"/>
      <w:sz w:val="32"/>
      <w:szCs w:val="24"/>
      <w:lang w:val="en-GB"/>
    </w:rPr>
  </w:style>
  <w:style w:type="paragraph" w:styleId="Revision">
    <w:name w:val="Revision"/>
    <w:hidden/>
    <w:uiPriority w:val="99"/>
    <w:semiHidden/>
    <w:pPr>
      <w:spacing w:after="0" w:line="240" w:lineRule="auto"/>
    </w:pPr>
    <w:rPr>
      <w:sz w:val="18"/>
      <w:lang w:val="en-GB"/>
    </w:rPr>
  </w:style>
  <w:style w:type="paragraph" w:customStyle="1" w:styleId="Referencetext">
    <w:name w:val="Reference text"/>
    <w:basedOn w:val="Normal"/>
    <w:pPr>
      <w:tabs>
        <w:tab w:val="left" w:pos="567"/>
      </w:tabs>
      <w:spacing w:line="240" w:lineRule="auto"/>
      <w:ind w:left="1134" w:hanging="567"/>
    </w:pPr>
    <w:rPr>
      <w:rFonts w:ascii="Calibri" w:eastAsia="Times New Roman" w:hAnsi="Calibri" w:cs="Arial"/>
      <w:szCs w:val="20"/>
      <w:lang w:eastAsia="en-GB"/>
    </w:rPr>
  </w:style>
  <w:style w:type="paragraph" w:customStyle="1" w:styleId="preface6">
    <w:name w:val="preface 6"/>
    <w:basedOn w:val="Heading6"/>
    <w:pPr>
      <w:keepNext w:val="0"/>
      <w:suppressLineNumbers/>
      <w:tabs>
        <w:tab w:val="num" w:pos="1151"/>
      </w:tabs>
      <w:spacing w:before="120" w:line="240" w:lineRule="auto"/>
      <w:ind w:left="1151" w:hanging="431"/>
      <w:jc w:val="both"/>
    </w:pPr>
    <w:rPr>
      <w:rFonts w:ascii="Times New Roman" w:eastAsia="Times New Roman" w:hAnsi="Times New Roman" w:cs="Times New Roman"/>
      <w:iCs w:val="0"/>
      <w:color w:val="auto"/>
      <w:sz w:val="24"/>
      <w:szCs w:val="20"/>
      <w:lang w:eastAsia="en-AU"/>
    </w:rPr>
  </w:style>
  <w:style w:type="paragraph" w:customStyle="1" w:styleId="MRN">
    <w:name w:val="MRN"/>
    <w:basedOn w:val="Normal"/>
    <w:link w:val="MRNChar"/>
    <w:rPr>
      <w:b/>
      <w:color w:val="00558C"/>
      <w:sz w:val="28"/>
    </w:rPr>
  </w:style>
  <w:style w:type="character" w:customStyle="1" w:styleId="MRNChar">
    <w:name w:val="MRN Char"/>
    <w:basedOn w:val="DefaultParagraphFont"/>
    <w:link w:val="MRN"/>
    <w:rPr>
      <w:b/>
      <w:color w:val="00558C"/>
      <w:sz w:val="28"/>
      <w:lang w:val="en-GB"/>
    </w:rPr>
  </w:style>
  <w:style w:type="paragraph" w:customStyle="1" w:styleId="Revokes">
    <w:name w:val="Revokes"/>
    <w:basedOn w:val="Documentdate"/>
    <w:link w:val="RevokesChar"/>
    <w:rPr>
      <w:i/>
    </w:rPr>
  </w:style>
  <w:style w:type="character" w:customStyle="1" w:styleId="RevokesChar">
    <w:name w:val="Revokes Char"/>
    <w:basedOn w:val="DefaultParagraphFont"/>
    <w:link w:val="Revokes"/>
    <w:rPr>
      <w:b/>
      <w:i/>
      <w:color w:val="00558C"/>
      <w:sz w:val="28"/>
      <w:lang w:val="en-GB"/>
    </w:rPr>
  </w:style>
  <w:style w:type="paragraph" w:customStyle="1" w:styleId="Reference">
    <w:name w:val="Reference"/>
    <w:basedOn w:val="Normal"/>
    <w:qFormat/>
    <w:pPr>
      <w:numPr>
        <w:numId w:val="17"/>
      </w:numPr>
      <w:spacing w:before="120" w:after="60" w:line="240" w:lineRule="auto"/>
      <w:jc w:val="both"/>
    </w:pPr>
    <w:rPr>
      <w:rFonts w:eastAsia="Times New Roman" w:cs="Times New Roman"/>
      <w:szCs w:val="20"/>
    </w:rPr>
  </w:style>
  <w:style w:type="paragraph" w:customStyle="1" w:styleId="Equation">
    <w:name w:val="Equation"/>
    <w:basedOn w:val="BodyText"/>
    <w:next w:val="BodyText"/>
    <w:link w:val="EquationChar"/>
    <w:qFormat/>
    <w:pPr>
      <w:numPr>
        <w:numId w:val="9"/>
      </w:numPr>
      <w:spacing w:before="60"/>
      <w:jc w:val="right"/>
    </w:pPr>
  </w:style>
  <w:style w:type="character" w:customStyle="1" w:styleId="EquationChar">
    <w:name w:val="Equation Char"/>
    <w:basedOn w:val="BodyTextChar"/>
    <w:link w:val="Equation"/>
    <w:rPr>
      <w:lang w:val="en-GB"/>
    </w:rPr>
  </w:style>
  <w:style w:type="paragraph" w:customStyle="1" w:styleId="Furtherreading">
    <w:name w:val="Further reading"/>
    <w:basedOn w:val="BodyText"/>
    <w:link w:val="FurtherreadingChar"/>
    <w:qFormat/>
    <w:pPr>
      <w:numPr>
        <w:numId w:val="10"/>
      </w:numPr>
      <w:spacing w:before="60"/>
    </w:pPr>
  </w:style>
  <w:style w:type="character" w:customStyle="1" w:styleId="FurtherreadingChar">
    <w:name w:val="Further reading Char"/>
    <w:basedOn w:val="BodyTextChar"/>
    <w:link w:val="Furtherreading"/>
    <w:rPr>
      <w:lang w:val="en-GB"/>
    </w:rPr>
  </w:style>
  <w:style w:type="paragraph" w:customStyle="1" w:styleId="Documentrevisiontabletitle">
    <w:name w:val="Document revision table title"/>
    <w:basedOn w:val="Normal"/>
    <w:pPr>
      <w:spacing w:before="60" w:after="60"/>
      <w:ind w:left="113" w:right="113"/>
    </w:pPr>
    <w:rPr>
      <w:b/>
      <w:color w:val="00558C"/>
      <w:sz w:val="20"/>
    </w:rPr>
  </w:style>
  <w:style w:type="paragraph" w:customStyle="1" w:styleId="AnnexFigureCaption">
    <w:name w:val="Annex Figure Caption"/>
    <w:basedOn w:val="BodyText"/>
    <w:link w:val="AnnexFigureCaptionChar"/>
    <w:qFormat/>
    <w:pPr>
      <w:numPr>
        <w:numId w:val="1"/>
      </w:numPr>
      <w:jc w:val="center"/>
    </w:pPr>
    <w:rPr>
      <w:i/>
      <w:color w:val="00558C"/>
      <w:lang w:eastAsia="en-GB"/>
    </w:rPr>
  </w:style>
  <w:style w:type="character" w:customStyle="1" w:styleId="AnnexFigureCaptionChar">
    <w:name w:val="Annex Figure Caption Char"/>
    <w:basedOn w:val="BodyTextChar"/>
    <w:link w:val="AnnexFigureCaption"/>
    <w:rPr>
      <w:i/>
      <w:color w:val="00558C"/>
      <w:lang w:val="en-GB" w:eastAsia="en-GB"/>
    </w:rPr>
  </w:style>
  <w:style w:type="paragraph" w:styleId="Index1">
    <w:name w:val="index 1"/>
    <w:basedOn w:val="Normal"/>
    <w:next w:val="Normal"/>
    <w:semiHidden/>
    <w:unhideWhenUsed/>
    <w:pPr>
      <w:spacing w:line="240" w:lineRule="auto"/>
      <w:ind w:left="180" w:hanging="180"/>
    </w:pPr>
  </w:style>
  <w:style w:type="paragraph" w:customStyle="1" w:styleId="AppendixHead1">
    <w:name w:val="Appendix Head 1"/>
    <w:basedOn w:val="Normal"/>
    <w:next w:val="Heading1separationline"/>
    <w:qFormat/>
    <w:pPr>
      <w:numPr>
        <w:ilvl w:val="1"/>
        <w:numId w:val="4"/>
      </w:numPr>
      <w:spacing w:before="120" w:line="240" w:lineRule="auto"/>
    </w:pPr>
    <w:rPr>
      <w:rFonts w:eastAsia="Calibri" w:cs="Arial"/>
      <w:b/>
      <w:caps/>
      <w:color w:val="00558C"/>
      <w:sz w:val="28"/>
      <w:lang w:eastAsia="en-GB"/>
    </w:rPr>
  </w:style>
  <w:style w:type="paragraph" w:customStyle="1" w:styleId="EmphasisParagraph">
    <w:name w:val="Emphasis Paragraph"/>
    <w:basedOn w:val="BodyText"/>
    <w:next w:val="BodyText"/>
    <w:link w:val="EmphasisParagraphChar"/>
    <w:pPr>
      <w:ind w:left="425" w:right="709"/>
    </w:pPr>
    <w:rPr>
      <w:i/>
    </w:rPr>
  </w:style>
  <w:style w:type="character" w:customStyle="1" w:styleId="EmphasisParagraphChar">
    <w:name w:val="Emphasis Paragraph Char"/>
    <w:basedOn w:val="BodyTextChar"/>
    <w:link w:val="EmphasisParagraph"/>
    <w:rPr>
      <w:i/>
      <w:lang w:val="en-GB"/>
    </w:rPr>
  </w:style>
  <w:style w:type="paragraph" w:customStyle="1" w:styleId="Quotationparagraph">
    <w:name w:val="Quotation paragraph"/>
    <w:basedOn w:val="BodyText"/>
    <w:link w:val="QuotationparagraphChar"/>
    <w:qFormat/>
    <w:pPr>
      <w:ind w:left="567" w:right="707"/>
    </w:pPr>
  </w:style>
  <w:style w:type="character" w:customStyle="1" w:styleId="QuotationparagraphChar">
    <w:name w:val="Quotation paragraph Char"/>
    <w:basedOn w:val="BodyTextChar"/>
    <w:link w:val="Quotationparagraph"/>
    <w:rPr>
      <w:lang w:val="en-GB"/>
    </w:rPr>
  </w:style>
  <w:style w:type="paragraph" w:customStyle="1" w:styleId="Hidden">
    <w:name w:val="Hidden"/>
    <w:basedOn w:val="BodyText"/>
    <w:link w:val="HiddenChar"/>
    <w:qFormat/>
    <w:pPr>
      <w:widowControl w:val="0"/>
      <w:spacing w:after="0" w:line="0" w:lineRule="atLeast"/>
    </w:pPr>
    <w:rPr>
      <w:vanish/>
      <w:sz w:val="2"/>
      <w:szCs w:val="2"/>
    </w:rPr>
  </w:style>
  <w:style w:type="character" w:customStyle="1" w:styleId="HiddenChar">
    <w:name w:val="Hidden Char"/>
    <w:basedOn w:val="BodyTextChar"/>
    <w:link w:val="Hidden"/>
    <w:rPr>
      <w:vanish/>
      <w:sz w:val="2"/>
      <w:szCs w:val="2"/>
      <w:lang w:val="en-GB"/>
    </w:rPr>
  </w:style>
  <w:style w:type="paragraph" w:customStyle="1" w:styleId="Abstract">
    <w:name w:val="Abstract"/>
    <w:basedOn w:val="Normal"/>
    <w:next w:val="BodyText"/>
    <w:qFormat/>
    <w:pPr>
      <w:keepNext/>
      <w:keepLines/>
      <w:spacing w:before="100" w:after="300" w:line="240" w:lineRule="auto"/>
    </w:pPr>
    <w:rPr>
      <w:sz w:val="20"/>
      <w:szCs w:val="20"/>
      <w:lang w:val="en-US"/>
    </w:rPr>
  </w:style>
  <w:style w:type="character" w:customStyle="1" w:styleId="AlertTok">
    <w:name w:val="AlertTok"/>
    <w:rPr>
      <w:b/>
      <w:color w:val="FF0000"/>
    </w:rPr>
  </w:style>
  <w:style w:type="character" w:customStyle="1" w:styleId="AnnotationTok">
    <w:name w:val="AnnotationTok"/>
    <w:rPr>
      <w:b/>
      <w:i/>
      <w:color w:val="60A0B0"/>
    </w:rPr>
  </w:style>
  <w:style w:type="character" w:customStyle="1" w:styleId="AttributeTok">
    <w:name w:val="AttributeTok"/>
    <w:rPr>
      <w:color w:val="7D9029"/>
    </w:rPr>
  </w:style>
  <w:style w:type="paragraph" w:customStyle="1" w:styleId="Author">
    <w:name w:val="Author"/>
    <w:next w:val="BodyText"/>
    <w:qFormat/>
    <w:pPr>
      <w:keepNext/>
      <w:keepLines/>
      <w:spacing w:line="240" w:lineRule="auto"/>
      <w:jc w:val="center"/>
    </w:pPr>
    <w:rPr>
      <w:sz w:val="24"/>
      <w:szCs w:val="24"/>
      <w:lang w:val="en-US"/>
    </w:rPr>
  </w:style>
  <w:style w:type="character" w:customStyle="1" w:styleId="BaseNTok">
    <w:name w:val="BaseNTok"/>
    <w:rPr>
      <w:color w:val="40A070"/>
    </w:rPr>
  </w:style>
  <w:style w:type="paragraph" w:styleId="BlockText">
    <w:name w:val="Block Text"/>
    <w:basedOn w:val="BodyText"/>
    <w:next w:val="BodyText"/>
    <w:uiPriority w:val="9"/>
    <w:unhideWhenUsed/>
    <w:qFormat/>
    <w:pPr>
      <w:spacing w:before="100" w:after="100" w:line="240" w:lineRule="auto"/>
      <w:ind w:left="480" w:right="480"/>
      <w:jc w:val="left"/>
    </w:pPr>
    <w:rPr>
      <w:szCs w:val="24"/>
      <w:lang w:val="en-US"/>
    </w:rPr>
  </w:style>
  <w:style w:type="character" w:customStyle="1" w:styleId="BuiltInTok">
    <w:name w:val="BuiltInTok"/>
    <w:rPr>
      <w:color w:val="008000"/>
    </w:rPr>
  </w:style>
  <w:style w:type="paragraph" w:customStyle="1" w:styleId="CaptionedFigure">
    <w:name w:val="Captioned Figure"/>
    <w:basedOn w:val="Normal"/>
    <w:next w:val="Figurecaption"/>
    <w:qFormat/>
    <w:pPr>
      <w:keepNext/>
      <w:jc w:val="center"/>
    </w:pPr>
  </w:style>
  <w:style w:type="character" w:customStyle="1" w:styleId="CharTok">
    <w:name w:val="CharTok"/>
    <w:rPr>
      <w:color w:val="4070A0"/>
    </w:rPr>
  </w:style>
  <w:style w:type="character" w:customStyle="1" w:styleId="CommentTok">
    <w:name w:val="CommentTok"/>
    <w:rPr>
      <w:i/>
      <w:color w:val="60A0B0"/>
    </w:rPr>
  </w:style>
  <w:style w:type="character" w:customStyle="1" w:styleId="CommentVarTok">
    <w:name w:val="CommentVarTok"/>
    <w:rPr>
      <w:b/>
      <w:i/>
      <w:color w:val="60A0B0"/>
    </w:rPr>
  </w:style>
  <w:style w:type="paragraph" w:customStyle="1" w:styleId="Compact">
    <w:name w:val="Compact"/>
    <w:basedOn w:val="BodyText"/>
    <w:qFormat/>
    <w:pPr>
      <w:spacing w:before="36" w:after="36" w:line="240" w:lineRule="auto"/>
      <w:jc w:val="left"/>
    </w:pPr>
    <w:rPr>
      <w:sz w:val="20"/>
      <w:szCs w:val="24"/>
      <w:lang w:val="en-US"/>
    </w:rPr>
  </w:style>
  <w:style w:type="character" w:customStyle="1" w:styleId="ConstantTok">
    <w:name w:val="ConstantTok"/>
    <w:rPr>
      <w:color w:val="880000"/>
    </w:rPr>
  </w:style>
  <w:style w:type="character" w:customStyle="1" w:styleId="ControlFlowTok">
    <w:name w:val="ControlFlowTok"/>
    <w:rPr>
      <w:b/>
      <w:color w:val="007020"/>
    </w:rPr>
  </w:style>
  <w:style w:type="character" w:customStyle="1" w:styleId="DataTypeTok">
    <w:name w:val="DataTypeTok"/>
    <w:rPr>
      <w:color w:val="902000"/>
    </w:rPr>
  </w:style>
  <w:style w:type="paragraph" w:styleId="Date">
    <w:name w:val="Date"/>
    <w:next w:val="BodyText"/>
    <w:link w:val="DateChar"/>
    <w:qFormat/>
    <w:pPr>
      <w:keepNext/>
      <w:keepLines/>
      <w:spacing w:line="240" w:lineRule="auto"/>
      <w:jc w:val="center"/>
    </w:pPr>
    <w:rPr>
      <w:sz w:val="24"/>
      <w:szCs w:val="24"/>
      <w:lang w:val="en-US"/>
    </w:rPr>
  </w:style>
  <w:style w:type="character" w:customStyle="1" w:styleId="DateChar">
    <w:name w:val="Date Char"/>
    <w:basedOn w:val="DefaultParagraphFont"/>
    <w:link w:val="Date"/>
    <w:rPr>
      <w:sz w:val="24"/>
      <w:szCs w:val="24"/>
      <w:lang w:val="en-US"/>
    </w:rPr>
  </w:style>
  <w:style w:type="character" w:customStyle="1" w:styleId="DecValTok">
    <w:name w:val="DecValTok"/>
    <w:rPr>
      <w:color w:val="40A070"/>
    </w:rPr>
  </w:style>
  <w:style w:type="paragraph" w:customStyle="1" w:styleId="Definition">
    <w:name w:val="Definition"/>
    <w:basedOn w:val="Normal"/>
    <w:pPr>
      <w:spacing w:after="200" w:line="240" w:lineRule="auto"/>
    </w:pPr>
    <w:rPr>
      <w:szCs w:val="24"/>
      <w:lang w:val="en-US"/>
    </w:rPr>
  </w:style>
  <w:style w:type="paragraph" w:customStyle="1" w:styleId="DefinitionTerm">
    <w:name w:val="Definition Term"/>
    <w:basedOn w:val="Normal"/>
    <w:next w:val="Definition"/>
    <w:pPr>
      <w:keepNext/>
      <w:keepLines/>
      <w:spacing w:after="0" w:line="240" w:lineRule="auto"/>
    </w:pPr>
    <w:rPr>
      <w:b/>
      <w:szCs w:val="24"/>
      <w:lang w:val="en-US"/>
    </w:rPr>
  </w:style>
  <w:style w:type="character" w:customStyle="1" w:styleId="DocumentationTok">
    <w:name w:val="DocumentationTok"/>
    <w:rPr>
      <w:i/>
      <w:color w:val="BA2121"/>
    </w:rPr>
  </w:style>
  <w:style w:type="character" w:customStyle="1" w:styleId="ErrorTok">
    <w:name w:val="ErrorTok"/>
    <w:rPr>
      <w:b/>
      <w:color w:val="FF0000"/>
    </w:rPr>
  </w:style>
  <w:style w:type="character" w:customStyle="1" w:styleId="ExtensionTok">
    <w:name w:val="ExtensionTok"/>
  </w:style>
  <w:style w:type="paragraph" w:customStyle="1" w:styleId="FirstParagraph">
    <w:name w:val="First Paragraph"/>
    <w:basedOn w:val="BodyText"/>
    <w:next w:val="BodyText"/>
    <w:link w:val="FirstParagraphChar"/>
    <w:qFormat/>
  </w:style>
  <w:style w:type="character" w:customStyle="1" w:styleId="FirstParagraphChar">
    <w:name w:val="First Paragraph Char"/>
    <w:basedOn w:val="BodyTextChar"/>
    <w:link w:val="FirstParagraph"/>
    <w:rPr>
      <w:lang w:val="en-GB"/>
    </w:rPr>
  </w:style>
  <w:style w:type="character" w:customStyle="1" w:styleId="FloatTok">
    <w:name w:val="FloatTok"/>
    <w:rPr>
      <w:color w:val="40A070"/>
    </w:rPr>
  </w:style>
  <w:style w:type="character" w:customStyle="1" w:styleId="FunctionTok">
    <w:name w:val="FunctionTok"/>
    <w:rPr>
      <w:color w:val="06287E"/>
    </w:rPr>
  </w:style>
  <w:style w:type="paragraph" w:customStyle="1" w:styleId="ImageCaption">
    <w:name w:val="Image Caption"/>
    <w:basedOn w:val="Caption"/>
    <w:next w:val="BodyText"/>
    <w:qFormat/>
    <w:pPr>
      <w:numPr>
        <w:numId w:val="12"/>
      </w:numPr>
      <w:spacing w:before="240" w:after="240"/>
      <w:jc w:val="center"/>
    </w:pPr>
    <w:rPr>
      <w:b w:val="0"/>
      <w:u w:val="none"/>
    </w:rPr>
  </w:style>
  <w:style w:type="character" w:customStyle="1" w:styleId="ImportTok">
    <w:name w:val="ImportTok"/>
    <w:rPr>
      <w:b/>
      <w:color w:val="008000"/>
    </w:rPr>
  </w:style>
  <w:style w:type="character" w:customStyle="1" w:styleId="InformationTok">
    <w:name w:val="InformationTok"/>
    <w:rPr>
      <w:b/>
      <w:i/>
      <w:color w:val="60A0B0"/>
    </w:rPr>
  </w:style>
  <w:style w:type="character" w:customStyle="1" w:styleId="KeywordTok">
    <w:name w:val="KeywordTok"/>
    <w:rPr>
      <w:b/>
      <w:color w:val="007020"/>
    </w:rPr>
  </w:style>
  <w:style w:type="character" w:customStyle="1" w:styleId="NormalTok">
    <w:name w:val="NormalTok"/>
  </w:style>
  <w:style w:type="character" w:customStyle="1" w:styleId="OperatorTok">
    <w:name w:val="OperatorTok"/>
    <w:rPr>
      <w:color w:val="666666"/>
    </w:rPr>
  </w:style>
  <w:style w:type="character" w:customStyle="1" w:styleId="OtherTok">
    <w:name w:val="OtherTok"/>
    <w:rPr>
      <w:color w:val="007020"/>
    </w:rPr>
  </w:style>
  <w:style w:type="character" w:customStyle="1" w:styleId="PreprocessorTok">
    <w:name w:val="PreprocessorTok"/>
    <w:rPr>
      <w:color w:val="BC7A00"/>
    </w:rPr>
  </w:style>
  <w:style w:type="character" w:customStyle="1" w:styleId="RegionMarkerTok">
    <w:name w:val="RegionMarkerTok"/>
  </w:style>
  <w:style w:type="paragraph" w:customStyle="1" w:styleId="SourceCode">
    <w:name w:val="Source Code"/>
    <w:basedOn w:val="Normal"/>
    <w:rPr>
      <w:rFonts w:ascii="Consolas" w:hAnsi="Consolas"/>
      <w:sz w:val="20"/>
    </w:rPr>
  </w:style>
  <w:style w:type="character" w:customStyle="1" w:styleId="SpecialCharTok">
    <w:name w:val="SpecialCharTok"/>
    <w:rPr>
      <w:color w:val="4070A0"/>
    </w:rPr>
  </w:style>
  <w:style w:type="character" w:customStyle="1" w:styleId="SpecialStringTok">
    <w:name w:val="SpecialStringTok"/>
    <w:rPr>
      <w:color w:val="BB6688"/>
    </w:rPr>
  </w:style>
  <w:style w:type="character" w:customStyle="1" w:styleId="StringTok">
    <w:name w:val="StringTok"/>
    <w:rPr>
      <w:color w:val="4070A0"/>
    </w:rPr>
  </w:style>
  <w:style w:type="paragraph" w:styleId="Subtitle">
    <w:name w:val="Subtitle"/>
    <w:basedOn w:val="Title"/>
    <w:next w:val="BodyText"/>
    <w:link w:val="SubtitleChar"/>
    <w:qFormat/>
    <w:pPr>
      <w:keepNext/>
      <w:keepLines/>
      <w:spacing w:before="240" w:after="240"/>
      <w:outlineLvl w:val="9"/>
    </w:pPr>
    <w:rPr>
      <w:caps w:val="0"/>
      <w:color w:val="003B63" w:themeColor="accent1" w:themeShade="B5"/>
      <w:sz w:val="30"/>
      <w:szCs w:val="30"/>
      <w:lang w:val="en-US"/>
    </w:rPr>
  </w:style>
  <w:style w:type="character" w:customStyle="1" w:styleId="SubtitleChar">
    <w:name w:val="Subtitle Char"/>
    <w:basedOn w:val="DefaultParagraphFont"/>
    <w:link w:val="Subtitle"/>
    <w:rPr>
      <w:rFonts w:asciiTheme="majorHAnsi" w:eastAsiaTheme="majorEastAsia" w:hAnsiTheme="majorHAnsi" w:cstheme="majorBidi"/>
      <w:b/>
      <w:bCs/>
      <w:color w:val="003B63" w:themeColor="accent1" w:themeShade="B5"/>
      <w:sz w:val="30"/>
      <w:szCs w:val="30"/>
      <w:lang w:val="en-US"/>
    </w:rPr>
  </w:style>
  <w:style w:type="table" w:customStyle="1" w:styleId="Table">
    <w:name w:val="Table"/>
    <w:unhideWhenUsed/>
    <w:qFormat/>
    <w:pPr>
      <w:spacing w:after="120" w:line="240" w:lineRule="auto"/>
    </w:pPr>
    <w:rPr>
      <w:sz w:val="24"/>
      <w:szCs w:val="24"/>
      <w:lang w:val="en-US" w:eastAsia="en-GB"/>
    </w:rPr>
    <w:tblPr>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rPr>
      <w:jc w:val="center"/>
    </w:trPr>
    <w:tblStylePr w:type="firstRow">
      <w:rPr>
        <w:b/>
        <w:color w:val="00558C" w:themeColor="accent1"/>
      </w:rPr>
    </w:tblStylePr>
  </w:style>
  <w:style w:type="paragraph" w:customStyle="1" w:styleId="TableCaption">
    <w:name w:val="Table Caption"/>
    <w:basedOn w:val="Caption"/>
    <w:next w:val="BodyText"/>
    <w:qFormat/>
    <w:pPr>
      <w:keepNext/>
      <w:numPr>
        <w:numId w:val="18"/>
      </w:numPr>
      <w:tabs>
        <w:tab w:val="left" w:pos="851"/>
      </w:tabs>
      <w:spacing w:before="240" w:after="240"/>
      <w:jc w:val="center"/>
    </w:pPr>
    <w:rPr>
      <w:b w:val="0"/>
      <w:u w:val="none"/>
    </w:rPr>
  </w:style>
  <w:style w:type="character" w:customStyle="1" w:styleId="VariableTok">
    <w:name w:val="VariableTok"/>
    <w:rPr>
      <w:color w:val="19177C"/>
    </w:rPr>
  </w:style>
  <w:style w:type="character" w:customStyle="1" w:styleId="VerbatimChar">
    <w:name w:val="Verbatim Char"/>
    <w:basedOn w:val="DefaultParagraphFont"/>
    <w:qFormat/>
    <w:rPr>
      <w:rFonts w:ascii="Consolas" w:hAnsi="Consolas"/>
      <w:sz w:val="20"/>
    </w:rPr>
  </w:style>
  <w:style w:type="character" w:customStyle="1" w:styleId="VerbatimStringTok">
    <w:name w:val="VerbatimStringTok"/>
    <w:rPr>
      <w:color w:val="4070A0"/>
    </w:rPr>
  </w:style>
  <w:style w:type="character" w:customStyle="1" w:styleId="WarningTok">
    <w:name w:val="WarningTok"/>
    <w:rPr>
      <w:b/>
      <w:i/>
      <w:color w:val="60A0B0"/>
    </w:rPr>
  </w:style>
  <w:style w:type="paragraph" w:styleId="ListParagraph">
    <w:name w:val="List Paragraph"/>
    <w:basedOn w:val="Normal"/>
    <w:uiPriority w:val="34"/>
    <w:pPr>
      <w:ind w:left="720"/>
      <w:contextualSpacing/>
    </w:pPr>
  </w:style>
  <w:style w:type="numbering" w:customStyle="1" w:styleId="IALABulletList">
    <w:name w:val="IALA_Bullet_List"/>
    <w:uiPriority w:val="99"/>
    <w:pPr>
      <w:numPr>
        <w:numId w:val="20"/>
      </w:numPr>
    </w:pPr>
  </w:style>
  <w:style w:type="numbering" w:customStyle="1" w:styleId="IALANumberedList">
    <w:name w:val="IALA_Numbered_List"/>
    <w:uiPriority w:val="99"/>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6.png"/><Relationship Id="rId39" Type="http://schemas.openxmlformats.org/officeDocument/2006/relationships/hyperlink" Target="https://www.iala.int/product/gXXXX/" TargetMode="External"/><Relationship Id="rId21" Type="http://schemas.openxmlformats.org/officeDocument/2006/relationships/header" Target="header6.xml"/><Relationship Id="rId34" Type="http://schemas.openxmlformats.org/officeDocument/2006/relationships/image" Target="media/image15.png"/><Relationship Id="rId42" Type="http://schemas.openxmlformats.org/officeDocument/2006/relationships/hyperlink" Target="https://www.iala.int/product/g1157/" TargetMode="External"/><Relationship Id="rId47" Type="http://schemas.openxmlformats.org/officeDocument/2006/relationships/footer" Target="footer7.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9.png"/><Relationship Id="rId11" Type="http://schemas.openxmlformats.org/officeDocument/2006/relationships/endnotes" Target="endnotes.xml"/><Relationship Id="rId24" Type="http://schemas.openxmlformats.org/officeDocument/2006/relationships/header" Target="header9.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webstore.iec.ch/en/publication/64543" TargetMode="External"/><Relationship Id="rId45"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image" Target="media/image8.png"/><Relationship Id="rId36" Type="http://schemas.openxmlformats.org/officeDocument/2006/relationships/image" Target="media/image17.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image" Target="media/image12.png"/><Relationship Id="rId44"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image" Target="media/image7.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eader" Target="header10.xml"/><Relationship Id="rId48"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image" Target="media/image14.png"/><Relationship Id="rId38" Type="http://schemas.openxmlformats.org/officeDocument/2006/relationships/hyperlink" Target="https://www.iala.int/product/g1128/" TargetMode="External"/><Relationship Id="rId46" Type="http://schemas.openxmlformats.org/officeDocument/2006/relationships/header" Target="header12.xml"/><Relationship Id="rId20" Type="http://schemas.openxmlformats.org/officeDocument/2006/relationships/footer" Target="footer4.xml"/><Relationship Id="rId41" Type="http://schemas.openxmlformats.org/officeDocument/2006/relationships/hyperlink" Target="https://iho.int/uploads/user/pubs/standards/s-100/S-100_5.2.0_Final_Clean.pdf"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 Id="rId4" Type="http://schemas.openxmlformats.org/officeDocument/2006/relationships/image" Target="media/image20.png"/></Relationships>
</file>

<file path=word/_rels/header3.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IALA PPT">
      <a:dk1>
        <a:sysClr val="windowText" lastClr="000000"/>
      </a:dk1>
      <a:lt1>
        <a:sysClr val="window" lastClr="FFFFFF"/>
      </a:lt1>
      <a:dk2>
        <a:srgbClr val="3AAA35"/>
      </a:dk2>
      <a:lt2>
        <a:srgbClr val="E94E1B"/>
      </a:lt2>
      <a:accent1>
        <a:srgbClr val="00558C"/>
      </a:accent1>
      <a:accent2>
        <a:srgbClr val="009FE3"/>
      </a:accent2>
      <a:accent3>
        <a:srgbClr val="00B0A9"/>
      </a:accent3>
      <a:accent4>
        <a:srgbClr val="00BCD0"/>
      </a:accent4>
      <a:accent5>
        <a:srgbClr val="6787C4"/>
      </a:accent5>
      <a:accent6>
        <a:srgbClr val="99509A"/>
      </a:accent6>
      <a:hlink>
        <a:srgbClr val="000000"/>
      </a:hlink>
      <a:folHlink>
        <a:srgbClr val="9D9D9C"/>
      </a:folHlink>
    </a:clrScheme>
    <a:fontScheme name="CALIBRI">
      <a:majorFont>
        <a:latin typeface="Calibri"/>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CDE179D9FB0342B17C099E752EB0FB" ma:contentTypeVersion="12" ma:contentTypeDescription="Create a new document." ma:contentTypeScope="" ma:versionID="0fd47a0075709f21ea27687a6b794a7c">
  <xsd:schema xmlns:xsd="http://www.w3.org/2001/XMLSchema" xmlns:xs="http://www.w3.org/2001/XMLSchema" xmlns:p="http://schemas.microsoft.com/office/2006/metadata/properties" xmlns:ns2="1bfdac25-5417-4dce-b783-1e79583e09c2" xmlns:ns3="ed72da13-45cf-4b5b-99f8-a2a89cf55939" targetNamespace="http://schemas.microsoft.com/office/2006/metadata/properties" ma:root="true" ma:fieldsID="10d2a65f9d14d854a4e6d8ebd67ae2b5" ns2:_="" ns3:_="">
    <xsd:import namespace="1bfdac25-5417-4dce-b783-1e79583e09c2"/>
    <xsd:import namespace="ed72da13-45cf-4b5b-99f8-a2a89cf559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dac25-5417-4dce-b783-1e79583e0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72da13-45cf-4b5b-99f8-a2a89cf5593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B4C6AB7F4ADAA4ABC48D93214FE8FD2" ma:contentTypeVersion="19" ma:contentTypeDescription="Create a new document." ma:contentTypeScope="" ma:versionID="75c9f3f451866b0d3c9120c8a094ca6d">
  <xsd:schema xmlns:xsd="http://www.w3.org/2001/XMLSchema" xmlns:xs="http://www.w3.org/2001/XMLSchema" xmlns:p="http://schemas.microsoft.com/office/2006/metadata/properties" xmlns:ns2="ac5f8115-f13f-4d01-aff4-515a67108c33" xmlns:ns3="06022411-6e02-423b-85fd-39e0748b9219" targetNamespace="http://schemas.microsoft.com/office/2006/metadata/properties" ma:root="true" ma:fieldsID="15aae6c7c4885604f29bd56d2cee64f9" ns2:_="" ns3:_="">
    <xsd:import namespace="ac5f8115-f13f-4d01-aff4-515a67108c33"/>
    <xsd:import namespace="06022411-6e02-423b-85fd-39e0748b921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8115-f13f-4d01-aff4-515a67108c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604d76-ecdf-464b-8720-89396eb59a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022411-6e02-423b-85fd-39e0748b921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f2b8b40-6d33-49af-abef-1171a80bfd6f}" ma:internalName="TaxCatchAll" ma:showField="CatchAllData" ma:web="06022411-6e02-423b-85fd-39e0748b92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ac5f8115-f13f-4d01-aff4-515a67108c33">
      <Terms xmlns="http://schemas.microsoft.com/office/infopath/2007/PartnerControls"/>
    </lcf76f155ced4ddcb4097134ff3c332f>
    <TaxCatchAll xmlns="06022411-6e02-423b-85fd-39e0748b9219" xsi:nil="true"/>
  </documentManagement>
</p:properties>
</file>

<file path=customXml/itemProps1.xml><?xml version="1.0" encoding="utf-8"?>
<ds:datastoreItem xmlns:ds="http://schemas.openxmlformats.org/officeDocument/2006/customXml" ds:itemID="{665C3A26-442B-4326-BA26-BC4AC3669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fdac25-5417-4dce-b783-1e79583e09c2"/>
    <ds:schemaRef ds:uri="ed72da13-45cf-4b5b-99f8-a2a89cf559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966D97-E4C3-4E28-B9AB-A4546F325730}">
  <ds:schemaRefs>
    <ds:schemaRef ds:uri="http://schemas.microsoft.com/sharepoint/v3/contenttype/forms"/>
  </ds:schemaRefs>
</ds:datastoreItem>
</file>

<file path=customXml/itemProps3.xml><?xml version="1.0" encoding="utf-8"?>
<ds:datastoreItem xmlns:ds="http://schemas.openxmlformats.org/officeDocument/2006/customXml" ds:itemID="{7AD59562-C295-430F-A712-D83247B2B9FA}">
  <ds:schemaRefs>
    <ds:schemaRef ds:uri="http://schemas.openxmlformats.org/officeDocument/2006/bibliography"/>
  </ds:schemaRefs>
</ds:datastoreItem>
</file>

<file path=customXml/itemProps4.xml><?xml version="1.0" encoding="utf-8"?>
<ds:datastoreItem xmlns:ds="http://schemas.openxmlformats.org/officeDocument/2006/customXml" ds:itemID="{B856DC8C-3DBA-47CE-BF41-A7ABDF188B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5f8115-f13f-4d01-aff4-515a67108c33"/>
    <ds:schemaRef ds:uri="06022411-6e02-423b-85fd-39e0748b92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999884A-5C6A-4C6F-B417-2586C1ADCB05}">
  <ds:schemaRefs>
    <ds:schemaRef ds:uri="http://schemas.microsoft.com/office/2006/metadata/properties"/>
    <ds:schemaRef ds:uri="http://schemas.microsoft.com/office/infopath/2007/PartnerControls"/>
    <ds:schemaRef ds:uri="ac5f8115-f13f-4d01-aff4-515a67108c33"/>
    <ds:schemaRef ds:uri="06022411-6e02-423b-85fd-39e0748b9219"/>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10214</Words>
  <Characters>58226</Characters>
  <Application>Microsoft Office Word</Application>
  <DocSecurity>0</DocSecurity>
  <Lines>485</Lines>
  <Paragraphs>136</Paragraphs>
  <ScaleCrop>false</ScaleCrop>
  <Manager>IALA</Manager>
  <Company>IALA</Company>
  <LinksUpToDate>false</LinksUpToDate>
  <CharactersWithSpaces>68304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G1192 Ed1.0</dc:title>
  <dc:subject>IALA</dc:subject>
  <dc:creator>Omar Frits Eriksson</dc:creator>
  <cp:keywords/>
  <dc:description/>
  <cp:lastModifiedBy>Nikolaos Vastardis</cp:lastModifiedBy>
  <cp:revision>12</cp:revision>
  <dcterms:created xsi:type="dcterms:W3CDTF">2024-02-17T15:21:00Z</dcterms:created>
  <dcterms:modified xsi:type="dcterms:W3CDTF">2026-10-05T11:35:00Z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0x010100FB4C6AB7F4ADAA4ABC48D93214FE8FD2</vt:lpwstr>
  </property>
  <property fmtid="{D5CDD505-2E9C-101B-9397-08002B2CF9AE}" pid="3" name="Order">
    <vt:r8>3135400</vt:r8>
  </property>
  <property fmtid="{D5CDD505-2E9C-101B-9397-08002B2CF9AE}" pid="4" name="MediaServiceImageTags">
    <vt:lpwstr/>
  </property>
  <property fmtid="{D5CDD505-2E9C-101B-9397-08002B2CF9AE}" pid="5" name="GrammarlyDocumentId">
    <vt:lpwstr>c2bd76d5-052d-4339-8b42-730eab3e0567</vt:lpwstr>
  </property>
</Properties>
</file>