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executive-summary"/>
    <w:p>
      <w:pPr>
        <w:pStyle w:val="Heading1"/>
      </w:pPr>
      <w:r>
        <w:t xml:space="preserve">Executive Summary</w:t>
      </w:r>
    </w:p>
    <w:p>
      <w:pPr>
        <w:pStyle w:val="FirstParagraph"/>
      </w:pPr>
      <w:r>
        <w:t xml:space="preserve">In 2010 the IMO introduced and promoted e-Navigation as a concept for the migitation of the future challenges of the maritime domain. The e-Navigation Strategy Implementation Plan (SIP) defines a set of Maritime Services (MS) as the means of providing electronic information in a harmonized way. The MS-2 - Aids to Navigation Service was introduced, with the aim of promulgating the latest information on AtoN and augment charted AtoN information. This document presents a holistic overview of MS2 from the point of view of IALA.</w:t>
      </w:r>
    </w:p>
    <w:p>
      <w:pPr>
        <w:pStyle w:val="BodyText"/>
      </w:pPr>
      <w:r>
        <w:t xml:space="preserve">In the operational context, the AtoN information is collected and monotired by the AtoN Authorites, which in collaboration with the Coastal Authorities and the Hydrographic Offices (HO) disseminate it to all interested parties. There are two main flows of the AtoN information towards the final end-uset which is the mariner. Onboard vessels with SOLAS equipment, the</w:t>
      </w:r>
      <w:r>
        <w:t xml:space="preserve"> </w:t>
      </w:r>
      <w:r>
        <w:t xml:space="preserve">“</w:t>
      </w:r>
      <w:r>
        <w:t xml:space="preserve">official</w:t>
      </w:r>
      <w:r>
        <w:t xml:space="preserve">”</w:t>
      </w:r>
      <w:r>
        <w:t xml:space="preserve"> </w:t>
      </w:r>
      <w:r>
        <w:t xml:space="preserve">flow is controlled and quality-assured by the HOs, RENCS, VARs and Distributors/OEMs. For all other mariners, AtoN Authorities can utilise public portals and ECS providers.</w:t>
      </w:r>
    </w:p>
    <w:p>
      <w:pPr>
        <w:pStyle w:val="BodyText"/>
      </w:pPr>
      <w:r>
        <w:t xml:space="preserve">The AtoN information will require a number of technical services to be successfully promulgated in a timely manner, including, an Aton Information Service providing AtoN information over S-125, an Enhanced AtoN Information Servive providing AtoN infomation over S-201,a Navigational Warning Service providing information on AtoN incidents using S-124, and a PNT Service using the S-240 product specification.</w:t>
      </w:r>
    </w:p>
    <w:p>
      <w:pPr>
        <w:pStyle w:val="BodyText"/>
      </w:pPr>
      <w:r>
        <w:t xml:space="preserve">IALA recognises the following six key objectives for MS2:</w:t>
      </w:r>
    </w:p>
    <w:p>
      <w:pPr>
        <w:numPr>
          <w:ilvl w:val="0"/>
          <w:numId w:val="66"/>
        </w:numPr>
      </w:pPr>
      <w:r>
        <w:rPr>
          <w:b/>
          <w:bCs/>
        </w:rPr>
        <w:t xml:space="preserve">OBJ1</w:t>
      </w:r>
      <w:r>
        <w:t xml:space="preserve">: Provision of AtoN information service to all end-users.</w:t>
      </w:r>
    </w:p>
    <w:p>
      <w:pPr>
        <w:numPr>
          <w:ilvl w:val="0"/>
          <w:numId w:val="66"/>
        </w:numPr>
      </w:pPr>
      <w:r>
        <w:rPr>
          <w:b/>
          <w:bCs/>
        </w:rPr>
        <w:t xml:space="preserve">OBJ2</w:t>
      </w:r>
      <w:r>
        <w:t xml:space="preserve">: Provision of AtoN information to other authorities.</w:t>
      </w:r>
    </w:p>
    <w:p>
      <w:pPr>
        <w:numPr>
          <w:ilvl w:val="0"/>
          <w:numId w:val="66"/>
        </w:numPr>
      </w:pPr>
      <w:r>
        <w:rPr>
          <w:b/>
          <w:bCs/>
        </w:rPr>
        <w:t xml:space="preserve">OBJ3</w:t>
      </w:r>
      <w:r>
        <w:t xml:space="preserve">: Describe physical, virtual and synthetic AtoN.</w:t>
      </w:r>
    </w:p>
    <w:p>
      <w:pPr>
        <w:numPr>
          <w:ilvl w:val="0"/>
          <w:numId w:val="66"/>
        </w:numPr>
      </w:pPr>
      <w:r>
        <w:rPr>
          <w:b/>
          <w:bCs/>
        </w:rPr>
        <w:t xml:space="preserve">OBJ4</w:t>
      </w:r>
      <w:r>
        <w:t xml:space="preserve">: Deliver the current status and changes of AtoN information.</w:t>
      </w:r>
    </w:p>
    <w:p>
      <w:pPr>
        <w:numPr>
          <w:ilvl w:val="0"/>
          <w:numId w:val="66"/>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66"/>
        </w:numPr>
      </w:pPr>
      <w:r>
        <w:rPr>
          <w:b/>
          <w:bCs/>
        </w:rPr>
        <w:t xml:space="preserve">OBJ6</w:t>
      </w:r>
      <w:r>
        <w:t xml:space="preserve">: Support the adoption of MASS, supplying up-to-date machine readable AtoN information.</w:t>
      </w:r>
    </w:p>
    <w:p>
      <w:pPr>
        <w:pStyle w:val="FirstParagraph"/>
      </w:pPr>
      <w:r>
        <w:t xml:space="preserve">With these objectives in mind, IALA identified a number of individual features and architectural parameters that are required for MS2 to support these six objectives. The service features are specified from the point of view of each of the involved information producers and consumers, while the architectural parameters are high-level guidelines that outline the importance of:</w:t>
      </w:r>
    </w:p>
    <w:p>
      <w:pPr>
        <w:numPr>
          <w:ilvl w:val="0"/>
          <w:numId w:val="67"/>
        </w:numPr>
      </w:pPr>
      <w:r>
        <w:t xml:space="preserve">Focus on the provision of AtoN information</w:t>
      </w:r>
    </w:p>
    <w:p>
      <w:pPr>
        <w:numPr>
          <w:ilvl w:val="0"/>
          <w:numId w:val="67"/>
        </w:numPr>
      </w:pPr>
      <w:r>
        <w:t xml:space="preserve">Use of the S-100 Framework</w:t>
      </w:r>
    </w:p>
    <w:p>
      <w:pPr>
        <w:numPr>
          <w:ilvl w:val="0"/>
          <w:numId w:val="67"/>
        </w:numPr>
      </w:pPr>
      <w:r>
        <w:t xml:space="preserve">Use of established data product specifications</w:t>
      </w:r>
    </w:p>
    <w:p>
      <w:pPr>
        <w:numPr>
          <w:ilvl w:val="0"/>
          <w:numId w:val="67"/>
        </w:numPr>
      </w:pPr>
      <w:r>
        <w:t xml:space="preserve">Secure by design</w:t>
      </w:r>
    </w:p>
    <w:p>
      <w:pPr>
        <w:numPr>
          <w:ilvl w:val="0"/>
          <w:numId w:val="67"/>
        </w:numPr>
      </w:pPr>
      <w:r>
        <w:t xml:space="preserve">Leverage automation</w:t>
      </w:r>
    </w:p>
    <w:p>
      <w:pPr>
        <w:numPr>
          <w:ilvl w:val="0"/>
          <w:numId w:val="67"/>
        </w:numPr>
      </w:pPr>
      <w:r>
        <w:t xml:space="preserve">Data Driven</w:t>
      </w:r>
    </w:p>
    <w:p>
      <w:pPr>
        <w:pStyle w:val="FirstParagraph"/>
      </w:pPr>
      <w:r>
        <w:t xml:space="preserve">It is noted, that the MS2 can be regarded as an AtoN itself and might need to follow to the IALA-defined AtoN categorisation and availability objectives, as it is designed to support the safety of navigation. This document finally defines 19 functional and 10 non-functiona requiredments, so that the technical service development can proceed with clearly identified goals. A high-level description of the AtoN update business process model is also provided, as well as the envisaged process on how S-124 and S-125 can be used to promulated urgent AtoN status changes in a timely manner. This are in line with the relevant IALA publications.</w:t>
      </w:r>
    </w:p>
    <w:bookmarkEnd w:id="0"/>
    <w:bookmarkStart w:id="1"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8"/>
        </w:numPr>
      </w:pPr>
      <w:r>
        <w:t xml:space="preserve">S1: improved, harmonized and user-friendly bridge design.</w:t>
      </w:r>
    </w:p>
    <w:p>
      <w:pPr>
        <w:numPr>
          <w:ilvl w:val="0"/>
          <w:numId w:val="68"/>
        </w:numPr>
      </w:pPr>
      <w:r>
        <w:t xml:space="preserve">S2: means for standardized and automated reporting.</w:t>
      </w:r>
    </w:p>
    <w:p>
      <w:pPr>
        <w:numPr>
          <w:ilvl w:val="0"/>
          <w:numId w:val="68"/>
        </w:numPr>
      </w:pPr>
      <w:r>
        <w:t xml:space="preserve">S3: improved reliability, resilience and integrity of bridge equipment and navigation information.</w:t>
      </w:r>
    </w:p>
    <w:p>
      <w:pPr>
        <w:numPr>
          <w:ilvl w:val="0"/>
          <w:numId w:val="68"/>
        </w:numPr>
      </w:pPr>
      <w:r>
        <w:t xml:space="preserve">S4: integration and presentation of available information in graphical displays received via communication equipment.</w:t>
      </w:r>
    </w:p>
    <w:p>
      <w:pPr>
        <w:numPr>
          <w:ilvl w:val="0"/>
          <w:numId w:val="68"/>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2"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9"/>
        </w:numPr>
      </w:pPr>
      <w:r>
        <w:t xml:space="preserve">Context and goal of the service.</w:t>
      </w:r>
    </w:p>
    <w:p>
      <w:pPr>
        <w:numPr>
          <w:ilvl w:val="0"/>
          <w:numId w:val="69"/>
        </w:numPr>
      </w:pPr>
      <w:r>
        <w:t xml:space="preserve">Relations to other services.</w:t>
      </w:r>
    </w:p>
    <w:p>
      <w:pPr>
        <w:numPr>
          <w:ilvl w:val="0"/>
          <w:numId w:val="69"/>
        </w:numPr>
      </w:pPr>
      <w:r>
        <w:t xml:space="preserve">User needs, information needs, high level functional and non‐functional requirements.</w:t>
      </w:r>
    </w:p>
    <w:p>
      <w:pPr>
        <w:numPr>
          <w:ilvl w:val="0"/>
          <w:numId w:val="69"/>
        </w:numPr>
      </w:pPr>
      <w:r>
        <w:t xml:space="preserve">Requirements traceability matrix.</w:t>
      </w:r>
    </w:p>
    <w:p>
      <w:pPr>
        <w:numPr>
          <w:ilvl w:val="0"/>
          <w:numId w:val="69"/>
        </w:numPr>
      </w:pPr>
      <w:r>
        <w:t xml:space="preserve">Business architecture with a Business Process Model (BPM).</w:t>
      </w:r>
    </w:p>
    <w:bookmarkEnd w:id="1"/>
    <w:bookmarkStart w:id="3"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4"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70"/>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71"/>
        </w:numPr>
      </w:pPr>
      <w:r>
        <w:t xml:space="preserve">The Shore-Side</w:t>
      </w:r>
    </w:p>
    <w:p>
      <w:pPr>
        <w:numPr>
          <w:ilvl w:val="0"/>
          <w:numId w:val="71"/>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are defined as any public-facing digital services, including IP based human readable websites and web based APIs, that could potentially act as another vital distribution point. They can be paid or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2"/>
    <w:bookmarkStart w:id="5"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2"/>
        </w:numPr>
      </w:pPr>
      <w:r>
        <w:t xml:space="preserve">New hazards (fixed or dynamic)</w:t>
      </w:r>
    </w:p>
    <w:p>
      <w:pPr>
        <w:numPr>
          <w:ilvl w:val="0"/>
          <w:numId w:val="72"/>
        </w:numPr>
      </w:pPr>
      <w:r>
        <w:t xml:space="preserve">Temporary channels or routes</w:t>
      </w:r>
    </w:p>
    <w:p>
      <w:pPr>
        <w:numPr>
          <w:ilvl w:val="0"/>
          <w:numId w:val="72"/>
        </w:numPr>
      </w:pPr>
      <w:r>
        <w:t xml:space="preserve">Temporary areas to be avoided (e.g. restricted areas, military exercises)</w:t>
      </w:r>
    </w:p>
    <w:p>
      <w:pPr>
        <w:numPr>
          <w:ilvl w:val="0"/>
          <w:numId w:val="72"/>
        </w:numPr>
      </w:pPr>
      <w:r>
        <w:t xml:space="preserve">Survey, dredging, fishing, special marine events)</w:t>
      </w:r>
    </w:p>
    <w:p>
      <w:pPr>
        <w:numPr>
          <w:ilvl w:val="0"/>
          <w:numId w:val="72"/>
        </w:numPr>
      </w:pPr>
      <w:r>
        <w:t xml:space="preserve">Changed hydrography, such as shifting banks</w:t>
      </w:r>
    </w:p>
    <w:p>
      <w:pPr>
        <w:numPr>
          <w:ilvl w:val="0"/>
          <w:numId w:val="72"/>
        </w:numPr>
      </w:pPr>
      <w:r>
        <w:t xml:space="preserve">Temporary replacement of a charted aid that is off station or removed</w:t>
      </w:r>
    </w:p>
    <w:p>
      <w:pPr>
        <w:numPr>
          <w:ilvl w:val="0"/>
          <w:numId w:val="72"/>
        </w:numPr>
      </w:pPr>
      <w:r>
        <w:t xml:space="preserve">Dynamic areas (e.g. reduced visibility, presence of protected species)</w:t>
      </w:r>
    </w:p>
    <w:p>
      <w:pPr>
        <w:numPr>
          <w:ilvl w:val="0"/>
          <w:numId w:val="72"/>
        </w:numPr>
      </w:pPr>
      <w:r>
        <w:t xml:space="preserve">Polar navigation, provided there is sufficient means of radio communication broadcast and charting</w:t>
      </w:r>
    </w:p>
    <w:p>
      <w:pPr>
        <w:numPr>
          <w:ilvl w:val="0"/>
          <w:numId w:val="72"/>
        </w:numPr>
      </w:pPr>
      <w:r>
        <w:t xml:space="preserve">Ice conditions and navigation</w:t>
      </w:r>
    </w:p>
    <w:p>
      <w:pPr>
        <w:numPr>
          <w:ilvl w:val="0"/>
          <w:numId w:val="72"/>
        </w:numPr>
      </w:pPr>
      <w:r>
        <w:t xml:space="preserve">Incident response (e.g. environmental, search and rescue)</w:t>
      </w:r>
    </w:p>
    <w:p>
      <w:pPr>
        <w:numPr>
          <w:ilvl w:val="0"/>
          <w:numId w:val="72"/>
        </w:numPr>
      </w:pPr>
      <w:r>
        <w:t xml:space="preserve">Port-specific applications (e.g. passage planning, amended pilot boarding location)</w:t>
      </w:r>
    </w:p>
    <w:p>
      <w:pPr>
        <w:numPr>
          <w:ilvl w:val="0"/>
          <w:numId w:val="72"/>
        </w:numPr>
      </w:pPr>
      <w:r>
        <w:t xml:space="preserve">Measures for the protection of the marine environment</w:t>
      </w:r>
    </w:p>
    <w:p>
      <w:pPr>
        <w:numPr>
          <w:ilvl w:val="0"/>
          <w:numId w:val="72"/>
        </w:numPr>
      </w:pPr>
      <w:r>
        <w:t xml:space="preserve">Security</w:t>
      </w:r>
    </w:p>
    <w:p>
      <w:pPr>
        <w:numPr>
          <w:ilvl w:val="0"/>
          <w:numId w:val="72"/>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2"/>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3"/>
        </w:numPr>
      </w:pPr>
      <w:r>
        <w:t xml:space="preserve">New construction areas (e.g. offshore wind farms)</w:t>
      </w:r>
    </w:p>
    <w:bookmarkEnd w:id="3"/>
    <w:bookmarkStart w:id="6"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7" w:name="tbl:assoc-tech-services"/>
    <w:p>
      <w:pPr>
        <w:pStyle w:val="TableCaption"/>
        <w:numPr>
          <w:ilvl w:val="0"/>
          <w:numId w:val="74"/>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4"/>
    <w:bookmarkEnd w:id="5"/>
    <w:bookmarkEnd w:id="6"/>
    <w:bookmarkStart w:id="8"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5"/>
        </w:numPr>
      </w:pPr>
      <w:r>
        <w:rPr>
          <w:b/>
          <w:bCs/>
        </w:rPr>
        <w:t xml:space="preserve">OBJ1</w:t>
      </w:r>
      <w:r>
        <w:t xml:space="preserve">: Provision of AtoN information service to all end-users.</w:t>
      </w:r>
    </w:p>
    <w:p>
      <w:pPr>
        <w:numPr>
          <w:ilvl w:val="0"/>
          <w:numId w:val="75"/>
        </w:numPr>
      </w:pPr>
      <w:r>
        <w:rPr>
          <w:b/>
          <w:bCs/>
        </w:rPr>
        <w:t xml:space="preserve">OBJ2</w:t>
      </w:r>
      <w:r>
        <w:t xml:space="preserve">: Provision of AtoN information to other authorities.</w:t>
      </w:r>
    </w:p>
    <w:p>
      <w:pPr>
        <w:numPr>
          <w:ilvl w:val="0"/>
          <w:numId w:val="75"/>
        </w:numPr>
      </w:pPr>
      <w:r>
        <w:rPr>
          <w:b/>
          <w:bCs/>
        </w:rPr>
        <w:t xml:space="preserve">OBJ3</w:t>
      </w:r>
      <w:r>
        <w:t xml:space="preserve">: Describe physical, virtual and synthetic AtoN.</w:t>
      </w:r>
    </w:p>
    <w:p>
      <w:pPr>
        <w:numPr>
          <w:ilvl w:val="0"/>
          <w:numId w:val="75"/>
        </w:numPr>
      </w:pPr>
      <w:r>
        <w:rPr>
          <w:b/>
          <w:bCs/>
        </w:rPr>
        <w:t xml:space="preserve">OBJ4</w:t>
      </w:r>
      <w:r>
        <w:t xml:space="preserve">: Deliver the current status and changes of AtoN information.</w:t>
      </w:r>
    </w:p>
    <w:p>
      <w:pPr>
        <w:numPr>
          <w:ilvl w:val="0"/>
          <w:numId w:val="75"/>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5"/>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7"/>
    <w:bookmarkStart w:id="9"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6"/>
        </w:numPr>
      </w:pPr>
      <w:r>
        <w:t xml:space="preserve">Other AtoN authorities</w:t>
      </w:r>
    </w:p>
    <w:p>
      <w:pPr>
        <w:numPr>
          <w:ilvl w:val="0"/>
          <w:numId w:val="76"/>
        </w:numPr>
      </w:pPr>
      <w:r>
        <w:t xml:space="preserve">Coastal Authorities</w:t>
      </w:r>
    </w:p>
    <w:p>
      <w:pPr>
        <w:numPr>
          <w:ilvl w:val="0"/>
          <w:numId w:val="76"/>
        </w:numPr>
      </w:pPr>
      <w:r>
        <w:t xml:space="preserve">Hydrographic Offices</w:t>
      </w:r>
    </w:p>
    <w:p>
      <w:pPr>
        <w:numPr>
          <w:ilvl w:val="0"/>
          <w:numId w:val="76"/>
        </w:numPr>
      </w:pPr>
      <w:r>
        <w:t xml:space="preserve">Regional Electronic Navigational Chart Coordination Centers (RENCs)</w:t>
      </w:r>
    </w:p>
    <w:p>
      <w:pPr>
        <w:numPr>
          <w:ilvl w:val="0"/>
          <w:numId w:val="76"/>
        </w:numPr>
      </w:pPr>
      <w:r>
        <w:t xml:space="preserve">Value-Added Resellers (VARs) and Distributors</w:t>
      </w:r>
    </w:p>
    <w:p>
      <w:pPr>
        <w:numPr>
          <w:ilvl w:val="0"/>
          <w:numId w:val="76"/>
        </w:numPr>
      </w:pPr>
      <w:r>
        <w:t xml:space="preserve">Search &amp; Rescue Services</w:t>
      </w:r>
    </w:p>
    <w:p>
      <w:pPr>
        <w:numPr>
          <w:ilvl w:val="0"/>
          <w:numId w:val="76"/>
        </w:numPr>
      </w:pPr>
      <w:r>
        <w:t xml:space="preserve">VTS Providers</w:t>
      </w:r>
    </w:p>
    <w:p>
      <w:pPr>
        <w:numPr>
          <w:ilvl w:val="0"/>
          <w:numId w:val="76"/>
        </w:numPr>
      </w:pPr>
      <w:r>
        <w:t xml:space="preserve">Other Electronic Chart System providers</w:t>
      </w:r>
    </w:p>
    <w:p>
      <w:pPr>
        <w:numPr>
          <w:ilvl w:val="0"/>
          <w:numId w:val="76"/>
        </w:numPr>
      </w:pPr>
      <w:r>
        <w:t xml:space="preserve">Automated systems for navigation of vessels in coastal and/or open waters.</w:t>
      </w:r>
    </w:p>
    <w:p>
      <w:pPr>
        <w:numPr>
          <w:ilvl w:val="0"/>
          <w:numId w:val="76"/>
        </w:numPr>
      </w:pPr>
      <w:r>
        <w:t xml:space="preserve">Mariners with or without SOLAS equipment navigating in coastal or open waters</w:t>
      </w:r>
    </w:p>
    <w:bookmarkEnd w:id="8"/>
    <w:bookmarkEnd w:id="9"/>
    <w:bookmarkStart w:id="10"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1"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10"/>
    <w:bookmarkEnd w:id="11"/>
    <w:bookmarkStart w:id="12"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7"/>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7"/>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3"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r>
        <w:tc>
          <w:tcPr>
            <w:vMerge w:val="restart"/>
          </w:tcPr>
          <w:p>
            <w:pPr>
              <w:pStyle w:val="Compact"/>
              <w:jc w:val="left"/>
            </w:pPr>
            <w:r>
              <w:t xml:space="preserve">F019</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be able to see only the AtoN status change information on top of my navigational chart,</w:t>
            </w:r>
          </w:p>
        </w:tc>
        <w:tc>
          <w:tcPr>
            <w:gridSpan w:val="1"/>
            <w:vMerge w:val="continue"/>
          </w:tcPr>
          <w:p>
            <w:pPr/>
          </w:p>
        </w:tc>
      </w:tr>
      <w:tr>
        <w:tc>
          <w:tcPr>
            <w:gridSpan w:val="1"/>
            <w:vMerge w:val="continue"/>
          </w:tcPr>
          <w:p>
            <w:pPr/>
          </w:p>
        </w:tc>
        <w:tc>
          <w:tcPr/>
          <w:p>
            <w:pPr>
              <w:pStyle w:val="Compact"/>
              <w:jc w:val="left"/>
            </w:pPr>
            <w:r>
              <w:t xml:space="preserve">so that:: the display of information is harmonized and it is clear what the significant changes in AtoNs are.</w:t>
            </w:r>
          </w:p>
        </w:tc>
        <w:tc>
          <w:tcPr>
            <w:gridSpan w:val="1"/>
            <w:vMerge w:val="continue"/>
          </w:tcPr>
          <w:p>
            <w:pPr/>
          </w:p>
        </w:tc>
      </w:tr>
    </w:tbl>
    <w:bookmarkEnd w:id="12"/>
    <w:bookmarkEnd w:id="13"/>
    <w:bookmarkStart w:id="14" w:name="sec:guiding_principles"/>
    <w:p>
      <w:pPr>
        <w:pStyle w:val="Heading1"/>
      </w:pPr>
      <w:r>
        <w:t xml:space="preserve">Guiding Principles</w:t>
      </w:r>
    </w:p>
    <w:bookmarkStart w:id="15"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6"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As the IALA Disctinary definition of a Marine Aids to Navigation (AtoN)</w:t>
      </w:r>
      <w:r>
        <w:t xml:space="preserve"> </w:t>
      </w:r>
      <w:r>
        <w:rPr>
          <w:b/>
          <w:bCs/>
          <w:i/>
          <w:iCs/>
        </w:rPr>
        <w:t xml:space="preserve">“</w:t>
      </w:r>
      <w:r>
        <w:rPr>
          <w:b/>
          <w:bCs/>
          <w:i/>
          <w:iCs/>
        </w:rPr>
        <w:t xml:space="preserve">means a device, system, or service, external to a vessel, designed and operated to enhance safe and efficient navigation of all vessels and/or vessel traffic</w:t>
      </w:r>
      <w:r>
        <w:rPr>
          <w:b/>
          <w:bCs/>
          <w:i/>
          <w:iCs/>
        </w:rPr>
        <w:t xml:space="preserve">”</w:t>
      </w:r>
      <w:r>
        <w:t xml:space="preserve">, the service itself may be regarded as an Marine AtoN, and therefore the AtoN categorization and availability objectives, as per IALA O-130</w:t>
      </w:r>
      <w:r>
        <w:t xml:space="preserve"> </w:t>
      </w:r>
      <w:r>
        <w:t xml:space="preserve">[7]</w:t>
      </w:r>
      <w:r>
        <w:t xml:space="preserve">, could potentially apply to it.</w:t>
      </w:r>
    </w:p>
    <w:bookmarkEnd w:id="14"/>
    <w:bookmarkStart w:id="17"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8"/>
        </w:numPr>
      </w:pPr>
      <w:r>
        <w:t xml:space="preserve">Exchange of</w:t>
      </w:r>
      <w:r>
        <w:t xml:space="preserve"> </w:t>
      </w:r>
      <w:r>
        <w:t xml:space="preserve">“</w:t>
      </w:r>
      <w:r>
        <w:t xml:space="preserve">pure</w:t>
      </w:r>
      <w:r>
        <w:t xml:space="preserve">”</w:t>
      </w:r>
      <w:r>
        <w:t xml:space="preserve"> </w:t>
      </w:r>
      <w:r>
        <w:t xml:space="preserve">S-100 Datasets, and</w:t>
      </w:r>
    </w:p>
    <w:p>
      <w:pPr>
        <w:numPr>
          <w:ilvl w:val="0"/>
          <w:numId w:val="78"/>
        </w:numPr>
      </w:pPr>
      <w:r>
        <w:t xml:space="preserve">Exchange of S-100 100 Exchange Sets, along with the machine readable parts of the product specification.</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5"/>
    <w:bookmarkStart w:id="18"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2.2 the respective IHO data products based on the S-100 framework are:</w:t>
      </w:r>
    </w:p>
    <w:p>
      <w:pPr>
        <w:numPr>
          <w:ilvl w:val="0"/>
          <w:numId w:val="79"/>
        </w:numPr>
      </w:pPr>
      <w:r>
        <w:t xml:space="preserve">S-124</w:t>
      </w:r>
    </w:p>
    <w:p>
      <w:pPr>
        <w:numPr>
          <w:ilvl w:val="0"/>
          <w:numId w:val="79"/>
        </w:numPr>
      </w:pPr>
      <w:r>
        <w:t xml:space="preserve">S-125</w:t>
      </w:r>
    </w:p>
    <w:p>
      <w:pPr>
        <w:numPr>
          <w:ilvl w:val="0"/>
          <w:numId w:val="79"/>
        </w:numPr>
      </w:pPr>
      <w:r>
        <w:t xml:space="preserve">S-201</w:t>
      </w:r>
    </w:p>
    <w:p>
      <w:pPr>
        <w:numPr>
          <w:ilvl w:val="0"/>
          <w:numId w:val="79"/>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6"/>
    <w:bookmarkStart w:id="19"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7"/>
    <w:bookmarkStart w:id="20"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8"/>
    <w:bookmarkStart w:id="21"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9"/>
    <w:bookmarkEnd w:id="20"/>
    <w:bookmarkStart w:id="22" w:name="X543fc3ee69d8b9eebfbf21368042f80b38ec856"/>
    <w:p>
      <w:pPr>
        <w:pStyle w:val="Heading2"/>
      </w:pPr>
      <w:r>
        <w:t xml:space="preserve">Functional and Non-Functional Requirements</w:t>
      </w:r>
    </w:p>
    <w:bookmarkStart w:id="23"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1"/>
    <w:bookmarkStart w:id="24"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2"/>
    <w:bookmarkEnd w:id="23"/>
    <w:bookmarkEnd w:id="24"/>
    <w:bookmarkStart w:id="25" w:name="sec:business_process"/>
    <w:p>
      <w:pPr>
        <w:pStyle w:val="Heading1"/>
      </w:pPr>
      <w:r>
        <w:t xml:space="preserve">Business Process Model</w:t>
      </w:r>
    </w:p>
    <w:p>
      <w:pPr>
        <w:pStyle w:val="FirstParagraph"/>
      </w:pPr>
      <w:r>
        <w:t xml:space="preserve">Figure 2 depicts the general business process model for updating the AtoN information on ENCs, as it is expected to take place after the introduction of S-201 and S-125. The introduction of the MS-2 - Aids to Navigation Service intends to automate the collection AtoN updates and delivery to the service consumer, whether that is a HO, a shore-side entity (such as a public portal, a RECN, a VAR or an OEM), or a ship-side seafarer.</w:t>
      </w:r>
    </w:p>
    <w:p xmlns:a="http://schemas.openxmlformats.org/drawingml/2006/main" xmlns:pic="http://schemas.openxmlformats.org/drawingml/2006/picture">
      <w:pPr>
        <w:pStyle w:val="CaptionedFigure"/>
      </w:pPr>
      <w:r>
        <w:drawing>
          <wp:inline>
            <wp:extent cx="6477000" cy="456248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6477000" cy="456248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w:pPr>
        <w:pStyle w:val="BodyText"/>
      </w:pPr>
      <w:r>
        <w:t xml:space="preserve">In the diagram of Figure 2, the</w:t>
      </w:r>
      <w:r>
        <w:t xml:space="preserve"> </w:t>
      </w:r>
      <w:r>
        <w:t xml:space="preserve">“</w:t>
      </w:r>
      <w:r>
        <w:t xml:space="preserve">Validation Operation</w:t>
      </w:r>
      <w:r>
        <w:t xml:space="preserve">”</w:t>
      </w:r>
      <w:r>
        <w:t xml:space="preserve"> </w:t>
      </w:r>
      <w:r>
        <w:t xml:space="preserve">task of the HO, relates to the data conformity against the respective data product specifications, not validation of the data content itself. The accuracy of the data is the responsibility of the competent AtoN Authority, of course within the limits of the operational constraints. Additional tests for the cross-validation between the involved data products is also required by the HO or the RENC, to ensure that all data product datasets published are compatible and do not provide conflicting information.</w:t>
      </w:r>
    </w:p>
    <w:p xmlns:a="http://schemas.openxmlformats.org/drawingml/2006/main" xmlns:pic="http://schemas.openxmlformats.org/drawingml/2006/picture">
      <w:pPr>
        <w:pStyle w:val="CaptionedFigure"/>
      </w:pPr>
      <w:r>
        <w:drawing>
          <wp:inline>
            <wp:extent cx="6477000" cy="4727996"/>
            <wp:effectExtent b="0" l="0" r="0" t="0"/>
            <wp:docPr descr="Figure 3: Business Process Model for handling urgent AtoN incidents." title="" id="3" name="Picture"/>
            <a:graphic>
              <a:graphicData uri="http://schemas.openxmlformats.org/drawingml/2006/picture">
                <pic:pic>
                  <pic:nvPicPr>
                    <pic:cNvPr descr="source/guideline/../../resources/business_process_s124_s125.png" id="3" name="Picture"/>
                    <pic:cNvPicPr>
                      <a:picLocks noChangeArrowheads="1" noChangeAspect="1"/>
                    </pic:cNvPicPr>
                  </pic:nvPicPr>
                  <pic:blipFill>
                    <a:blip r:embed="rId35"/>
                    <a:stretch>
                      <a:fillRect/>
                    </a:stretch>
                  </pic:blipFill>
                  <pic:spPr bwMode="auto">
                    <a:xfrm>
                      <a:off x="0" y="0"/>
                      <a:ext cx="6477000" cy="4727996"/>
                    </a:xfrm>
                    <a:prstGeom prst="rect">
                      <a:avLst/>
                    </a:prstGeom>
                    <a:noFill/>
                    <a:ln w="9525">
                      <a:noFill/>
                      <a:headEnd/>
                      <a:tailEnd/>
                    </a:ln>
                  </pic:spPr>
                </pic:pic>
              </a:graphicData>
            </a:graphic>
          </wp:inline>
        </w:drawing>
      </w:r>
    </w:p>
    <w:p>
      <w:pPr>
        <w:pStyle w:val="ImageCaption"/>
      </w:pPr>
      <w:r>
        <w:t xml:space="preserve">Figure 3: Business Process Model for handling urgent AtoN incidents.</w:t>
      </w:r>
    </w:p>
    <w:p>
      <w:pPr>
        <w:pStyle w:val="BodyText"/>
      </w:pPr>
      <w:r>
        <w:t xml:space="preserve">Figure 2 also captures cases where the AtoN incident reported is considered as urgent by the AtoN Authority. The business process thatis followed in those cases, is further described in Figure 3. As depicted, the promulgation of a Navigational Warning through S-124 is mandated, thus the incident is reported and initially handled by the Navigational Warning Service. After a new S-124 dataset has been produced and promulgated, the incident can be further analysed by the AtoN Service for the timely update of its S-125 datasets. In accordance with the IMO documentation</w:t>
      </w:r>
      <w:r>
        <w:t xml:space="preserve"> </w:t>
      </w:r>
      <w:r>
        <w:t xml:space="preserve">[5]</w:t>
      </w:r>
      <w:r>
        <w:t xml:space="preserve">, both the Navigational Warning and AtoN Services are expected to be digital techical services. The operational structure and responsibility for these digital services should be determined by the competent authorities of the respective coastal states (e.g. Coastal Authority, HO, AtoN Authority etc.), in accordance with their national policies and regulations.</w:t>
      </w:r>
    </w:p>
    <w:bookmarkEnd w:id="25"/>
    <w:bookmarkStart w:id="26" w:name="definitions"/>
    <w:p>
      <w:pPr>
        <w:pStyle w:val="Heading1"/>
      </w:pPr>
      <w:r>
        <w:t xml:space="preserve">Definitions</w:t>
      </w:r>
    </w:p>
    <w:p>
      <w:pPr>
        <w:pStyle w:val="FirstParagraph"/>
      </w:pPr>
      <w:r>
        <w:t xml:space="preserve">The definitions of terms used in this Guideline, some of which can be found in the</w:t>
      </w:r>
      <w:r>
        <w:t xml:space="preserve"> </w:t>
      </w:r>
      <w:r>
        <w:rPr>
          <w:i/>
          <w:iCs/>
        </w:rPr>
        <w:t xml:space="preserve">International Dictionary of Marine Aids to Navigation</w:t>
      </w:r>
      <w:r>
        <w:t xml:space="preserve"> </w:t>
      </w:r>
      <w:r>
        <w:t xml:space="preserve">(IALA Dictionary),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Public Portal</w:t>
      </w:r>
    </w:p>
    <w:p>
      <w:pPr>
        <w:pStyle w:val="Definition"/>
      </w:pPr>
      <w:r>
        <w:t xml:space="preserve">Public Portal services are defined as any public-facing digital services, including IP based human readable websites and web based APIs.</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bookmarkEnd w:id="26"/>
    <w:bookmarkStart w:id="27"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7"/>
    <w:bookmarkStart w:id="28" w:name="references"/>
    <w:p>
      <w:pPr>
        <w:pStyle w:val="Heading1"/>
      </w:pPr>
      <w:r>
        <w:t xml:space="preserve">References</w:t>
      </w:r>
    </w:p>
    <w:bookmarkStart w:id="29" w:name="refs"/>
    <w:bookmarkStart w:id="30"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8"/>
    <w:bookmarkStart w:id="31"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9"/>
    <w:bookmarkStart w:id="32"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30"/>
    <w:bookmarkStart w:id="33"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1"/>
    <w:bookmarkStart w:id="34"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2"/>
    <w:bookmarkStart w:id="35"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3"/>
    <w:bookmarkStart w:id="36"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4"/>
    <w:bookmarkStart w:id="37"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5"/>
    <w:bookmarkEnd w:id="36"/>
    <w:bookmarkEnd w:id="37"/>
    <w:bookmarkStart w:id="38"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39"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Data and system integrity</w:t>
            </w:r>
          </w:p>
          <w:p>
            <w:pPr>
              <w:pStyle w:val="Compact"/>
              <w:numPr>
                <w:ilvl w:val="0"/>
                <w:numId w:val="80"/>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80"/>
              </w:numPr>
              <w:jc w:val="left"/>
            </w:pPr>
            <w:r>
              <w:t xml:space="preserve">Effective and robust communication</w:t>
            </w:r>
          </w:p>
          <w:p>
            <w:pPr>
              <w:pStyle w:val="Compact"/>
              <w:numPr>
                <w:ilvl w:val="0"/>
                <w:numId w:val="80"/>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80"/>
              </w:numPr>
              <w:jc w:val="left"/>
            </w:pPr>
            <w:r>
              <w:t xml:space="preserve">Human-centred presentation needs</w:t>
            </w:r>
          </w:p>
          <w:p>
            <w:pPr>
              <w:pStyle w:val="Compact"/>
              <w:numPr>
                <w:ilvl w:val="0"/>
                <w:numId w:val="80"/>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80"/>
              </w:numPr>
              <w:jc w:val="left"/>
            </w:pPr>
            <w:r>
              <w:t xml:space="preserve">Common maritime information/data structure</w:t>
            </w:r>
          </w:p>
          <w:p>
            <w:pPr>
              <w:pStyle w:val="Compact"/>
              <w:numPr>
                <w:ilvl w:val="0"/>
                <w:numId w:val="80"/>
              </w:numPr>
              <w:jc w:val="left"/>
            </w:pPr>
            <w:r>
              <w:t xml:space="preserve">Effective and robust communications</w:t>
            </w:r>
          </w:p>
          <w:p>
            <w:pPr>
              <w:pStyle w:val="Compact"/>
              <w:numPr>
                <w:ilvl w:val="0"/>
                <w:numId w:val="80"/>
              </w:numPr>
              <w:jc w:val="left"/>
            </w:pPr>
            <w:r>
              <w:t xml:space="preserve">Human-centred presentation needs</w:t>
            </w:r>
          </w:p>
          <w:p>
            <w:pPr>
              <w:pStyle w:val="Compact"/>
              <w:numPr>
                <w:ilvl w:val="0"/>
                <w:numId w:val="80"/>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80"/>
              </w:numPr>
              <w:jc w:val="left"/>
            </w:pPr>
            <w:r>
              <w:t xml:space="preserve">Automated and standardized reporting functions</w:t>
            </w:r>
          </w:p>
          <w:p>
            <w:pPr>
              <w:pStyle w:val="Compact"/>
              <w:numPr>
                <w:ilvl w:val="0"/>
                <w:numId w:val="80"/>
              </w:numPr>
              <w:jc w:val="left"/>
            </w:pPr>
            <w:r>
              <w:t xml:space="preserve">Effective and robust communications</w:t>
            </w:r>
          </w:p>
          <w:p>
            <w:pPr>
              <w:pStyle w:val="Compact"/>
              <w:numPr>
                <w:ilvl w:val="0"/>
                <w:numId w:val="80"/>
              </w:numPr>
              <w:jc w:val="left"/>
            </w:pPr>
            <w:r>
              <w:t xml:space="preserve">Common marine/data structure</w:t>
            </w:r>
          </w:p>
          <w:p>
            <w:pPr>
              <w:pStyle w:val="Compact"/>
              <w:numPr>
                <w:ilvl w:val="0"/>
                <w:numId w:val="80"/>
              </w:numPr>
              <w:jc w:val="left"/>
            </w:pPr>
            <w:r>
              <w:t xml:space="preserve">Data and system integrity</w:t>
            </w:r>
          </w:p>
          <w:p>
            <w:pPr>
              <w:pStyle w:val="Compact"/>
              <w:numPr>
                <w:ilvl w:val="0"/>
                <w:numId w:val="80"/>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8"/>
    <w:bookmarkStart w:id="40"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39"/>
    <w:bookmarkStart w:id="41"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bl>
    <w:bookmarkEnd w:id="40"/>
    <w:bookmarkEnd w:id="41"/>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34D1CC2"/>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abstractNumId w:val="25"/>
  </w:num>
  <w:num w:numId="69">
    <w:abstractNumId w:val="25"/>
  </w:num>
  <w:num w:numId="70" w16cid:durableId="1023478736">
    <w:abstractNumId w:val="9"/>
    <w:lvlOverride w:ilvl="0">
      <w:startOverride w:val="1"/>
    </w:lvlOverride>
  </w:num>
  <w:num w:numId="71">
    <w:abstractNumId w:val="25"/>
  </w:num>
  <w:num w:numId="72">
    <w:abstractNumId w:val="25"/>
  </w:num>
  <w:num w:numId="73">
    <w:abstractNumId w:val="25"/>
  </w:num>
  <w:num w:numId="74" w16cid:durableId="1117405132">
    <w:abstractNumId w:val="6"/>
    <w:lvlOverride w:ilvl="0">
      <w:startOverride w:val="1"/>
    </w:lvlOverride>
  </w:num>
  <w:num w:numId="75">
    <w:abstractNumId w:val="25"/>
  </w:num>
  <w:num w:numId="76">
    <w:abstractNumId w:val="25"/>
  </w:num>
  <w:num w:numId="77">
    <w:abstractNumId w:val="25"/>
  </w:num>
  <w:num w:numId="78">
    <w:abstractNumId w:val="25"/>
  </w:num>
  <w:num w:numId="79">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1">
    <w:abstractNumId w:val="25"/>
  </w:num>
  <w:num w:numId="81">
    <w:abstractNumId w:val="25"/>
  </w:num>
  <w:num w:numId="81">
    <w:abstractNumId w:val="25"/>
  </w:num>
  <w:num w:numId="81">
    <w:abstractNumId w:val="25"/>
  </w:num>
  <w:num w:numId="81">
    <w:abstractNumId w:val="25"/>
  </w:num>
  <w:num w:numId="81">
    <w:abstractNumId w:val="25"/>
  </w:num>
  <w:num w:numId="82">
    <w:abstractNumId w:val="25"/>
  </w:num>
  <w:num w:numId="82">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