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With these objectives in mind, 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are high-level guidelines that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both in line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71A65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