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6"/>
        </w:numPr>
      </w:pPr>
      <w:r>
        <w:t xml:space="preserve">S1: improved, harmonized and user-friendly bridge design.</w:t>
      </w:r>
    </w:p>
    <w:p>
      <w:pPr>
        <w:numPr>
          <w:ilvl w:val="0"/>
          <w:numId w:val="66"/>
        </w:numPr>
      </w:pPr>
      <w:r>
        <w:t xml:space="preserve">S2: means for standardized and automated reporting.</w:t>
      </w:r>
    </w:p>
    <w:p>
      <w:pPr>
        <w:numPr>
          <w:ilvl w:val="0"/>
          <w:numId w:val="66"/>
        </w:numPr>
      </w:pPr>
      <w:r>
        <w:t xml:space="preserve">S3: improved reliability, resilience and integrity of bridge equipment and navigation information.</w:t>
      </w:r>
    </w:p>
    <w:p>
      <w:pPr>
        <w:numPr>
          <w:ilvl w:val="0"/>
          <w:numId w:val="66"/>
        </w:numPr>
      </w:pPr>
      <w:r>
        <w:t xml:space="preserve">S4: integration and presentation of available information in graphical displays received via communication equipment.</w:t>
      </w:r>
    </w:p>
    <w:p>
      <w:pPr>
        <w:numPr>
          <w:ilvl w:val="0"/>
          <w:numId w:val="66"/>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1"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7"/>
        </w:numPr>
      </w:pPr>
      <w:r>
        <w:t xml:space="preserve">Context and goal of the service.</w:t>
      </w:r>
    </w:p>
    <w:p>
      <w:pPr>
        <w:numPr>
          <w:ilvl w:val="0"/>
          <w:numId w:val="67"/>
        </w:numPr>
      </w:pPr>
      <w:r>
        <w:t xml:space="preserve">Relations to other services.</w:t>
      </w:r>
    </w:p>
    <w:p>
      <w:pPr>
        <w:numPr>
          <w:ilvl w:val="0"/>
          <w:numId w:val="67"/>
        </w:numPr>
      </w:pPr>
      <w:r>
        <w:t xml:space="preserve">User needs, information needs, high level functional and non‐functional requirements.</w:t>
      </w:r>
    </w:p>
    <w:p>
      <w:pPr>
        <w:numPr>
          <w:ilvl w:val="0"/>
          <w:numId w:val="67"/>
        </w:numPr>
      </w:pPr>
      <w:r>
        <w:t xml:space="preserve">Requirements traceability matrix.</w:t>
      </w:r>
    </w:p>
    <w:p>
      <w:pPr>
        <w:numPr>
          <w:ilvl w:val="0"/>
          <w:numId w:val="67"/>
        </w:numPr>
      </w:pPr>
      <w:r>
        <w:t xml:space="preserve">Business architecture with a Business Process Model (BPM).</w:t>
      </w:r>
    </w:p>
    <w:bookmarkEnd w:id="0"/>
    <w:bookmarkStart w:id="2"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3"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68"/>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69"/>
        </w:numPr>
      </w:pPr>
      <w:r>
        <w:t xml:space="preserve">The Shore-Side</w:t>
      </w:r>
    </w:p>
    <w:p>
      <w:pPr>
        <w:numPr>
          <w:ilvl w:val="0"/>
          <w:numId w:val="69"/>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could potentially act as another vital distribution point. They can be paid of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1"/>
    <w:bookmarkStart w:id="4"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0"/>
        </w:numPr>
      </w:pPr>
      <w:r>
        <w:t xml:space="preserve">New hazards (fixed or dynamic)</w:t>
      </w:r>
    </w:p>
    <w:p>
      <w:pPr>
        <w:numPr>
          <w:ilvl w:val="0"/>
          <w:numId w:val="70"/>
        </w:numPr>
      </w:pPr>
      <w:r>
        <w:t xml:space="preserve">Temporary channels or routes</w:t>
      </w:r>
    </w:p>
    <w:p>
      <w:pPr>
        <w:numPr>
          <w:ilvl w:val="0"/>
          <w:numId w:val="70"/>
        </w:numPr>
      </w:pPr>
      <w:r>
        <w:t xml:space="preserve">Temporary areas to be avoided (e.g. restricted areas, military exercises)</w:t>
      </w:r>
    </w:p>
    <w:p>
      <w:pPr>
        <w:numPr>
          <w:ilvl w:val="0"/>
          <w:numId w:val="70"/>
        </w:numPr>
      </w:pPr>
      <w:r>
        <w:t xml:space="preserve">Survey, dredging, fishing, special marine events)</w:t>
      </w:r>
    </w:p>
    <w:p>
      <w:pPr>
        <w:numPr>
          <w:ilvl w:val="0"/>
          <w:numId w:val="70"/>
        </w:numPr>
      </w:pPr>
      <w:r>
        <w:t xml:space="preserve">Changed hydrography, such as shifting banks</w:t>
      </w:r>
    </w:p>
    <w:p>
      <w:pPr>
        <w:numPr>
          <w:ilvl w:val="0"/>
          <w:numId w:val="70"/>
        </w:numPr>
      </w:pPr>
      <w:r>
        <w:t xml:space="preserve">Temporary replacement of a charted aid that is off station or removed</w:t>
      </w:r>
    </w:p>
    <w:p>
      <w:pPr>
        <w:numPr>
          <w:ilvl w:val="0"/>
          <w:numId w:val="70"/>
        </w:numPr>
      </w:pPr>
      <w:r>
        <w:t xml:space="preserve">Dynamic areas (e.g. reduced visibility, presence of protected species)</w:t>
      </w:r>
    </w:p>
    <w:p>
      <w:pPr>
        <w:numPr>
          <w:ilvl w:val="0"/>
          <w:numId w:val="70"/>
        </w:numPr>
      </w:pPr>
      <w:r>
        <w:t xml:space="preserve">Polar navigation, provided there is sufficient means of radio communication broadcast and charting</w:t>
      </w:r>
    </w:p>
    <w:p>
      <w:pPr>
        <w:numPr>
          <w:ilvl w:val="0"/>
          <w:numId w:val="70"/>
        </w:numPr>
      </w:pPr>
      <w:r>
        <w:t xml:space="preserve">Ice conditions and navigation</w:t>
      </w:r>
    </w:p>
    <w:p>
      <w:pPr>
        <w:numPr>
          <w:ilvl w:val="0"/>
          <w:numId w:val="70"/>
        </w:numPr>
      </w:pPr>
      <w:r>
        <w:t xml:space="preserve">Incident response (e.g. environmental, search and rescue)</w:t>
      </w:r>
    </w:p>
    <w:p>
      <w:pPr>
        <w:numPr>
          <w:ilvl w:val="0"/>
          <w:numId w:val="70"/>
        </w:numPr>
      </w:pPr>
      <w:r>
        <w:t xml:space="preserve">Port-specific applications (e.g. passage planning, amended pilot boarding location)</w:t>
      </w:r>
    </w:p>
    <w:p>
      <w:pPr>
        <w:numPr>
          <w:ilvl w:val="0"/>
          <w:numId w:val="70"/>
        </w:numPr>
      </w:pPr>
      <w:r>
        <w:t xml:space="preserve">Measures for the protection of the marine environment</w:t>
      </w:r>
    </w:p>
    <w:p>
      <w:pPr>
        <w:numPr>
          <w:ilvl w:val="0"/>
          <w:numId w:val="70"/>
        </w:numPr>
      </w:pPr>
      <w:r>
        <w:t xml:space="preserve">Security</w:t>
      </w:r>
    </w:p>
    <w:p>
      <w:pPr>
        <w:numPr>
          <w:ilvl w:val="0"/>
          <w:numId w:val="70"/>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0"/>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1"/>
        </w:numPr>
      </w:pPr>
      <w:r>
        <w:t xml:space="preserve">New construction areas (e.g. offshore wind farms)</w:t>
      </w:r>
    </w:p>
    <w:bookmarkEnd w:id="2"/>
    <w:bookmarkStart w:id="5"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6" w:name="tbl:assoc-tech-services"/>
    <w:p>
      <w:pPr>
        <w:pStyle w:val="TableCaption"/>
        <w:numPr>
          <w:ilvl w:val="0"/>
          <w:numId w:val="72"/>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3"/>
    <w:bookmarkEnd w:id="4"/>
    <w:bookmarkEnd w:id="5"/>
    <w:bookmarkStart w:id="7"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3"/>
        </w:numPr>
      </w:pPr>
      <w:r>
        <w:rPr>
          <w:b/>
          <w:bCs/>
        </w:rPr>
        <w:t xml:space="preserve">OBJ1</w:t>
      </w:r>
      <w:r>
        <w:t xml:space="preserve">: Provision of AtoN information service to all end-users.</w:t>
      </w:r>
    </w:p>
    <w:p>
      <w:pPr>
        <w:numPr>
          <w:ilvl w:val="0"/>
          <w:numId w:val="73"/>
        </w:numPr>
      </w:pPr>
      <w:r>
        <w:rPr>
          <w:b/>
          <w:bCs/>
        </w:rPr>
        <w:t xml:space="preserve">OBJ2</w:t>
      </w:r>
      <w:r>
        <w:t xml:space="preserve">: Provision of AtoN information to other authorities.</w:t>
      </w:r>
    </w:p>
    <w:p>
      <w:pPr>
        <w:numPr>
          <w:ilvl w:val="0"/>
          <w:numId w:val="73"/>
        </w:numPr>
      </w:pPr>
      <w:r>
        <w:rPr>
          <w:b/>
          <w:bCs/>
        </w:rPr>
        <w:t xml:space="preserve">OBJ3</w:t>
      </w:r>
      <w:r>
        <w:t xml:space="preserve">: Describe physical, virtual and synthetic AtoN.</w:t>
      </w:r>
    </w:p>
    <w:p>
      <w:pPr>
        <w:numPr>
          <w:ilvl w:val="0"/>
          <w:numId w:val="73"/>
        </w:numPr>
      </w:pPr>
      <w:r>
        <w:rPr>
          <w:b/>
          <w:bCs/>
        </w:rPr>
        <w:t xml:space="preserve">OBJ4</w:t>
      </w:r>
      <w:r>
        <w:t xml:space="preserve">: Deliver the current status and changes of AtoN information.</w:t>
      </w:r>
    </w:p>
    <w:p>
      <w:pPr>
        <w:numPr>
          <w:ilvl w:val="0"/>
          <w:numId w:val="73"/>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3"/>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6"/>
    <w:bookmarkStart w:id="8"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4"/>
        </w:numPr>
      </w:pPr>
      <w:r>
        <w:t xml:space="preserve">Other AtoN authorities</w:t>
      </w:r>
    </w:p>
    <w:p>
      <w:pPr>
        <w:numPr>
          <w:ilvl w:val="0"/>
          <w:numId w:val="74"/>
        </w:numPr>
      </w:pPr>
      <w:r>
        <w:t xml:space="preserve">Coastal Authorities</w:t>
      </w:r>
    </w:p>
    <w:p>
      <w:pPr>
        <w:numPr>
          <w:ilvl w:val="0"/>
          <w:numId w:val="74"/>
        </w:numPr>
      </w:pPr>
      <w:r>
        <w:t xml:space="preserve">Hydrographic Offices</w:t>
      </w:r>
    </w:p>
    <w:p>
      <w:pPr>
        <w:numPr>
          <w:ilvl w:val="0"/>
          <w:numId w:val="74"/>
        </w:numPr>
      </w:pPr>
      <w:r>
        <w:t xml:space="preserve">Regional Electronic Navigational Chart Coordination Centers (RENCs)</w:t>
      </w:r>
    </w:p>
    <w:p>
      <w:pPr>
        <w:numPr>
          <w:ilvl w:val="0"/>
          <w:numId w:val="74"/>
        </w:numPr>
      </w:pPr>
      <w:r>
        <w:t xml:space="preserve">Value-Added Resellers (VARs) and Distributors</w:t>
      </w:r>
    </w:p>
    <w:p>
      <w:pPr>
        <w:numPr>
          <w:ilvl w:val="0"/>
          <w:numId w:val="74"/>
        </w:numPr>
      </w:pPr>
      <w:r>
        <w:t xml:space="preserve">Search &amp; Rescue Services</w:t>
      </w:r>
    </w:p>
    <w:p>
      <w:pPr>
        <w:numPr>
          <w:ilvl w:val="0"/>
          <w:numId w:val="74"/>
        </w:numPr>
      </w:pPr>
      <w:r>
        <w:t xml:space="preserve">VTS Providers</w:t>
      </w:r>
    </w:p>
    <w:p>
      <w:pPr>
        <w:numPr>
          <w:ilvl w:val="0"/>
          <w:numId w:val="74"/>
        </w:numPr>
      </w:pPr>
      <w:r>
        <w:t xml:space="preserve">Other Electronic Chart System providers</w:t>
      </w:r>
    </w:p>
    <w:p>
      <w:pPr>
        <w:numPr>
          <w:ilvl w:val="0"/>
          <w:numId w:val="74"/>
        </w:numPr>
      </w:pPr>
      <w:r>
        <w:t xml:space="preserve">Automated systems for navigation of vessels in coastal and/or open waters.</w:t>
      </w:r>
    </w:p>
    <w:p>
      <w:pPr>
        <w:numPr>
          <w:ilvl w:val="0"/>
          <w:numId w:val="74"/>
        </w:numPr>
      </w:pPr>
      <w:r>
        <w:t xml:space="preserve">Mariners with or without SOLAS equipment navigating in coastal or open waters</w:t>
      </w:r>
    </w:p>
    <w:bookmarkEnd w:id="7"/>
    <w:bookmarkEnd w:id="8"/>
    <w:bookmarkStart w:id="9"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0"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9"/>
    <w:bookmarkEnd w:id="10"/>
    <w:bookmarkStart w:id="11"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5"/>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5"/>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2"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bl>
    <w:bookmarkEnd w:id="11"/>
    <w:bookmarkEnd w:id="12"/>
    <w:bookmarkStart w:id="13" w:name="sec:guiding_principles"/>
    <w:p>
      <w:pPr>
        <w:pStyle w:val="Heading1"/>
      </w:pPr>
      <w:r>
        <w:t xml:space="preserve">Guiding Principles</w:t>
      </w:r>
    </w:p>
    <w:bookmarkStart w:id="14"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5"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As the IALA Disctinary definition of a Marine Aids to Navigation (AtoN)</w:t>
      </w:r>
      <w:r>
        <w:t xml:space="preserve"> </w:t>
      </w:r>
      <w:r>
        <w:t xml:space="preserve">“</w:t>
      </w:r>
      <w:r>
        <w:t xml:space="preserve">means a device, system, or service, external to a vessel, designed and operated to enhance safe and efficient navigation of all vessels and/or vessel traffic</w:t>
      </w:r>
      <w:r>
        <w:t xml:space="preserve">”</w:t>
      </w:r>
      <w:r>
        <w:t xml:space="preserve">, the service itself may be regarded as an Marine AtoN, and therefore the AtoN categorization and availability objectives, as per IALA O-130</w:t>
      </w:r>
      <w:r>
        <w:t xml:space="preserve"> </w:t>
      </w:r>
      <w:r>
        <w:t xml:space="preserve">[7]</w:t>
      </w:r>
      <w:r>
        <w:t xml:space="preserve">, could potentially apply to it.</w:t>
      </w:r>
    </w:p>
    <w:bookmarkEnd w:id="13"/>
    <w:bookmarkStart w:id="16"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6"/>
        </w:numPr>
      </w:pPr>
      <w:r>
        <w:t xml:space="preserve">Exchange of</w:t>
      </w:r>
      <w:r>
        <w:t xml:space="preserve"> </w:t>
      </w:r>
      <w:r>
        <w:t xml:space="preserve">“</w:t>
      </w:r>
      <w:r>
        <w:t xml:space="preserve">pure</w:t>
      </w:r>
      <w:r>
        <w:t xml:space="preserve">”</w:t>
      </w:r>
      <w:r>
        <w:t xml:space="preserve"> </w:t>
      </w:r>
      <w:r>
        <w:t xml:space="preserve">S-100 Datasets</w:t>
      </w:r>
    </w:p>
    <w:p>
      <w:pPr>
        <w:numPr>
          <w:ilvl w:val="0"/>
          <w:numId w:val="76"/>
        </w:numPr>
      </w:pPr>
      <w:r>
        <w:t xml:space="preserve">Exchange of S-100 100 Exchange Sets</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4"/>
    <w:bookmarkStart w:id="17"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1.2 the respective IHO data products based on the S-100 framework are:</w:t>
      </w:r>
    </w:p>
    <w:p>
      <w:pPr>
        <w:numPr>
          <w:ilvl w:val="0"/>
          <w:numId w:val="77"/>
        </w:numPr>
      </w:pPr>
      <w:r>
        <w:t xml:space="preserve">S-124</w:t>
      </w:r>
    </w:p>
    <w:p>
      <w:pPr>
        <w:numPr>
          <w:ilvl w:val="0"/>
          <w:numId w:val="77"/>
        </w:numPr>
      </w:pPr>
      <w:r>
        <w:t xml:space="preserve">S-125</w:t>
      </w:r>
    </w:p>
    <w:p>
      <w:pPr>
        <w:numPr>
          <w:ilvl w:val="0"/>
          <w:numId w:val="77"/>
        </w:numPr>
      </w:pPr>
      <w:r>
        <w:t xml:space="preserve">S-201</w:t>
      </w:r>
    </w:p>
    <w:p>
      <w:pPr>
        <w:numPr>
          <w:ilvl w:val="0"/>
          <w:numId w:val="77"/>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5"/>
    <w:bookmarkStart w:id="18"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6"/>
    <w:bookmarkStart w:id="19"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7"/>
    <w:bookmarkStart w:id="20"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8"/>
    <w:bookmarkEnd w:id="19"/>
    <w:bookmarkStart w:id="21" w:name="X543fc3ee69d8b9eebfbf21368042f80b38ec856"/>
    <w:p>
      <w:pPr>
        <w:pStyle w:val="Heading2"/>
      </w:pPr>
      <w:r>
        <w:t xml:space="preserve">Functional and Non-Functional Requirements</w:t>
      </w:r>
    </w:p>
    <w:bookmarkStart w:id="22"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0"/>
    <w:bookmarkStart w:id="23"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1"/>
    <w:bookmarkEnd w:id="22"/>
    <w:bookmarkEnd w:id="23"/>
    <w:bookmarkStart w:id="24" w:name="sec:business_process"/>
    <w:p>
      <w:pPr>
        <w:pStyle w:val="Heading1"/>
      </w:pPr>
      <w:r>
        <w:t xml:space="preserve">Business Process Model</w:t>
      </w:r>
    </w:p>
    <w:p>
      <w:pPr>
        <w:pStyle w:val="FirstParagraph"/>
      </w:pPr>
      <w:r>
        <w:t xml:space="preserve">Figure 2 on the left depicts the general business process for the update of AtoN information on ENC’s as it is in the current situation. The AtoN information service aims to automate the collection AtoN updates and delivery to the service consumer this is depicted on the right side of the figure.</w:t>
      </w:r>
    </w:p>
    <w:p xmlns:a="http://schemas.openxmlformats.org/drawingml/2006/main" xmlns:pic="http://schemas.openxmlformats.org/drawingml/2006/picture">
      <w:pPr>
        <w:pStyle w:val="CaptionedFigure"/>
      </w:pPr>
      <w:r>
        <w:drawing>
          <wp:inline>
            <wp:extent cx="5648325" cy="310515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5648325" cy="310515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xmlns:a="http://schemas.openxmlformats.org/drawingml/2006/main" xmlns:pic="http://schemas.openxmlformats.org/drawingml/2006/picture">
      <w:pPr>
        <w:pStyle w:val="CaptionedFigure"/>
      </w:pPr>
      <w:r>
        <w:drawing>
          <wp:inline>
            <wp:extent cx="6105525" cy="3286125"/>
            <wp:effectExtent b="0" l="0" r="0" t="0"/>
            <wp:docPr descr="Figure 3: The S-100 Operational Context in terms of the AtoN Information distribution" title="" id="3" name="Picture"/>
            <a:graphic>
              <a:graphicData uri="http://schemas.openxmlformats.org/drawingml/2006/picture">
                <pic:pic>
                  <pic:nvPicPr>
                    <pic:cNvPr descr="source/guideline/../../resources/business_process_operational_context.png" id="3" name="Picture"/>
                    <pic:cNvPicPr>
                      <a:picLocks noChangeArrowheads="1" noChangeAspect="1"/>
                    </pic:cNvPicPr>
                  </pic:nvPicPr>
                  <pic:blipFill>
                    <a:blip r:embed="rId35"/>
                    <a:stretch>
                      <a:fillRect/>
                    </a:stretch>
                  </pic:blipFill>
                  <pic:spPr bwMode="auto">
                    <a:xfrm>
                      <a:off x="0" y="0"/>
                      <a:ext cx="6105525" cy="3286125"/>
                    </a:xfrm>
                    <a:prstGeom prst="rect">
                      <a:avLst/>
                    </a:prstGeom>
                    <a:noFill/>
                    <a:ln w="9525">
                      <a:noFill/>
                      <a:headEnd/>
                      <a:tailEnd/>
                    </a:ln>
                  </pic:spPr>
                </pic:pic>
              </a:graphicData>
            </a:graphic>
          </wp:inline>
        </w:drawing>
      </w:r>
    </w:p>
    <w:p>
      <w:pPr>
        <w:pStyle w:val="ImageCaption"/>
      </w:pPr>
      <w:r>
        <w:t xml:space="preserve">Figure 3: The S-100 Operational Context in terms of the AtoN Information distribution</w:t>
      </w:r>
    </w:p>
    <w:bookmarkEnd w:id="24"/>
    <w:bookmarkStart w:id="25" w:name="definitions"/>
    <w:p>
      <w:pPr>
        <w:pStyle w:val="Heading1"/>
      </w:pPr>
      <w:r>
        <w:t xml:space="preserve">Definitions</w:t>
      </w:r>
    </w:p>
    <w:p>
      <w:pPr>
        <w:pStyle w:val="FirstParagraph"/>
      </w:pPr>
      <w:r>
        <w:t xml:space="preserve">The definitions of terms used in this Guideline can be found in the</w:t>
      </w:r>
      <w:r>
        <w:t xml:space="preserve"> </w:t>
      </w:r>
      <w:r>
        <w:rPr>
          <w:i/>
          <w:iCs/>
        </w:rPr>
        <w:t xml:space="preserve">International Dictionary of Marine Aids to Navigation</w:t>
      </w:r>
      <w:r>
        <w:t xml:space="preserve"> </w:t>
      </w:r>
      <w:r>
        <w:t xml:space="preserve">(IALA Dictionary) and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[8]</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p>
      <w:pPr>
        <w:pStyle w:val="DefinitionTerm"/>
      </w:pPr>
      <w:r>
        <w:t xml:space="preserve">Service Physical Data Model</w:t>
      </w:r>
    </w:p>
    <w:p>
      <w:pPr>
        <w:pStyle w:val="Definition"/>
      </w:pPr>
      <w:r>
        <w:t xml:space="preserve">Describes the realisation of a dedicated service data model in a dedicated technology. This includes a detailed description of the data S-212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r>
        <w:t xml:space="preserve"> </w:t>
      </w:r>
      <w:r>
        <w:t xml:space="preserve">In order to prove correct implementation of the service 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data model from both the service data model and the service physical data model, such a mapping is implicitly given.)</w:t>
      </w:r>
    </w:p>
    <w:bookmarkEnd w:id="25"/>
    <w:bookmarkStart w:id="26"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6"/>
    <w:bookmarkStart w:id="27" w:name="references"/>
    <w:p>
      <w:pPr>
        <w:pStyle w:val="Heading1"/>
      </w:pPr>
      <w:r>
        <w:t xml:space="preserve">References</w:t>
      </w:r>
    </w:p>
    <w:bookmarkStart w:id="28" w:name="refs"/>
    <w:bookmarkStart w:id="29"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7"/>
    <w:bookmarkStart w:id="30"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8"/>
    <w:bookmarkStart w:id="31"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29"/>
    <w:bookmarkStart w:id="32"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0"/>
    <w:bookmarkStart w:id="33"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1"/>
    <w:bookmarkStart w:id="34"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2"/>
    <w:bookmarkStart w:id="35"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3"/>
    <w:bookmarkStart w:id="36" w:name="ref-cite:wikipedia-authentication"/>
    <w:p>
      <w:pPr>
        <w:pStyle w:val="Bibliography"/>
      </w:pPr>
      <w:r>
        <w:t xml:space="preserve">[8]</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4"/>
    <w:bookmarkEnd w:id="35"/>
    <w:bookmarkEnd w:id="36"/>
    <w:bookmarkStart w:id="37"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bookmarkStart w:id="38" w:name="tbl:shipboard-user-needs-and-priorities"/>
    <w:p>
      <w:pPr>
        <w:pStyle w:val="TableCaption"/>
      </w:pPr>
      <w:r>
        <w:t xml:space="preserve">Shipboard User Needs and Priorities</w:t>
      </w:r>
    </w:p>
    <w:tbl>
      <w:tblPr>
        <w:tblStyle w:val="Table"/>
        <w:tblW w:type="pct" w:w="5000"/>
        <w:tblLayout w:type="fixed"/>
        <w:tblLook w:firstRow="1" w:lastRow="0" w:firstColumn="0" w:lastColumn="0" w:noHBand="0" w:noVBand="0" w:val="0020"/>
        <w:tblCaption w:val="Shipboar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User-selectable presentation of information received via communication equipment</w:t>
            </w:r>
          </w:p>
        </w:tc>
        <w:tc>
          <w:tcPr/>
          <w:p>
            <w:pPr>
              <w:pStyle w:val="Compact"/>
              <w:jc w:val="lef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tc>
        <w:tc>
          <w:tcPr/>
          <w:p>
            <w:pPr>
              <w:pStyle w:val="Compact"/>
              <w:numPr>
                <w:ilvl w:val="0"/>
                <w:numId w:val="78"/>
              </w:numPr>
              <w:jc w:val="left"/>
            </w:pPr>
            <w:r>
              <w:t xml:space="preserve">Effective communication</w:t>
            </w:r>
          </w:p>
          <w:p>
            <w:pPr>
              <w:pStyle w:val="Compact"/>
              <w:numPr>
                <w:ilvl w:val="0"/>
                <w:numId w:val="78"/>
              </w:numPr>
              <w:jc w:val="left"/>
            </w:pPr>
            <w:r>
              <w:t xml:space="preserve">Human-centred presentation needs</w:t>
            </w:r>
          </w:p>
          <w:p>
            <w:pPr>
              <w:pStyle w:val="Compact"/>
              <w:numPr>
                <w:ilvl w:val="0"/>
                <w:numId w:val="78"/>
              </w:numPr>
              <w:jc w:val="left"/>
            </w:pPr>
            <w:r>
              <w:t xml:space="preserve">Human-machine interface</w:t>
            </w:r>
          </w:p>
          <w:p>
            <w:pPr>
              <w:pStyle w:val="Compact"/>
              <w:numPr>
                <w:ilvl w:val="0"/>
                <w:numId w:val="78"/>
              </w:numPr>
              <w:jc w:val="left"/>
            </w:pPr>
            <w:r>
              <w:t xml:space="preserve">Analysis</w:t>
            </w:r>
          </w:p>
        </w:tc>
        <w:tc>
          <w:tcPr/>
          <w:p>
            <w:pPr>
              <w:pStyle w:val="Compact"/>
              <w:jc w:val="left"/>
            </w:pPr>
            <w:r>
              <w:t xml:space="preserve">Research should be conducted regarding the type of information, equipment and systems involved and how to present and/or filter such information.</w:t>
            </w:r>
          </w:p>
        </w:tc>
        <w:tc>
          <w:tcPr/>
          <w:p>
            <w:pPr>
              <w:pStyle w:val="Compact"/>
              <w:jc w:val="left"/>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tc>
      </w:tr>
      <w:tr>
        <w:tc>
          <w:tcPr/>
          <w:p>
            <w:pPr>
              <w:pStyle w:val="Compact"/>
              <w:jc w:val="left"/>
            </w:pPr>
            <w:r>
              <w:t xml:space="preserve">Maritime Safety Information (MSI): Seafarers expressed a desire to sort and display MSI, such as NAVTEX, SafetyNET, more effectively.</w:t>
            </w:r>
          </w:p>
        </w:tc>
        <w:tc>
          <w:tcPr/>
          <w:p>
            <w:pPr>
              <w:jc w:val="left"/>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w:t>
            </w:r>
          </w:p>
          <w:p>
            <w:pPr>
              <w:pStyle w:val="Compact"/>
              <w:jc w:val="left"/>
            </w:pPr>
            <w:r>
              <w:t xml:space="preserve">This is a very time-consuming and distracting task, and susceptible to human error. Seafarers considered that presenting such safety information on the ship’s navigation display would be far more effective and a clear benefit of e-Navigation.</w:t>
            </w:r>
          </w:p>
        </w:tc>
        <w:tc>
          <w:tcPr/>
          <w:p>
            <w:pPr>
              <w:pStyle w:val="Compact"/>
              <w:numPr>
                <w:ilvl w:val="0"/>
                <w:numId w:val="78"/>
              </w:numPr>
              <w:jc w:val="left"/>
            </w:pPr>
            <w:r>
              <w:t xml:space="preserve">Effective communication</w:t>
            </w:r>
          </w:p>
          <w:p>
            <w:pPr>
              <w:pStyle w:val="Compact"/>
              <w:numPr>
                <w:ilvl w:val="0"/>
                <w:numId w:val="78"/>
              </w:numPr>
              <w:jc w:val="left"/>
            </w:pPr>
            <w:r>
              <w:t xml:space="preserve">Human-centred presentation needs</w:t>
            </w:r>
          </w:p>
          <w:p>
            <w:pPr>
              <w:pStyle w:val="Compact"/>
              <w:numPr>
                <w:ilvl w:val="0"/>
                <w:numId w:val="78"/>
              </w:numPr>
              <w:jc w:val="left"/>
            </w:pPr>
            <w:r>
              <w:t xml:space="preserve">Human-machine interface</w:t>
            </w:r>
          </w:p>
          <w:p>
            <w:pPr>
              <w:pStyle w:val="Compact"/>
              <w:numPr>
                <w:ilvl w:val="0"/>
                <w:numId w:val="78"/>
              </w:numPr>
              <w:jc w:val="left"/>
            </w:pPr>
            <w:r>
              <w:t xml:space="preserve">Analysis</w:t>
            </w:r>
          </w:p>
        </w:tc>
        <w:tc>
          <w:tcPr/>
          <w:p>
            <w:pPr>
              <w:pStyle w:val="Compact"/>
              <w:jc w:val="left"/>
            </w:pPr>
            <w:r>
              <w:t xml:space="preserve">Work with relevant stakeholders to address technical requirements for presenting MSI on shipborne navigation displays. Take note of Methodology for developing e-Navigation user needs using a task-based approach (NAV 55/11/4).</w:t>
            </w:r>
          </w:p>
        </w:tc>
        <w:tc>
          <w:tcPr/>
          <w:p>
            <w:pPr>
              <w:pStyle w:val="Compact"/>
              <w:jc w:val="left"/>
            </w:pPr>
            <w:r>
              <w:t xml:space="preserve">Possible re-formatting of NAVTEX data and continuing with transmitting data on same frequencies. Transition from old to new format. Task-oriented presentation based on INS-tasks (resolution MSC.252(83)).</w:t>
            </w:r>
          </w:p>
        </w:tc>
      </w:tr>
      <w:tr>
        <w:tc>
          <w:tcPr/>
          <w:p>
            <w:pPr>
              <w:pStyle w:val="Compact"/>
              <w:jc w:val="left"/>
            </w:pPr>
            <w:r>
              <w:t xml:space="preserve">Indication of Reliability</w:t>
            </w:r>
          </w:p>
        </w:tc>
        <w:tc>
          <w:tcPr/>
          <w:p>
            <w:pPr>
              <w:pStyle w:val="Compact"/>
              <w:jc w:val="left"/>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tc>
        <w:tc>
          <w:tcPr/>
          <w:p>
            <w:pPr>
              <w:pStyle w:val="Compact"/>
              <w:numPr>
                <w:ilvl w:val="0"/>
                <w:numId w:val="78"/>
              </w:numPr>
              <w:jc w:val="left"/>
            </w:pPr>
            <w:r>
              <w:t xml:space="preserve">Human-centred presentation needs</w:t>
            </w:r>
          </w:p>
          <w:p>
            <w:pPr>
              <w:pStyle w:val="Compact"/>
              <w:numPr>
                <w:ilvl w:val="0"/>
                <w:numId w:val="78"/>
              </w:numPr>
              <w:jc w:val="left"/>
            </w:pPr>
            <w:r>
              <w:t xml:space="preserve">Human-machine interface</w:t>
            </w:r>
          </w:p>
          <w:p>
            <w:pPr>
              <w:pStyle w:val="Compact"/>
              <w:numPr>
                <w:ilvl w:val="0"/>
                <w:numId w:val="78"/>
              </w:numPr>
              <w:jc w:val="left"/>
            </w:pPr>
            <w:r>
              <w:t xml:space="preserve">Data and system integrity</w:t>
            </w:r>
          </w:p>
          <w:p>
            <w:pPr>
              <w:pStyle w:val="Compact"/>
              <w:numPr>
                <w:ilvl w:val="0"/>
                <w:numId w:val="78"/>
              </w:numPr>
              <w:jc w:val="left"/>
            </w:pPr>
            <w:r>
              <w:t xml:space="preserve">Analysis</w:t>
            </w:r>
          </w:p>
        </w:tc>
        <w:tc>
          <w:tcPr/>
          <w:p>
            <w:pPr>
              <w:pStyle w:val="Compact"/>
              <w:jc w:val="left"/>
            </w:pPr>
            <w:r>
              <w:t xml:space="preserve">Investigate effective ways to indicate levels of reliability using graphical representation. Take note of: - Resolution MSC.252(83) (INS) - Other industry standards.</w:t>
            </w:r>
          </w:p>
        </w:tc>
        <w:tc>
          <w:tcPr/>
          <w:p>
            <w:pPr>
              <w:pStyle w:val="Compact"/>
              <w:jc w:val="left"/>
            </w:pPr>
            <w:r>
              <w:t xml:space="preserve">Consideration of using, e.g. ellipses of uncertainty to indicate expected accuracy. Consideration of using, e.g. colour or shading changes to indicate integrity of information.</w:t>
            </w:r>
          </w:p>
        </w:tc>
      </w:tr>
      <w:tr>
        <w:tc>
          <w:tcPr>
            <w:gridSpan w:val="5"/>
          </w:tcPr>
          <w:p>
            <w:pPr>
              <w:pStyle w:val="Compact"/>
              <w:jc w:val="left"/>
            </w:pPr>
            <w:r>
              <w:t xml:space="preserve">Operational Issues</w:t>
            </w:r>
          </w:p>
        </w:tc>
      </w:tr>
      <w:tr>
        <w:tc>
          <w:tcPr/>
          <w:p>
            <w:pPr>
              <w:pStyle w:val="Compact"/>
              <w:jc w:val="left"/>
            </w:pPr>
            <w:r>
              <w:t xml:space="preserve">Improved Reliability: Before seafarers are confident in e-Navigation systems, they must prove far more reliable than many of the present systems.</w:t>
            </w:r>
          </w:p>
        </w:tc>
        <w:tc>
          <w:tcPr/>
          <w:p>
            <w:pPr>
              <w:pStyle w:val="Compact"/>
              <w:jc w:val="left"/>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tc>
        <w:tc>
          <w:tcPr/>
          <w:p>
            <w:pPr>
              <w:pStyle w:val="Compact"/>
              <w:numPr>
                <w:ilvl w:val="0"/>
                <w:numId w:val="78"/>
              </w:numPr>
              <w:jc w:val="left"/>
            </w:pPr>
            <w:r>
              <w:t xml:space="preserve">Effective and robust communication</w:t>
            </w:r>
          </w:p>
          <w:p>
            <w:pPr>
              <w:pStyle w:val="Compact"/>
              <w:numPr>
                <w:ilvl w:val="0"/>
                <w:numId w:val="78"/>
              </w:numPr>
              <w:jc w:val="left"/>
            </w:pPr>
            <w:r>
              <w:t xml:space="preserve">Data and system integrity</w:t>
            </w:r>
          </w:p>
        </w:tc>
        <w:tc>
          <w:tcPr/>
          <w:p>
            <w:pPr>
              <w:pStyle w:val="Compact"/>
              <w:jc w:val="left"/>
            </w:pPr>
            <w:r>
              <w:t xml:space="preserve">It will be necessary to carry out an assessment to quantify reliability parameters. To include specific assessment of reliability of electronic position fixing systems.</w:t>
            </w:r>
          </w:p>
        </w:tc>
        <w:tc>
          <w:tcPr/>
          <w:p>
            <w:pPr>
              <w:pStyle w:val="Compact"/>
              <w:jc w:val="left"/>
            </w:pPr>
            <w:r>
              <w:t xml:space="preserve">Design specification for current equipment. Type approval process. Competence of installation and repair technicians. Better control and visibility of software and hardware updates.</w:t>
            </w:r>
          </w:p>
        </w:tc>
      </w:tr>
      <w:tr>
        <w:tc>
          <w:tcPr/>
          <w:p>
            <w:pPr>
              <w:pStyle w:val="Compact"/>
              <w:jc w:val="left"/>
            </w:pPr>
            <w:r>
              <w:t xml:space="preserve">Reduction of administrative burden and increase use of electronic documentation</w:t>
            </w:r>
          </w:p>
        </w:tc>
        <w:tc>
          <w:tcPr/>
          <w:p>
            <w:pPr>
              <w:pStyle w:val="Compact"/>
              <w:jc w:val="left"/>
            </w:pPr>
            <w:r>
              <w:t xml:space="preserve">Seafarers expressed the need to reduce the amount of administrative work on board. They also expressed a desire to replace paper information and documentation by electronic means for easy location of information.</w:t>
            </w:r>
          </w:p>
        </w:tc>
        <w:tc>
          <w:tcPr/>
          <w:p>
            <w:pPr>
              <w:pStyle w:val="Compact"/>
              <w:numPr>
                <w:ilvl w:val="0"/>
                <w:numId w:val="78"/>
              </w:numPr>
              <w:jc w:val="left"/>
            </w:pPr>
            <w:r>
              <w:t xml:space="preserve">Human-centred presentation needs</w:t>
            </w:r>
          </w:p>
          <w:p>
            <w:pPr>
              <w:pStyle w:val="Compact"/>
              <w:numPr>
                <w:ilvl w:val="0"/>
                <w:numId w:val="78"/>
              </w:numPr>
              <w:jc w:val="left"/>
            </w:pPr>
            <w:r>
              <w:t xml:space="preserve">Data and system integrity</w:t>
            </w:r>
          </w:p>
        </w:tc>
        <w:tc>
          <w:tcPr/>
          <w:p>
            <w:pPr>
              <w:pStyle w:val="Compact"/>
              <w:jc w:val="left"/>
            </w:pPr>
            <w:r>
              <w:t xml:space="preserve">Investigate the best way to harmonize and present maritime documentation in an electronic format to improve efficiency and reduce administrative burden.</w:t>
            </w:r>
          </w:p>
        </w:tc>
        <w:tc>
          <w:tcPr/>
          <w:p>
            <w:pPr>
              <w:pStyle w:val="Compact"/>
              <w:jc w:val="left"/>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tc>
      </w:tr>
      <w:tr>
        <w:tc>
          <w:tcPr/>
          <w:p>
            <w:pPr>
              <w:pStyle w:val="Compact"/>
              <w:jc w:val="left"/>
            </w:pPr>
            <w:r>
              <w:t xml:space="preserve">Automated Updating of Baseline Data and Documents: Seafarers expressed a desire for documents such as charts and voyage planning publications to be automatically updated, with minimal shipboard intervention.</w:t>
            </w:r>
          </w:p>
        </w:tc>
        <w:tc>
          <w:tcPr/>
          <w:p>
            <w:pPr>
              <w:pStyle w:val="Compact"/>
              <w:jc w:val="left"/>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tc>
        <w:tc>
          <w:tcPr/>
          <w:p>
            <w:pPr>
              <w:pStyle w:val="Compact"/>
              <w:numPr>
                <w:ilvl w:val="0"/>
                <w:numId w:val="78"/>
              </w:numPr>
              <w:jc w:val="left"/>
            </w:pPr>
            <w:r>
              <w:t xml:space="preserve">Common maritime information/data structure</w:t>
            </w:r>
          </w:p>
          <w:p>
            <w:pPr>
              <w:pStyle w:val="Compact"/>
              <w:numPr>
                <w:ilvl w:val="0"/>
                <w:numId w:val="78"/>
              </w:numPr>
              <w:jc w:val="left"/>
            </w:pPr>
            <w:r>
              <w:t xml:space="preserve">Effective and robust communications</w:t>
            </w:r>
          </w:p>
          <w:p>
            <w:pPr>
              <w:pStyle w:val="Compact"/>
              <w:numPr>
                <w:ilvl w:val="0"/>
                <w:numId w:val="78"/>
              </w:numPr>
              <w:jc w:val="left"/>
            </w:pPr>
            <w:r>
              <w:t xml:space="preserve">Human-centred presentation needs</w:t>
            </w:r>
          </w:p>
          <w:p>
            <w:pPr>
              <w:pStyle w:val="Compact"/>
              <w:numPr>
                <w:ilvl w:val="0"/>
                <w:numId w:val="78"/>
              </w:numPr>
              <w:jc w:val="left"/>
            </w:pPr>
            <w:r>
              <w:t xml:space="preserve">Analysis</w:t>
            </w:r>
          </w:p>
        </w:tc>
        <w:tc>
          <w:tcPr/>
          <w:p>
            <w:pPr>
              <w:pStyle w:val="Compact"/>
              <w:jc w:val="left"/>
            </w:pPr>
            <w:r>
              <w:t xml:space="preserve">Investigate and harmonize means for automated updating of baseline data and documents, including consideration of legal aspects communication costs.</w:t>
            </w:r>
          </w:p>
        </w:tc>
        <w:tc>
          <w:tcPr/>
          <w:p>
            <w:pPr>
              <w:pStyle w:val="Compact"/>
              <w:jc w:val="left"/>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tc>
      </w:tr>
      <w:tr>
        <w:tc>
          <w:tcPr/>
          <w:p>
            <w:pPr>
              <w:pStyle w:val="Compact"/>
              <w:jc w:val="left"/>
            </w:pPr>
            <w:r>
              <w:t xml:space="preserve">Effective and robust communications</w:t>
            </w:r>
          </w:p>
        </w:tc>
        <w:tc>
          <w:tcPr/>
          <w:p>
            <w:pPr>
              <w:pStyle w:val="Compact"/>
              <w:jc w:val="left"/>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tc>
        <w:tc>
          <w:tcPr/>
          <w:p>
            <w:pPr>
              <w:pStyle w:val="Compact"/>
              <w:numPr>
                <w:ilvl w:val="0"/>
                <w:numId w:val="78"/>
              </w:numPr>
              <w:jc w:val="left"/>
            </w:pPr>
            <w:r>
              <w:t xml:space="preserve">Automated and standardized reporting functions</w:t>
            </w:r>
          </w:p>
          <w:p>
            <w:pPr>
              <w:pStyle w:val="Compact"/>
              <w:numPr>
                <w:ilvl w:val="0"/>
                <w:numId w:val="78"/>
              </w:numPr>
              <w:jc w:val="left"/>
            </w:pPr>
            <w:r>
              <w:t xml:space="preserve">Effective and robust communications</w:t>
            </w:r>
          </w:p>
          <w:p>
            <w:pPr>
              <w:pStyle w:val="Compact"/>
              <w:numPr>
                <w:ilvl w:val="0"/>
                <w:numId w:val="78"/>
              </w:numPr>
              <w:jc w:val="left"/>
            </w:pPr>
            <w:r>
              <w:t xml:space="preserve">Common marine/data structure</w:t>
            </w:r>
          </w:p>
          <w:p>
            <w:pPr>
              <w:pStyle w:val="Compact"/>
              <w:numPr>
                <w:ilvl w:val="0"/>
                <w:numId w:val="78"/>
              </w:numPr>
              <w:jc w:val="left"/>
            </w:pPr>
            <w:r>
              <w:t xml:space="preserve">Data and system integrity</w:t>
            </w:r>
          </w:p>
          <w:p>
            <w:pPr>
              <w:pStyle w:val="Compact"/>
              <w:numPr>
                <w:ilvl w:val="0"/>
                <w:numId w:val="78"/>
              </w:numPr>
              <w:jc w:val="left"/>
            </w:pPr>
            <w:r>
              <w:t xml:space="preserve">Human-centred presentation needs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jc w:val="left"/>
            </w:pPr>
            <w:r>
              <w:t xml:space="preserve">Route exchange. Use of AIS application specific messages. Use of Wireless technology (Wi-Fi and Wi-MAX).</w:t>
            </w:r>
          </w:p>
        </w:tc>
      </w:tr>
    </w:tbl>
    <w:bookmarkEnd w:id="37"/>
    <w:bookmarkStart w:id="39" w:name="X1a559463e309c2f4c5ef74becad3ce32c893384"/>
    <w:p>
      <w:pPr>
        <w:pStyle w:val="TableCaption"/>
      </w:pPr>
      <w:r>
        <w:t xml:space="preserve">Shore-based User Needs and Priorities.</w:t>
      </w:r>
    </w:p>
    <w:tbl>
      <w:tblPr>
        <w:tblStyle w:val="Table"/>
        <w:tblW w:type="pct" w:w="5000"/>
        <w:tblLayout w:type="fixed"/>
        <w:tblLook w:firstRow="1" w:lastRow="0" w:firstColumn="0" w:lastColumn="0" w:noHBand="0" w:noVBand="0" w:val="0020"/>
        <w:tblCaption w:val="Shore-base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Collection of information</w:t>
            </w:r>
          </w:p>
        </w:tc>
        <w:tc>
          <w:tcPr/>
          <w:p>
            <w:pPr>
              <w:jc w:val="left"/>
            </w:pPr>
            <w:r>
              <w:t xml:space="preserve">Complete marine domain awareness is essential for the early identification of risks and effective response.</w:t>
            </w:r>
          </w:p>
          <w:p>
            <w:pPr>
              <w:pStyle w:val="Compact"/>
              <w:jc w:val="left"/>
            </w:pPr>
            <w:r>
              <w:t xml:space="preserve">The collection of information is necessary to build an enhanced domain awareness, to support safety, security, environment protection and efficiency. This allows for faster and more informed decisions.</w:t>
            </w:r>
          </w:p>
          <w:p>
            <w:pPr>
              <w:pStyle w:val="Compact"/>
              <w:jc w:val="left"/>
            </w:pPr>
            <w:r>
              <w:t xml:space="preserve">There are rules that require coastal States to maintain domain awareness.</w:t>
            </w:r>
          </w:p>
          <w:p>
            <w:pPr>
              <w:pStyle w:val="Compact"/>
              <w:jc w:val="left"/>
            </w:pPr>
            <w:r>
              <w:t xml:space="preserve">There is currently a gap between the information collected and information required.</w:t>
            </w:r>
          </w:p>
          <w:p>
            <w:pPr>
              <w:pStyle w:val="Compact"/>
              <w:jc w:val="left"/>
            </w:pPr>
            <w:r>
              <w:t xml:space="preserve">A change in the type of service offered by a VTS (i.e. Information Service, Navigational Assistance Service or a Traffic Organization Service) may change the functional requirements of the domain awareness system.</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tc>
        <w:tc>
          <w:tcPr/>
          <w:p>
            <w:pPr>
              <w:pStyle w:val="Compact"/>
              <w:jc w:val="left"/>
            </w:pPr>
            <w:r>
              <w:t xml:space="preserve">Such information may include both static and dynamic information including hydrographic, environmental, vessel data, AtoN information and known hazards. Take into account AIS and GMDSS standards. Take into account the functionality of existing web-based systems. Take into account the development of Service Level Agreements with data providers. Take into account existing ship reporting systems. There are a multitude of communication methods that should be considered. Consideration will need to be given to legal and liability issues, specifically with regard to the handling of data. Take into account the lessons learnt from development of ECDIS.</w:t>
            </w:r>
          </w:p>
        </w:tc>
      </w:tr>
      <w:tr>
        <w:tc>
          <w:tcPr/>
          <w:p>
            <w:pPr>
              <w:pStyle w:val="Compact"/>
              <w:jc w:val="left"/>
            </w:pPr>
            <w:r>
              <w:t xml:space="preserve">Management of information</w:t>
            </w:r>
          </w:p>
        </w:tc>
        <w:tc>
          <w:tcPr/>
          <w:p>
            <w:pPr>
              <w:jc w:val="left"/>
            </w:pPr>
            <w:r>
              <w:t xml:space="preserve">Shore authorities need tools for managing increased levels of information pertaining to the maritime domain awareness.</w:t>
            </w:r>
          </w:p>
          <w:p>
            <w:pPr>
              <w:pStyle w:val="Compact"/>
              <w:jc w:val="left"/>
            </w:pPr>
            <w:r>
              <w:t xml:space="preserve">A harmonized and holistic approach to information management will enable shore authorities to manage resources more efficiently.</w:t>
            </w:r>
          </w:p>
          <w:p>
            <w:pPr>
              <w:pStyle w:val="Compact"/>
              <w:jc w:val="left"/>
            </w:pPr>
            <w:r>
              <w:t xml:space="preserve">The harmonized and enhanced presentation of domain awareness will improve situational awareness for allied and other support services.</w:t>
            </w:r>
          </w:p>
          <w:p>
            <w:pPr>
              <w:pStyle w:val="Compact"/>
              <w:jc w:val="left"/>
            </w:pPr>
            <w:r>
              <w:t xml:space="preserve">Enhanced information management is required for improving logistics management and in support of safety, security and environment protection. Currently, there are major challenges to managing and sharing a diverse range of information from dissimilar systems.</w:t>
            </w:r>
          </w:p>
          <w:p>
            <w:pPr>
              <w:pStyle w:val="Compact"/>
              <w:jc w:val="left"/>
            </w:pPr>
            <w:r>
              <w:t xml:space="preserve">Current systems suffer without a harmonized approach to quality and structure.</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Human-centred presentation needs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tc>
        <w:tc>
          <w:tcPr/>
          <w:p>
            <w:pPr>
              <w:pStyle w:val="Compact"/>
              <w:jc w:val="left"/>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tc>
      </w:tr>
      <w:tr>
        <w:tc>
          <w:tcPr/>
          <w:p>
            <w:pPr>
              <w:pStyle w:val="Compact"/>
              <w:jc w:val="left"/>
            </w:pPr>
            <w:r>
              <w:t xml:space="preserve">Provision of information to ships</w:t>
            </w:r>
          </w:p>
        </w:tc>
        <w:tc>
          <w:tcPr/>
          <w:p>
            <w:pPr>
              <w:jc w:val="left"/>
            </w:pPr>
            <w:r>
              <w:t xml:space="preserve">Shore authorities have an obligation to provide maritime information to ships.</w:t>
            </w:r>
          </w:p>
          <w:p>
            <w:pPr>
              <w:pStyle w:val="Compact"/>
              <w:jc w:val="left"/>
            </w:pPr>
            <w:r>
              <w:t xml:space="preserve">There is a need to improve the delivery and presentation of such information to enhance onboard decision-making.</w:t>
            </w:r>
          </w:p>
          <w:p>
            <w:pPr>
              <w:pStyle w:val="Compact"/>
              <w:jc w:val="left"/>
            </w:pPr>
            <w:r>
              <w:t xml:space="preserve">Effective and harmonized communication should allow for the provision of such information in an operationally effective manner.</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Human-centred presentation needs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the information necessary to be provided to vessels, taking into account the responsibility assigned to the shore-based provider. Identify the means of communicating the information to vessels.</w:t>
            </w:r>
          </w:p>
        </w:tc>
        <w:tc>
          <w:tcPr/>
          <w:p>
            <w:pPr>
              <w:pStyle w:val="Compact"/>
              <w:jc w:val="left"/>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tc>
      </w:tr>
      <w:tr>
        <w:tc>
          <w:tcPr/>
          <w:p>
            <w:pPr>
              <w:pStyle w:val="Compact"/>
              <w:jc w:val="left"/>
            </w:pPr>
            <w:r>
              <w:t xml:space="preserve">Quality assurance</w:t>
            </w:r>
          </w:p>
        </w:tc>
        <w:tc>
          <w:tcPr/>
          <w:p>
            <w:pPr>
              <w:jc w:val="left"/>
            </w:pPr>
            <w:r>
              <w:t xml:space="preserve">The shore authority needs to have confidence that the navigation systems being used on board are operating correctly.</w:t>
            </w:r>
          </w:p>
          <w:p>
            <w:pPr>
              <w:pStyle w:val="Compact"/>
              <w:jc w:val="left"/>
            </w:pPr>
            <w:r>
              <w:t xml:space="preserve">Shore authorities need to be confident that the information which they receive from and send to the ship is correct.</w:t>
            </w:r>
          </w:p>
          <w:p>
            <w:pPr>
              <w:pStyle w:val="Compact"/>
              <w:jc w:val="left"/>
            </w:pPr>
            <w:r>
              <w:t xml:space="preserve">Shore authorities have a need to be capable of establishing effective communication with bridge teams and other shore users.</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tc>
        <w:tc>
          <w:tcPr/>
          <w:p>
            <w:pPr>
              <w:pStyle w:val="Compact"/>
              <w:jc w:val="left"/>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tc>
      </w:tr>
      <w:tr>
        <w:tc>
          <w:tcPr/>
          <w:p>
            <w:pPr>
              <w:pStyle w:val="Compact"/>
              <w:jc w:val="left"/>
            </w:pPr>
            <w:r>
              <w:t xml:space="preserve">Shore-to-shore information exchange</w:t>
            </w:r>
          </w:p>
        </w:tc>
        <w:tc>
          <w:tcPr/>
          <w:p>
            <w:pPr>
              <w:jc w:val="left"/>
            </w:pPr>
            <w:r>
              <w:t xml:space="preserve">Shore authorities need an enhanced ability to share maritime information amongst authorized shore users to ensure consistency and reduce the reporting burden by ship personnel.</w:t>
            </w:r>
          </w:p>
          <w:p>
            <w:pPr>
              <w:pStyle w:val="Compact"/>
              <w:jc w:val="left"/>
            </w:pPr>
            <w:r>
              <w:t xml:space="preserve">More effective shore-to-shore information exchange will aid safety, security, the identification of risk, environmental protection and improve logistics management.</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Human-centred presentation needs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and/or develop necessary protocols, formats and data structures. Investigate methods for global data sharing. Identify relevant legal and regulatory implications.</w:t>
            </w:r>
          </w:p>
        </w:tc>
        <w:tc>
          <w:tcPr/>
          <w:p>
            <w:pPr>
              <w:pStyle w:val="Compact"/>
              <w:jc w:val="left"/>
            </w:pPr>
            <w:r>
              <w:t xml:space="preserve">Consider the need for data security and ownership issues. Consider work done in other relevant industries. Consider the use of standard data exchange protocols.</w:t>
            </w:r>
          </w:p>
        </w:tc>
      </w:tr>
      <w:tr>
        <w:tc>
          <w:tcPr/>
          <w:p>
            <w:pPr>
              <w:pStyle w:val="Compact"/>
              <w:jc w:val="left"/>
            </w:pPr>
            <w:r>
              <w:t xml:space="preserve">Effective and robust communications</w:t>
            </w:r>
          </w:p>
        </w:tc>
        <w:tc>
          <w:tcPr/>
          <w:p>
            <w:pPr>
              <w:jc w:val="left"/>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w:t>
            </w:r>
          </w:p>
          <w:p>
            <w:pPr>
              <w:pStyle w:val="Compact"/>
              <w:jc w:val="left"/>
            </w:pPr>
            <w:r>
              <w:t xml:space="preserve">Research has indicated that a high percentage of seafarers regard language incompatibility and non-standard phrases as a major problem. They also highlighted equipment failure and busy communication channels as concerns that needed to be addressed.</w:t>
            </w:r>
          </w:p>
        </w:tc>
        <w:tc>
          <w:tcPr/>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pPr>
          </w:p>
        </w:tc>
      </w:tr>
    </w:tbl>
    <w:bookmarkEnd w:id="38"/>
    <w:bookmarkStart w:id="40" w:name="tbl:sar-needs-and-priorities"/>
    <w:p>
      <w:pPr>
        <w:pStyle w:val="TableCaption"/>
      </w:pPr>
      <w:r>
        <w:t xml:space="preserve">Search And Rescue Authority Needs and Priorities.</w:t>
      </w:r>
    </w:p>
    <w:tbl>
      <w:tblPr>
        <w:tblStyle w:val="Table"/>
        <w:tblW w:type="pct" w:w="5000"/>
        <w:tblLayout w:type="fixed"/>
        <w:tblLook w:firstRow="1" w:lastRow="0" w:firstColumn="0" w:lastColumn="0" w:noHBand="0" w:noVBand="0" w:val="0020"/>
        <w:tblCaption w:val="Search And Rescue Authority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SAR should have access to relevant information contained within the e-Navigation domain</w:t>
            </w:r>
          </w:p>
        </w:tc>
        <w:tc>
          <w:tcPr/>
          <w:p>
            <w:pPr>
              <w:pStyle w:val="Compact"/>
              <w:jc w:val="left"/>
            </w:pPr>
            <w:r>
              <w:t xml:space="preserve">SAR need a full range of information pertaining to ships and their domain to support the saving of lives.</w:t>
            </w:r>
          </w:p>
        </w:tc>
        <w:tc>
          <w:tcPr/>
          <w:p>
            <w:pPr>
              <w:pStyle w:val="Compact"/>
              <w:numPr>
                <w:ilvl w:val="0"/>
                <w:numId w:val="80"/>
              </w:numPr>
              <w:jc w:val="left"/>
            </w:pPr>
            <w:r>
              <w:t xml:space="preserve">Common data structure</w:t>
            </w:r>
          </w:p>
          <w:p>
            <w:pPr>
              <w:pStyle w:val="Compact"/>
              <w:numPr>
                <w:ilvl w:val="0"/>
                <w:numId w:val="80"/>
              </w:numPr>
              <w:jc w:val="left"/>
            </w:pPr>
            <w:r>
              <w:t xml:space="preserve">Automated reporting</w:t>
            </w:r>
          </w:p>
          <w:p>
            <w:pPr>
              <w:pStyle w:val="Compact"/>
              <w:numPr>
                <w:ilvl w:val="0"/>
                <w:numId w:val="80"/>
              </w:numPr>
              <w:jc w:val="left"/>
            </w:pPr>
            <w:r>
              <w:t xml:space="preserve">Robust communications data integrity</w:t>
            </w:r>
          </w:p>
        </w:tc>
        <w:tc>
          <w:tcPr/>
          <w:p>
            <w:pPr>
              <w:pStyle w:val="Compact"/>
            </w:pPr>
          </w:p>
        </w:tc>
        <w:tc>
          <w:tcPr/>
          <w:p>
            <w:pPr>
              <w:pStyle w:val="Compact"/>
            </w:pPr>
          </w:p>
        </w:tc>
      </w:tr>
      <w:tr>
        <w:tc>
          <w:tcPr/>
          <w:p>
            <w:pPr>
              <w:pStyle w:val="Compact"/>
              <w:jc w:val="left"/>
            </w:pPr>
            <w:r>
              <w:t xml:space="preserve">Effective Communication and information sharing</w:t>
            </w:r>
          </w:p>
        </w:tc>
        <w:tc>
          <w:tcPr/>
          <w:p>
            <w:pPr>
              <w:pStyle w:val="Compact"/>
              <w:jc w:val="left"/>
            </w:pPr>
            <w:r>
              <w:t xml:space="preserve">SAR must be able to use the e-Navigation infrastructure to communicate and share information effectively with all parties involved in an incident.</w:t>
            </w:r>
          </w:p>
        </w:tc>
        <w:tc>
          <w:tcPr/>
          <w:p>
            <w:pPr>
              <w:pStyle w:val="Compact"/>
              <w:numPr>
                <w:ilvl w:val="0"/>
                <w:numId w:val="80"/>
              </w:numPr>
              <w:jc w:val="left"/>
            </w:pPr>
            <w:r>
              <w:t xml:space="preserve">Common data structure</w:t>
            </w:r>
          </w:p>
          <w:p>
            <w:pPr>
              <w:pStyle w:val="Compact"/>
              <w:numPr>
                <w:ilvl w:val="0"/>
                <w:numId w:val="80"/>
              </w:numPr>
              <w:jc w:val="left"/>
            </w:pPr>
            <w:r>
              <w:t xml:space="preserve">Automated reporting</w:t>
            </w:r>
          </w:p>
          <w:p>
            <w:pPr>
              <w:pStyle w:val="Compact"/>
              <w:numPr>
                <w:ilvl w:val="0"/>
                <w:numId w:val="80"/>
              </w:numPr>
              <w:jc w:val="left"/>
            </w:pPr>
            <w:r>
              <w:t xml:space="preserve">Robust communications data integrity</w:t>
            </w:r>
          </w:p>
        </w:tc>
        <w:tc>
          <w:tcPr/>
          <w:p>
            <w:pPr>
              <w:pStyle w:val="Compact"/>
            </w:pPr>
          </w:p>
        </w:tc>
        <w:tc>
          <w:tcPr/>
          <w:p>
            <w:pPr>
              <w:pStyle w:val="Compact"/>
            </w:pPr>
          </w:p>
        </w:tc>
      </w:tr>
    </w:tbl>
    <w:bookmarkEnd w:id="39"/>
    <w:bookmarkEnd w:id="40"/>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3294E0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16cid:durableId="1023478736">
    <w:abstractNumId w:val="9"/>
    <w:lvlOverride w:ilvl="0">
      <w:startOverride w:val="1"/>
    </w:lvlOverride>
  </w:num>
  <w:num w:numId="69">
    <w:abstractNumId w:val="25"/>
  </w:num>
  <w:num w:numId="70">
    <w:abstractNumId w:val="25"/>
  </w:num>
  <w:num w:numId="71">
    <w:abstractNumId w:val="25"/>
  </w:num>
  <w:num w:numId="72" w16cid:durableId="1117405132">
    <w:abstractNumId w:val="6"/>
    <w:lvlOverride w:ilvl="0">
      <w:startOverride w:val="1"/>
    </w:lvlOverride>
  </w:num>
  <w:num w:numId="73">
    <w:abstractNumId w:val="25"/>
  </w:num>
  <w:num w:numId="74">
    <w:abstractNumId w:val="25"/>
  </w:num>
  <w:num w:numId="75">
    <w:abstractNumId w:val="25"/>
  </w:num>
  <w:num w:numId="76">
    <w:abstractNumId w:val="25"/>
  </w:num>
  <w:num w:numId="77">
    <w:abstractNumId w:val="25"/>
  </w:num>
  <w:num w:numId="78">
    <w:abstractNumId w:val="25"/>
  </w:num>
  <w:num w:numId="78">
    <w:abstractNumId w:val="25"/>
  </w:num>
  <w:num w:numId="78">
    <w:abstractNumId w:val="25"/>
  </w:num>
  <w:num w:numId="78">
    <w:abstractNumId w:val="25"/>
  </w:num>
  <w:num w:numId="78">
    <w:abstractNumId w:val="25"/>
  </w:num>
  <w:num w:numId="78">
    <w:abstractNumId w:val="25"/>
  </w:num>
  <w:num w:numId="78">
    <w:abstractNumId w:val="25"/>
  </w:num>
  <w:num w:numId="79">
    <w:abstractNumId w:val="25"/>
  </w:num>
  <w:num w:numId="79">
    <w:abstractNumId w:val="25"/>
  </w:num>
  <w:num w:numId="79">
    <w:abstractNumId w:val="25"/>
  </w:num>
  <w:num w:numId="79">
    <w:abstractNumId w:val="25"/>
  </w:num>
  <w:num w:numId="79">
    <w:abstractNumId w:val="25"/>
  </w:num>
  <w:num w:numId="79">
    <w:abstractNumId w:val="25"/>
  </w:num>
  <w:num w:numId="80">
    <w:abstractNumId w:val="25"/>
  </w:num>
  <w:num w:numId="80">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