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This document finally defines 19 functional and 10 non-functiona requiredments, so that the technical service development can take place with clearly identified goals. A high-level description of the AtoN update business process model is also provided, as well as the envisaged process on how S-124 and S-125 can be used to promulated urgent AtoN status changes in a timely manner. This is in line with the relevant IALA publications.</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5"/>
    <w:bookmarkEnd w:id="36"/>
    <w:bookmarkEnd w:id="37"/>
    <w:bookmarkStart w:id="38"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9"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8"/>
    <w:bookmarkStart w:id="40"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9"/>
    <w:bookmarkStart w:id="41"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0"/>
    <w:bookmarkEnd w:id="41"/>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577E73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