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mitigation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augmenting charted AtoN information. This document presents a holistic overview of MS2 from the point of view of IALA.</w:t>
      </w:r>
    </w:p>
    <w:p>
      <w:pPr>
        <w:pStyle w:val="BodyText"/>
      </w:pPr>
      <w:r>
        <w:t xml:space="preserve">In the operational context, the AtoN information is collected and monitored by the AtoN Authorities, and in collaboration with the Coastal Authorities and the Hydrographic Offices (HO), disseminated to all interested parties. There are two main flows of the AtoN information towards the final end-user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information over S-125, an Enhanced AtoN Information Service providing information over S-201, 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IALA identified a number of individual features and architectural parameters that are required for MS2 to support these six objectives. The service features are specified from the point of view of each of the stakeholders, while the architectural parameters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adhere to the IALA-defined AtoN categorisation and availability objectives, as it is designed to support the safety of navigation. This document concludes with 19 functional and 10 non-functional requirements, so that the technical service development can proceed with clearly identified goals. A high-level description of the AtoN update business process model is also provided, as well as the envisaged process on how S-124 and S-125 can be used to promulgate urgent AtoN status changes in a timely manner, both compliant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703E5B"/>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