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The IMO has since 2010 introduced and promoted e-Navigation as a concept for the migitation of the future challenges of the maritime domain. The IMO e-Navigation Strategy Implementation Plan (SIP) defines a set of Maritime Services (MS) as the means of providing electronic information in a harmonized way. MS-2 - Aids to Navigation Service was introduced, with the aim of promulgating the latest information on AtoN and augment charted AtoN information. This guideline presents the a holistic overview of MS2 from the point of view of IALA.</w:t>
      </w:r>
    </w:p>
    <w:p>
      <w:pPr>
        <w:pStyle w:val="BodyText"/>
      </w:pPr>
      <w:r>
        <w:t xml:space="preserve">In the envisaged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mariner.For mariners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utilised public portals and other ECS providers.</w:t>
      </w:r>
    </w:p>
    <w:p>
      <w:pPr>
        <w:pStyle w:val="BodyText"/>
      </w:pPr>
      <w:r>
        <w:t xml:space="preserve">The AtoN information will require a number of technical services to be successfully promulgated in a timely manner, including:</w:t>
      </w:r>
    </w:p>
    <w:p>
      <w:pPr>
        <w:numPr>
          <w:ilvl w:val="0"/>
          <w:numId w:val="66"/>
        </w:numPr>
      </w:pPr>
      <w:r>
        <w:t xml:space="preserve">Aton Service providing AtoN information using S-125</w:t>
      </w:r>
    </w:p>
    <w:p>
      <w:pPr>
        <w:numPr>
          <w:ilvl w:val="0"/>
          <w:numId w:val="66"/>
        </w:numPr>
      </w:pPr>
      <w:r>
        <w:t xml:space="preserve">Enhanced AtoN Servive providing AtoN infomation using S-201</w:t>
      </w:r>
    </w:p>
    <w:p>
      <w:pPr>
        <w:numPr>
          <w:ilvl w:val="0"/>
          <w:numId w:val="66"/>
        </w:numPr>
      </w:pPr>
      <w:r>
        <w:t xml:space="preserve">Navigational Warning Service providing information on AtoN incidents using S-124</w:t>
      </w:r>
    </w:p>
    <w:p>
      <w:pPr>
        <w:numPr>
          <w:ilvl w:val="0"/>
          <w:numId w:val="66"/>
        </w:numPr>
      </w:pPr>
      <w:r>
        <w:t xml:space="preserve">PNT Service using the S-240 product specification</w:t>
      </w:r>
    </w:p>
    <w:p>
      <w:pPr>
        <w:pStyle w:val="FirstParagraph"/>
      </w:pPr>
      <w:r>
        <w:t xml:space="preserve">As a whole IALA recognises the following six key objectives for MS2:</w:t>
      </w:r>
    </w:p>
    <w:p>
      <w:pPr>
        <w:numPr>
          <w:ilvl w:val="0"/>
          <w:numId w:val="67"/>
        </w:numPr>
      </w:pPr>
      <w:r>
        <w:rPr>
          <w:b/>
          <w:bCs/>
        </w:rPr>
        <w:t xml:space="preserve">OBJ1</w:t>
      </w:r>
      <w:r>
        <w:t xml:space="preserve">: Provision of AtoN information service to all end-users.</w:t>
      </w:r>
    </w:p>
    <w:p>
      <w:pPr>
        <w:numPr>
          <w:ilvl w:val="0"/>
          <w:numId w:val="67"/>
        </w:numPr>
      </w:pPr>
      <w:r>
        <w:rPr>
          <w:b/>
          <w:bCs/>
        </w:rPr>
        <w:t xml:space="preserve">OBJ2</w:t>
      </w:r>
      <w:r>
        <w:t xml:space="preserve">: Provision of AtoN information to other authorities.</w:t>
      </w:r>
    </w:p>
    <w:p>
      <w:pPr>
        <w:numPr>
          <w:ilvl w:val="0"/>
          <w:numId w:val="67"/>
        </w:numPr>
      </w:pPr>
      <w:r>
        <w:rPr>
          <w:b/>
          <w:bCs/>
        </w:rPr>
        <w:t xml:space="preserve">OBJ3</w:t>
      </w:r>
      <w:r>
        <w:t xml:space="preserve">: Describe physical, virtual and synthetic AtoN.</w:t>
      </w:r>
    </w:p>
    <w:p>
      <w:pPr>
        <w:numPr>
          <w:ilvl w:val="0"/>
          <w:numId w:val="67"/>
        </w:numPr>
      </w:pPr>
      <w:r>
        <w:rPr>
          <w:b/>
          <w:bCs/>
        </w:rPr>
        <w:t xml:space="preserve">OBJ4</w:t>
      </w:r>
      <w:r>
        <w:t xml:space="preserve">: Deliver the current status and changes of AtoN information.</w:t>
      </w:r>
    </w:p>
    <w:p>
      <w:pPr>
        <w:numPr>
          <w:ilvl w:val="0"/>
          <w:numId w:val="67"/>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7"/>
        </w:numPr>
      </w:pPr>
      <w:r>
        <w:rPr>
          <w:b/>
          <w:bCs/>
        </w:rPr>
        <w:t xml:space="preserve">OBJ6</w:t>
      </w:r>
      <w:r>
        <w:t xml:space="preserve">: Support the adoption of MASS, supplying up-to-date machine readable AtoN information.</w:t>
      </w:r>
    </w:p>
    <w:p>
      <w:pPr>
        <w:pStyle w:val="FirstParagraph"/>
      </w:pPr>
      <w:r>
        <w:t xml:space="preserve">This document identifies a number of individual features and architectural parameters that MS2 need to provide to support these six objectives. The service features are specified from the point of view of each of the involved information producers and consumers, while the architectural parameters are high level guidelines that outline the importance of:</w:t>
      </w:r>
    </w:p>
    <w:p>
      <w:pPr>
        <w:numPr>
          <w:ilvl w:val="0"/>
          <w:numId w:val="68"/>
        </w:numPr>
      </w:pPr>
      <w:r>
        <w:t xml:space="preserve">Focus on the provision of AtoN information</w:t>
      </w:r>
    </w:p>
    <w:p>
      <w:pPr>
        <w:numPr>
          <w:ilvl w:val="0"/>
          <w:numId w:val="68"/>
        </w:numPr>
      </w:pPr>
      <w:r>
        <w:t xml:space="preserve">Use of the S-100 Framework</w:t>
      </w:r>
    </w:p>
    <w:p>
      <w:pPr>
        <w:numPr>
          <w:ilvl w:val="0"/>
          <w:numId w:val="68"/>
        </w:numPr>
      </w:pPr>
      <w:r>
        <w:t xml:space="preserve">Use of established data product specifications</w:t>
      </w:r>
    </w:p>
    <w:p>
      <w:pPr>
        <w:numPr>
          <w:ilvl w:val="0"/>
          <w:numId w:val="68"/>
        </w:numPr>
      </w:pPr>
      <w:r>
        <w:t xml:space="preserve">Secure by design</w:t>
      </w:r>
    </w:p>
    <w:p>
      <w:pPr>
        <w:numPr>
          <w:ilvl w:val="0"/>
          <w:numId w:val="68"/>
        </w:numPr>
      </w:pPr>
      <w:r>
        <w:t xml:space="preserve">Leverage automation</w:t>
      </w:r>
    </w:p>
    <w:p>
      <w:pPr>
        <w:numPr>
          <w:ilvl w:val="0"/>
          <w:numId w:val="68"/>
        </w:numPr>
      </w:pPr>
      <w:r>
        <w:t xml:space="preserve">Data Driven</w:t>
      </w:r>
    </w:p>
    <w:p>
      <w:pPr>
        <w:pStyle w:val="FirstParagraph"/>
      </w:pPr>
      <w:r>
        <w:t xml:space="preserve">Finally the document defines 19 functional and 10 non-functiona requiredments, so that the technical service development can take place with clearly identified goals. To support that even more, the document provides a high level description of the AtoN update business process model, as well as the envisaged process on how S-124 and S-125 can be used to promulated urgent AtoN status changes in a timely manner. This is in line with the relevant IALA publications.</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9"/>
        </w:numPr>
      </w:pPr>
      <w:r>
        <w:t xml:space="preserve">S1: improved, harmonized and user-friendly bridge design.</w:t>
      </w:r>
    </w:p>
    <w:p>
      <w:pPr>
        <w:numPr>
          <w:ilvl w:val="0"/>
          <w:numId w:val="69"/>
        </w:numPr>
      </w:pPr>
      <w:r>
        <w:t xml:space="preserve">S2: means for standardized and automated reporting.</w:t>
      </w:r>
    </w:p>
    <w:p>
      <w:pPr>
        <w:numPr>
          <w:ilvl w:val="0"/>
          <w:numId w:val="69"/>
        </w:numPr>
      </w:pPr>
      <w:r>
        <w:t xml:space="preserve">S3: improved reliability, resilience and integrity of bridge equipment and navigation information.</w:t>
      </w:r>
    </w:p>
    <w:p>
      <w:pPr>
        <w:numPr>
          <w:ilvl w:val="0"/>
          <w:numId w:val="69"/>
        </w:numPr>
      </w:pPr>
      <w:r>
        <w:t xml:space="preserve">S4: integration and presentation of available information in graphical displays received via communication equipment.</w:t>
      </w:r>
    </w:p>
    <w:p>
      <w:pPr>
        <w:numPr>
          <w:ilvl w:val="0"/>
          <w:numId w:val="69"/>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70"/>
        </w:numPr>
      </w:pPr>
      <w:r>
        <w:t xml:space="preserve">Context and goal of the service.</w:t>
      </w:r>
    </w:p>
    <w:p>
      <w:pPr>
        <w:numPr>
          <w:ilvl w:val="0"/>
          <w:numId w:val="70"/>
        </w:numPr>
      </w:pPr>
      <w:r>
        <w:t xml:space="preserve">Relations to other services.</w:t>
      </w:r>
    </w:p>
    <w:p>
      <w:pPr>
        <w:numPr>
          <w:ilvl w:val="0"/>
          <w:numId w:val="70"/>
        </w:numPr>
      </w:pPr>
      <w:r>
        <w:t xml:space="preserve">User needs, information needs, high level functional and non‐functional requirements.</w:t>
      </w:r>
    </w:p>
    <w:p>
      <w:pPr>
        <w:numPr>
          <w:ilvl w:val="0"/>
          <w:numId w:val="70"/>
        </w:numPr>
      </w:pPr>
      <w:r>
        <w:t xml:space="preserve">Requirements traceability matrix.</w:t>
      </w:r>
    </w:p>
    <w:p>
      <w:pPr>
        <w:numPr>
          <w:ilvl w:val="0"/>
          <w:numId w:val="70"/>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1"/>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2"/>
        </w:numPr>
      </w:pPr>
      <w:r>
        <w:t xml:space="preserve">The Shore-Side</w:t>
      </w:r>
    </w:p>
    <w:p>
      <w:pPr>
        <w:numPr>
          <w:ilvl w:val="0"/>
          <w:numId w:val="72"/>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3"/>
        </w:numPr>
      </w:pPr>
      <w:r>
        <w:t xml:space="preserve">New hazards (fixed or dynamic)</w:t>
      </w:r>
    </w:p>
    <w:p>
      <w:pPr>
        <w:numPr>
          <w:ilvl w:val="0"/>
          <w:numId w:val="73"/>
        </w:numPr>
      </w:pPr>
      <w:r>
        <w:t xml:space="preserve">Temporary channels or routes</w:t>
      </w:r>
    </w:p>
    <w:p>
      <w:pPr>
        <w:numPr>
          <w:ilvl w:val="0"/>
          <w:numId w:val="73"/>
        </w:numPr>
      </w:pPr>
      <w:r>
        <w:t xml:space="preserve">Temporary areas to be avoided (e.g. restricted areas, military exercises)</w:t>
      </w:r>
    </w:p>
    <w:p>
      <w:pPr>
        <w:numPr>
          <w:ilvl w:val="0"/>
          <w:numId w:val="73"/>
        </w:numPr>
      </w:pPr>
      <w:r>
        <w:t xml:space="preserve">Survey, dredging, fishing, special marine events)</w:t>
      </w:r>
    </w:p>
    <w:p>
      <w:pPr>
        <w:numPr>
          <w:ilvl w:val="0"/>
          <w:numId w:val="73"/>
        </w:numPr>
      </w:pPr>
      <w:r>
        <w:t xml:space="preserve">Changed hydrography, such as shifting banks</w:t>
      </w:r>
    </w:p>
    <w:p>
      <w:pPr>
        <w:numPr>
          <w:ilvl w:val="0"/>
          <w:numId w:val="73"/>
        </w:numPr>
      </w:pPr>
      <w:r>
        <w:t xml:space="preserve">Temporary replacement of a charted aid that is off station or removed</w:t>
      </w:r>
    </w:p>
    <w:p>
      <w:pPr>
        <w:numPr>
          <w:ilvl w:val="0"/>
          <w:numId w:val="73"/>
        </w:numPr>
      </w:pPr>
      <w:r>
        <w:t xml:space="preserve">Dynamic areas (e.g. reduced visibility, presence of protected species)</w:t>
      </w:r>
    </w:p>
    <w:p>
      <w:pPr>
        <w:numPr>
          <w:ilvl w:val="0"/>
          <w:numId w:val="73"/>
        </w:numPr>
      </w:pPr>
      <w:r>
        <w:t xml:space="preserve">Polar navigation, provided there is sufficient means of radio communication broadcast and charting</w:t>
      </w:r>
    </w:p>
    <w:p>
      <w:pPr>
        <w:numPr>
          <w:ilvl w:val="0"/>
          <w:numId w:val="73"/>
        </w:numPr>
      </w:pPr>
      <w:r>
        <w:t xml:space="preserve">Ice conditions and navigation</w:t>
      </w:r>
    </w:p>
    <w:p>
      <w:pPr>
        <w:numPr>
          <w:ilvl w:val="0"/>
          <w:numId w:val="73"/>
        </w:numPr>
      </w:pPr>
      <w:r>
        <w:t xml:space="preserve">Incident response (e.g. environmental, search and rescue)</w:t>
      </w:r>
    </w:p>
    <w:p>
      <w:pPr>
        <w:numPr>
          <w:ilvl w:val="0"/>
          <w:numId w:val="73"/>
        </w:numPr>
      </w:pPr>
      <w:r>
        <w:t xml:space="preserve">Port-specific applications (e.g. passage planning, amended pilot boarding location)</w:t>
      </w:r>
    </w:p>
    <w:p>
      <w:pPr>
        <w:numPr>
          <w:ilvl w:val="0"/>
          <w:numId w:val="73"/>
        </w:numPr>
      </w:pPr>
      <w:r>
        <w:t xml:space="preserve">Measures for the protection of the marine environment</w:t>
      </w:r>
    </w:p>
    <w:p>
      <w:pPr>
        <w:numPr>
          <w:ilvl w:val="0"/>
          <w:numId w:val="73"/>
        </w:numPr>
      </w:pPr>
      <w:r>
        <w:t xml:space="preserve">Security</w:t>
      </w:r>
    </w:p>
    <w:p>
      <w:pPr>
        <w:numPr>
          <w:ilvl w:val="0"/>
          <w:numId w:val="73"/>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3"/>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4"/>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5"/>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6"/>
        </w:numPr>
      </w:pPr>
      <w:r>
        <w:rPr>
          <w:b/>
          <w:bCs/>
        </w:rPr>
        <w:t xml:space="preserve">OBJ1</w:t>
      </w:r>
      <w:r>
        <w:t xml:space="preserve">: Provision of AtoN information service to all end-users.</w:t>
      </w:r>
    </w:p>
    <w:p>
      <w:pPr>
        <w:numPr>
          <w:ilvl w:val="0"/>
          <w:numId w:val="76"/>
        </w:numPr>
      </w:pPr>
      <w:r>
        <w:rPr>
          <w:b/>
          <w:bCs/>
        </w:rPr>
        <w:t xml:space="preserve">OBJ2</w:t>
      </w:r>
      <w:r>
        <w:t xml:space="preserve">: Provision of AtoN information to other authorities.</w:t>
      </w:r>
    </w:p>
    <w:p>
      <w:pPr>
        <w:numPr>
          <w:ilvl w:val="0"/>
          <w:numId w:val="76"/>
        </w:numPr>
      </w:pPr>
      <w:r>
        <w:rPr>
          <w:b/>
          <w:bCs/>
        </w:rPr>
        <w:t xml:space="preserve">OBJ3</w:t>
      </w:r>
      <w:r>
        <w:t xml:space="preserve">: Describe physical, virtual and synthetic AtoN.</w:t>
      </w:r>
    </w:p>
    <w:p>
      <w:pPr>
        <w:numPr>
          <w:ilvl w:val="0"/>
          <w:numId w:val="76"/>
        </w:numPr>
      </w:pPr>
      <w:r>
        <w:rPr>
          <w:b/>
          <w:bCs/>
        </w:rPr>
        <w:t xml:space="preserve">OBJ4</w:t>
      </w:r>
      <w:r>
        <w:t xml:space="preserve">: Deliver the current status and changes of AtoN information.</w:t>
      </w:r>
    </w:p>
    <w:p>
      <w:pPr>
        <w:numPr>
          <w:ilvl w:val="0"/>
          <w:numId w:val="7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6"/>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7"/>
        </w:numPr>
      </w:pPr>
      <w:r>
        <w:t xml:space="preserve">Other AtoN authorities</w:t>
      </w:r>
    </w:p>
    <w:p>
      <w:pPr>
        <w:numPr>
          <w:ilvl w:val="0"/>
          <w:numId w:val="77"/>
        </w:numPr>
      </w:pPr>
      <w:r>
        <w:t xml:space="preserve">Coastal Authorities</w:t>
      </w:r>
    </w:p>
    <w:p>
      <w:pPr>
        <w:numPr>
          <w:ilvl w:val="0"/>
          <w:numId w:val="77"/>
        </w:numPr>
      </w:pPr>
      <w:r>
        <w:t xml:space="preserve">Hydrographic Offices</w:t>
      </w:r>
    </w:p>
    <w:p>
      <w:pPr>
        <w:numPr>
          <w:ilvl w:val="0"/>
          <w:numId w:val="77"/>
        </w:numPr>
      </w:pPr>
      <w:r>
        <w:t xml:space="preserve">Regional Electronic Navigational Chart Coordination Centers (RENCs)</w:t>
      </w:r>
    </w:p>
    <w:p>
      <w:pPr>
        <w:numPr>
          <w:ilvl w:val="0"/>
          <w:numId w:val="77"/>
        </w:numPr>
      </w:pPr>
      <w:r>
        <w:t xml:space="preserve">Value-Added Resellers (VARs) and Distributors</w:t>
      </w:r>
    </w:p>
    <w:p>
      <w:pPr>
        <w:numPr>
          <w:ilvl w:val="0"/>
          <w:numId w:val="77"/>
        </w:numPr>
      </w:pPr>
      <w:r>
        <w:t xml:space="preserve">Search &amp; Rescue Services</w:t>
      </w:r>
    </w:p>
    <w:p>
      <w:pPr>
        <w:numPr>
          <w:ilvl w:val="0"/>
          <w:numId w:val="77"/>
        </w:numPr>
      </w:pPr>
      <w:r>
        <w:t xml:space="preserve">VTS Providers</w:t>
      </w:r>
    </w:p>
    <w:p>
      <w:pPr>
        <w:numPr>
          <w:ilvl w:val="0"/>
          <w:numId w:val="77"/>
        </w:numPr>
      </w:pPr>
      <w:r>
        <w:t xml:space="preserve">Other Electronic Chart System providers</w:t>
      </w:r>
    </w:p>
    <w:p>
      <w:pPr>
        <w:numPr>
          <w:ilvl w:val="0"/>
          <w:numId w:val="77"/>
        </w:numPr>
      </w:pPr>
      <w:r>
        <w:t xml:space="preserve">Automated systems for navigation of vessels in coastal and/or open waters.</w:t>
      </w:r>
    </w:p>
    <w:p>
      <w:pPr>
        <w:numPr>
          <w:ilvl w:val="0"/>
          <w:numId w:val="77"/>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8"/>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8"/>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9"/>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9"/>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80"/>
        </w:numPr>
      </w:pPr>
      <w:r>
        <w:t xml:space="preserve">S-124</w:t>
      </w:r>
    </w:p>
    <w:p>
      <w:pPr>
        <w:numPr>
          <w:ilvl w:val="0"/>
          <w:numId w:val="80"/>
        </w:numPr>
      </w:pPr>
      <w:r>
        <w:t xml:space="preserve">S-125</w:t>
      </w:r>
    </w:p>
    <w:p>
      <w:pPr>
        <w:numPr>
          <w:ilvl w:val="0"/>
          <w:numId w:val="80"/>
        </w:numPr>
      </w:pPr>
      <w:r>
        <w:t xml:space="preserve">S-201</w:t>
      </w:r>
    </w:p>
    <w:p>
      <w:pPr>
        <w:numPr>
          <w:ilvl w:val="0"/>
          <w:numId w:val="80"/>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5"/>
    <w:bookmarkEnd w:id="36"/>
    <w:bookmarkEnd w:id="37"/>
    <w:bookmarkStart w:id="38"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9"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1"/>
              </w:numPr>
              <w:jc w:val="left"/>
            </w:pPr>
            <w:r>
              <w:t xml:space="preserve">Effective communication</w:t>
            </w:r>
          </w:p>
          <w:p>
            <w:pPr>
              <w:pStyle w:val="Compact"/>
              <w:numPr>
                <w:ilvl w:val="0"/>
                <w:numId w:val="81"/>
              </w:numPr>
              <w:jc w:val="left"/>
            </w:pPr>
            <w:r>
              <w:t xml:space="preserve">Human-centred presentation needs</w:t>
            </w:r>
          </w:p>
          <w:p>
            <w:pPr>
              <w:pStyle w:val="Compact"/>
              <w:numPr>
                <w:ilvl w:val="0"/>
                <w:numId w:val="81"/>
              </w:numPr>
              <w:jc w:val="left"/>
            </w:pPr>
            <w:r>
              <w:t xml:space="preserve">Human-machine interface</w:t>
            </w:r>
          </w:p>
          <w:p>
            <w:pPr>
              <w:pStyle w:val="Compact"/>
              <w:numPr>
                <w:ilvl w:val="0"/>
                <w:numId w:val="81"/>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1"/>
              </w:numPr>
              <w:jc w:val="left"/>
            </w:pPr>
            <w:r>
              <w:t xml:space="preserve">Effective communication</w:t>
            </w:r>
          </w:p>
          <w:p>
            <w:pPr>
              <w:pStyle w:val="Compact"/>
              <w:numPr>
                <w:ilvl w:val="0"/>
                <w:numId w:val="81"/>
              </w:numPr>
              <w:jc w:val="left"/>
            </w:pPr>
            <w:r>
              <w:t xml:space="preserve">Human-centred presentation needs</w:t>
            </w:r>
          </w:p>
          <w:p>
            <w:pPr>
              <w:pStyle w:val="Compact"/>
              <w:numPr>
                <w:ilvl w:val="0"/>
                <w:numId w:val="81"/>
              </w:numPr>
              <w:jc w:val="left"/>
            </w:pPr>
            <w:r>
              <w:t xml:space="preserve">Human-machine interface</w:t>
            </w:r>
          </w:p>
          <w:p>
            <w:pPr>
              <w:pStyle w:val="Compact"/>
              <w:numPr>
                <w:ilvl w:val="0"/>
                <w:numId w:val="81"/>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1"/>
              </w:numPr>
              <w:jc w:val="left"/>
            </w:pPr>
            <w:r>
              <w:t xml:space="preserve">Human-centred presentation needs</w:t>
            </w:r>
          </w:p>
          <w:p>
            <w:pPr>
              <w:pStyle w:val="Compact"/>
              <w:numPr>
                <w:ilvl w:val="0"/>
                <w:numId w:val="81"/>
              </w:numPr>
              <w:jc w:val="left"/>
            </w:pPr>
            <w:r>
              <w:t xml:space="preserve">Human-machine interface</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1"/>
              </w:numPr>
              <w:jc w:val="left"/>
            </w:pPr>
            <w:r>
              <w:t xml:space="preserve">Effective and robust communication</w:t>
            </w:r>
          </w:p>
          <w:p>
            <w:pPr>
              <w:pStyle w:val="Compact"/>
              <w:numPr>
                <w:ilvl w:val="0"/>
                <w:numId w:val="81"/>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Common marine/data structure</w:t>
            </w:r>
          </w:p>
          <w:p>
            <w:pPr>
              <w:pStyle w:val="Compact"/>
              <w:numPr>
                <w:ilvl w:val="0"/>
                <w:numId w:val="81"/>
              </w:numPr>
              <w:jc w:val="left"/>
            </w:pPr>
            <w:r>
              <w:t xml:space="preserve">Data and system integrity</w:t>
            </w:r>
          </w:p>
          <w:p>
            <w:pPr>
              <w:pStyle w:val="Compact"/>
              <w:numPr>
                <w:ilvl w:val="0"/>
                <w:numId w:val="81"/>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8"/>
    <w:bookmarkStart w:id="40"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2"/>
              </w:numPr>
              <w:jc w:val="left"/>
            </w:pPr>
            <w:r>
              <w:t xml:space="preserve">Common maritime information/data structure</w:t>
            </w:r>
          </w:p>
          <w:p>
            <w:pPr>
              <w:pStyle w:val="Compact"/>
              <w:numPr>
                <w:ilvl w:val="0"/>
                <w:numId w:val="82"/>
              </w:numPr>
              <w:jc w:val="left"/>
            </w:pPr>
            <w:r>
              <w:t xml:space="preserve">Automated and standardized reporting functions</w:t>
            </w:r>
          </w:p>
          <w:p>
            <w:pPr>
              <w:pStyle w:val="Compact"/>
              <w:numPr>
                <w:ilvl w:val="0"/>
                <w:numId w:val="82"/>
              </w:numPr>
              <w:jc w:val="left"/>
            </w:pPr>
            <w:r>
              <w:t xml:space="preserve">Effective and robust communications</w:t>
            </w:r>
          </w:p>
          <w:p>
            <w:pPr>
              <w:pStyle w:val="Compact"/>
              <w:numPr>
                <w:ilvl w:val="0"/>
                <w:numId w:val="82"/>
              </w:numPr>
              <w:jc w:val="left"/>
            </w:pPr>
            <w:r>
              <w:t xml:space="preserve">Data and system integrity</w:t>
            </w:r>
          </w:p>
          <w:p>
            <w:pPr>
              <w:pStyle w:val="Compact"/>
              <w:numPr>
                <w:ilvl w:val="0"/>
                <w:numId w:val="82"/>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2"/>
              </w:numPr>
              <w:jc w:val="left"/>
            </w:pPr>
            <w:r>
              <w:t xml:space="preserve">Common maritime information/data structure</w:t>
            </w:r>
          </w:p>
          <w:p>
            <w:pPr>
              <w:pStyle w:val="Compact"/>
              <w:numPr>
                <w:ilvl w:val="0"/>
                <w:numId w:val="82"/>
              </w:numPr>
              <w:jc w:val="left"/>
            </w:pPr>
            <w:r>
              <w:t xml:space="preserve">Automated and standardized reporting functions</w:t>
            </w:r>
          </w:p>
          <w:p>
            <w:pPr>
              <w:pStyle w:val="Compact"/>
              <w:numPr>
                <w:ilvl w:val="0"/>
                <w:numId w:val="82"/>
              </w:numPr>
              <w:jc w:val="left"/>
            </w:pPr>
            <w:r>
              <w:t xml:space="preserve">Effective and robust communications</w:t>
            </w:r>
          </w:p>
          <w:p>
            <w:pPr>
              <w:pStyle w:val="Compact"/>
              <w:numPr>
                <w:ilvl w:val="0"/>
                <w:numId w:val="82"/>
              </w:numPr>
              <w:jc w:val="left"/>
            </w:pPr>
            <w:r>
              <w:t xml:space="preserve">Human-centred presentation needs</w:t>
            </w:r>
          </w:p>
          <w:p>
            <w:pPr>
              <w:pStyle w:val="Compact"/>
              <w:numPr>
                <w:ilvl w:val="0"/>
                <w:numId w:val="82"/>
              </w:numPr>
              <w:jc w:val="left"/>
            </w:pPr>
            <w:r>
              <w:t xml:space="preserve">Data and system integrity</w:t>
            </w:r>
          </w:p>
          <w:p>
            <w:pPr>
              <w:pStyle w:val="Compact"/>
              <w:numPr>
                <w:ilvl w:val="0"/>
                <w:numId w:val="82"/>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2"/>
              </w:numPr>
              <w:jc w:val="left"/>
            </w:pPr>
            <w:r>
              <w:t xml:space="preserve">Common maritime information/data structure</w:t>
            </w:r>
          </w:p>
          <w:p>
            <w:pPr>
              <w:pStyle w:val="Compact"/>
              <w:numPr>
                <w:ilvl w:val="0"/>
                <w:numId w:val="82"/>
              </w:numPr>
              <w:jc w:val="left"/>
            </w:pPr>
            <w:r>
              <w:t xml:space="preserve">Automated and standardized reporting functions</w:t>
            </w:r>
          </w:p>
          <w:p>
            <w:pPr>
              <w:pStyle w:val="Compact"/>
              <w:numPr>
                <w:ilvl w:val="0"/>
                <w:numId w:val="82"/>
              </w:numPr>
              <w:jc w:val="left"/>
            </w:pPr>
            <w:r>
              <w:t xml:space="preserve">Effective and robust communications</w:t>
            </w:r>
          </w:p>
          <w:p>
            <w:pPr>
              <w:pStyle w:val="Compact"/>
              <w:numPr>
                <w:ilvl w:val="0"/>
                <w:numId w:val="82"/>
              </w:numPr>
              <w:jc w:val="left"/>
            </w:pPr>
            <w:r>
              <w:t xml:space="preserve">Human-centred presentation needs</w:t>
            </w:r>
          </w:p>
          <w:p>
            <w:pPr>
              <w:pStyle w:val="Compact"/>
              <w:numPr>
                <w:ilvl w:val="0"/>
                <w:numId w:val="82"/>
              </w:numPr>
              <w:jc w:val="left"/>
            </w:pPr>
            <w:r>
              <w:t xml:space="preserve">Data and system integrity</w:t>
            </w:r>
          </w:p>
          <w:p>
            <w:pPr>
              <w:pStyle w:val="Compact"/>
              <w:numPr>
                <w:ilvl w:val="0"/>
                <w:numId w:val="82"/>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2"/>
              </w:numPr>
              <w:jc w:val="left"/>
            </w:pPr>
            <w:r>
              <w:t xml:space="preserve">Common maritime information/data structure</w:t>
            </w:r>
          </w:p>
          <w:p>
            <w:pPr>
              <w:pStyle w:val="Compact"/>
              <w:numPr>
                <w:ilvl w:val="0"/>
                <w:numId w:val="82"/>
              </w:numPr>
              <w:jc w:val="left"/>
            </w:pPr>
            <w:r>
              <w:t xml:space="preserve">Automated and standardized reporting functions</w:t>
            </w:r>
          </w:p>
          <w:p>
            <w:pPr>
              <w:pStyle w:val="Compact"/>
              <w:numPr>
                <w:ilvl w:val="0"/>
                <w:numId w:val="82"/>
              </w:numPr>
              <w:jc w:val="left"/>
            </w:pPr>
            <w:r>
              <w:t xml:space="preserve">Effective and robust communications</w:t>
            </w:r>
          </w:p>
          <w:p>
            <w:pPr>
              <w:pStyle w:val="Compact"/>
              <w:numPr>
                <w:ilvl w:val="0"/>
                <w:numId w:val="82"/>
              </w:numPr>
              <w:jc w:val="left"/>
            </w:pPr>
            <w:r>
              <w:t xml:space="preserve">Data and system integrity</w:t>
            </w:r>
          </w:p>
          <w:p>
            <w:pPr>
              <w:pStyle w:val="Compact"/>
              <w:numPr>
                <w:ilvl w:val="0"/>
                <w:numId w:val="82"/>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2"/>
              </w:numPr>
              <w:jc w:val="left"/>
            </w:pPr>
            <w:r>
              <w:t xml:space="preserve">Common maritime information/data structure</w:t>
            </w:r>
          </w:p>
          <w:p>
            <w:pPr>
              <w:pStyle w:val="Compact"/>
              <w:numPr>
                <w:ilvl w:val="0"/>
                <w:numId w:val="82"/>
              </w:numPr>
              <w:jc w:val="left"/>
            </w:pPr>
            <w:r>
              <w:t xml:space="preserve">Automated and standardized reporting functions</w:t>
            </w:r>
          </w:p>
          <w:p>
            <w:pPr>
              <w:pStyle w:val="Compact"/>
              <w:numPr>
                <w:ilvl w:val="0"/>
                <w:numId w:val="82"/>
              </w:numPr>
              <w:jc w:val="left"/>
            </w:pPr>
            <w:r>
              <w:t xml:space="preserve">Effective and robust communications</w:t>
            </w:r>
          </w:p>
          <w:p>
            <w:pPr>
              <w:pStyle w:val="Compact"/>
              <w:numPr>
                <w:ilvl w:val="0"/>
                <w:numId w:val="82"/>
              </w:numPr>
              <w:jc w:val="left"/>
            </w:pPr>
            <w:r>
              <w:t xml:space="preserve">Human-centred presentation needs</w:t>
            </w:r>
          </w:p>
          <w:p>
            <w:pPr>
              <w:pStyle w:val="Compact"/>
              <w:numPr>
                <w:ilvl w:val="0"/>
                <w:numId w:val="82"/>
              </w:numPr>
              <w:jc w:val="left"/>
            </w:pPr>
            <w:r>
              <w:t xml:space="preserve">Data and system integrity</w:t>
            </w:r>
          </w:p>
          <w:p>
            <w:pPr>
              <w:pStyle w:val="Compact"/>
              <w:numPr>
                <w:ilvl w:val="0"/>
                <w:numId w:val="82"/>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2"/>
              </w:numPr>
              <w:jc w:val="left"/>
            </w:pPr>
            <w:r>
              <w:t xml:space="preserve">Automated and standardized reporting functions</w:t>
            </w:r>
          </w:p>
          <w:p>
            <w:pPr>
              <w:pStyle w:val="Compact"/>
              <w:numPr>
                <w:ilvl w:val="0"/>
                <w:numId w:val="82"/>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9"/>
    <w:bookmarkStart w:id="41"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3"/>
              </w:numPr>
              <w:jc w:val="left"/>
            </w:pPr>
            <w:r>
              <w:t xml:space="preserve">Common data structure</w:t>
            </w:r>
          </w:p>
          <w:p>
            <w:pPr>
              <w:pStyle w:val="Compact"/>
              <w:numPr>
                <w:ilvl w:val="0"/>
                <w:numId w:val="83"/>
              </w:numPr>
              <w:jc w:val="left"/>
            </w:pPr>
            <w:r>
              <w:t xml:space="preserve">Automated reporting</w:t>
            </w:r>
          </w:p>
          <w:p>
            <w:pPr>
              <w:pStyle w:val="Compact"/>
              <w:numPr>
                <w:ilvl w:val="0"/>
                <w:numId w:val="83"/>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3"/>
              </w:numPr>
              <w:jc w:val="left"/>
            </w:pPr>
            <w:r>
              <w:t xml:space="preserve">Common data structure</w:t>
            </w:r>
          </w:p>
          <w:p>
            <w:pPr>
              <w:pStyle w:val="Compact"/>
              <w:numPr>
                <w:ilvl w:val="0"/>
                <w:numId w:val="83"/>
              </w:numPr>
              <w:jc w:val="left"/>
            </w:pPr>
            <w:r>
              <w:t xml:space="preserve">Automated reporting</w:t>
            </w:r>
          </w:p>
          <w:p>
            <w:pPr>
              <w:pStyle w:val="Compact"/>
              <w:numPr>
                <w:ilvl w:val="0"/>
                <w:numId w:val="83"/>
              </w:numPr>
              <w:jc w:val="left"/>
            </w:pPr>
            <w:r>
              <w:t xml:space="preserve">Robust communications data integrity</w:t>
            </w:r>
          </w:p>
        </w:tc>
        <w:tc>
          <w:tcPr/>
          <w:p>
            <w:pPr>
              <w:pStyle w:val="Compact"/>
            </w:pPr>
          </w:p>
        </w:tc>
        <w:tc>
          <w:tcPr/>
          <w:p>
            <w:pPr>
              <w:pStyle w:val="Compact"/>
            </w:pPr>
          </w:p>
        </w:tc>
      </w:tr>
    </w:tbl>
    <w:bookmarkEnd w:id="40"/>
    <w:bookmarkEnd w:id="41"/>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5CDDC4"/>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abstractNumId w:val="25"/>
  </w:num>
  <w:num w:numId="71" w16cid:durableId="1023478736">
    <w:abstractNumId w:val="9"/>
    <w:lvlOverride w:ilvl="0">
      <w:startOverride w:val="1"/>
    </w:lvlOverride>
  </w:num>
  <w:num w:numId="72">
    <w:abstractNumId w:val="25"/>
  </w:num>
  <w:num w:numId="73">
    <w:abstractNumId w:val="25"/>
  </w:num>
  <w:num w:numId="74">
    <w:abstractNumId w:val="25"/>
  </w:num>
  <w:num w:numId="75" w16cid:durableId="1117405132">
    <w:abstractNumId w:val="6"/>
    <w:lvlOverride w:ilvl="0">
      <w:startOverride w:val="1"/>
    </w:lvlOverride>
  </w:num>
  <w:num w:numId="76">
    <w:abstractNumId w:val="25"/>
  </w:num>
  <w:num w:numId="77">
    <w:abstractNumId w:val="25"/>
  </w:num>
  <w:num w:numId="78">
    <w:abstractNumId w:val="25"/>
  </w:num>
  <w:num w:numId="79">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82">
    <w:abstractNumId w:val="25"/>
  </w:num>
  <w:num w:numId="82">
    <w:abstractNumId w:val="25"/>
  </w:num>
  <w:num w:numId="82">
    <w:abstractNumId w:val="25"/>
  </w:num>
  <w:num w:numId="82">
    <w:abstractNumId w:val="25"/>
  </w:num>
  <w:num w:numId="83">
    <w:abstractNumId w:val="25"/>
  </w:num>
  <w:num w:numId="83">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