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Analysis model_experiments.py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</w:pPr>
      <w:r>
        <w:rPr>
          <w:rFonts w:hint="default" w:ascii="sans-serif" w:hAnsi="sans-serif" w:eastAsia="sans-serif" w:cs="sans-serif"/>
          <w:b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>run_many_models_in_parallel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 xml:space="preserve"> will write the configs into a pkl file, and the following </w:t>
      </w:r>
      <w:r>
        <w:rPr>
          <w:rFonts w:hint="default" w:ascii="sans-serif" w:hAnsi="sans-serif" w:eastAsia="sans-serif" w:cs="sans-serif"/>
          <w:b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>fit_and_save_one_model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 xml:space="preserve"> will select one config from teh pkl file according to the config idx.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</w:pPr>
      <w:r>
        <w:drawing>
          <wp:inline distT="0" distB="0" distL="114300" distR="114300">
            <wp:extent cx="2600325" cy="266700"/>
            <wp:effectExtent l="0" t="0" r="9525" b="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Read the arguments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cs="sans-serif"/>
          <w:sz w:val="22"/>
          <w:szCs w:val="22"/>
          <w:lang w:val="en"/>
        </w:rPr>
        <w:t>set necessary arguments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cs="sans-serif"/>
          <w:sz w:val="22"/>
          <w:szCs w:val="22"/>
        </w:rPr>
      </w:pPr>
      <w:r>
        <w:drawing>
          <wp:inline distT="0" distB="0" distL="114300" distR="114300">
            <wp:extent cx="5274310" cy="497205"/>
            <wp:effectExtent l="0" t="0" r="2540" b="1714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Psi is what?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fit_disease_model_on_real_data()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init_exogenous_variables():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initial_conditions:   ['E', 'I', 'R']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num_seeds: seems the iteration times of simulation.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Different daily rates:</w:t>
      </w:r>
    </w:p>
    <w:p>
      <w:r>
        <w:drawing>
          <wp:inline distT="0" distB="0" distL="114300" distR="114300">
            <wp:extent cx="5271135" cy="2971800"/>
            <wp:effectExtent l="0" t="0" r="5715" b="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190875"/>
            <wp:effectExtent l="0" t="0" r="11430" b="952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"https://www.cdc.gov/coronavirus/2019-ncov/cases-updates/burden.html"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https://www.cdc.gov/coronavirus/2019-ncov/cases-updates/burden.html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675" cy="3793490"/>
            <wp:effectExtent l="0" t="0" r="3175" b="165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r>
        <w:rPr>
          <w:rFonts w:hint="default"/>
        </w:rPr>
        <w:t>http://www.healthdata.org/sites/default/files/files/Projects/COVID/2021/briefing_US_20210114.pdf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"http://www.healthdata.org/sites/default/files/files/Projects/COVID/2021/102_briefing_United_States_of_America_2.pdf"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http://www.healthdata.org/sites/default/files/files/Projects/COVID/2021/102_briefing_United_States_of_America_2.pdf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36"/>
          <w:highlight w:val="yellow"/>
          <w:shd w:val="clear" w:color="FFFFFF" w:fill="D9D9D9"/>
          <w:lang w:val="en"/>
        </w:rPr>
      </w:pPr>
      <w:r>
        <w:rPr>
          <w:rFonts w:hint="default"/>
          <w:sz w:val="28"/>
          <w:szCs w:val="36"/>
          <w:highlight w:val="yellow"/>
          <w:shd w:val="clear" w:color="FFFFFF" w:fill="D9D9D9"/>
          <w:lang w:val="en"/>
        </w:rPr>
        <w:t>ISSUE: detected rate is not sure: 0.25 ~ 0.3 ~ 0.6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daily_E_to_I = smoothed_daily_counts / rate_over_time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hourly_E_to_I[t] = daily_E_to_I[d] / 24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I_s = E[s_index - latency_period]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R_s = np.sum(hourly_E_to_I[:s_index - infectious_period])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S_s = total_pop - E_s - I_s - R_s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total_pop = np.sum(pop_sizes)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conda run python model_experiments.py run_many_models_in_parallel calibrate_r0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model_experiments.py run_many_models_in_parallel normal_grid_search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model_experiments.py run_many_models_in_parallel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test_retrospective_counterfactuals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model_experiments.py run_many_models_in_parallel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rerun_best_models_and_save_cases_per_poi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conda run python -u model_experiments.py fit_and_save_one_model calibrate_r0 --timestring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Huan_R0_only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 --config_idx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29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fit_and_save_one_model  normal_grid_search --timestring Huan_normal_grid_search --config_idx 15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#### PARAMETERS FOR 2021 EXPERIMENTS ####                 # Huan: for: python model_experiments.py run_many_models_in_parallel calibrate_r0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MIN_DATETIME = datetime.datetime(2020, 12, 28, 0)   # the acutall data date.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MIN_DATETIME = datetime.datetime(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the acutall data date.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MAX_DATETIME = datetime.datetime(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 the acutall data date.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N: CBG_count: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M: POI_count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 Huan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  <w:lang w:val="en"/>
        </w:rPr>
        <w:t xml:space="preserve"> modified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home_beta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home_betas: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configs_with_changing_params.append({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'home_beta'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:home_beta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'poi_psi'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2500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'p_sick_at_t0'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1e-4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poi_psi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poi_psis: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configs_with_changing_params.append({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'home_beta'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0.001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'poi_psi'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:poi_psi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'p_sick_at_t0'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1e-4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BETA_AND_PSI_PLAUSIBLE_RANGE = 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"min_home_beta"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0.0001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"max_home_beta"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0.02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"min_poi_psi"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"max_poi_psi"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500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2.838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0.02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2.473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500R0: 1.233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2.898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0.503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100R0: 1.240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250R0: 1.264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2.534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0.525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2.037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2.067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0.02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100R0: 1.396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0.492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0.879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2.493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500R0: 1.314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2.613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0.644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100R0: 1.654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250R0: 1.288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caps w:val="0"/>
          <w:spacing w:val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0.01 PSI: 100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Imprtant dates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Imprtant initial variables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??????????????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BETA_PLAUSIBLE_RANGE = (0.7, 1.3)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use to normal grid search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clipping, 10262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CBG home data,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avg_median_dwell,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area,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any hours, 6550 POIs; kept 94.70% of visits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that appear in &lt; 100 POIs, 910 CBGs (2.3%)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with population size 0 in ACS data, 904 CBGs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FINAL: number of CBGs (N) = 904, number of POIs (M) = 6550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Num connected POI-CBG pairs (E) = 522762, network density (E/N) = 578.277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Dwell time correction factors: mean = 0.16, min = 0.01, max = 0.73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Change the correction factor.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use South Carolina population to obtain the correction factor.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state_population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5149000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state_unique_visitors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415034   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2021-02-03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correction_factor = state_population / state_unique_visitors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"Total state population of South Carolina: %i; total safegraph visitor count in South Carolina: %i; correction factor for POI visits is %2.3f"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(total_us_population_in_50_states_plus_dc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safegraph_visitor_count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correction_factor))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Population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shd w:val="clear" w:fill="FDFDFD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shd w:val="clear" w:fill="FDFDFD"/>
                <w:vertAlign w:val="baseline"/>
                <w:lang w:val="en-US" w:eastAsia="zh-CN" w:bidi="ar"/>
              </w:rPr>
              <w:instrText xml:space="preserve"> HYPERLINK "https://www.southcarolina-demographics.com/richland-county-demographics" </w:instrText>
            </w: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shd w:val="clear" w:fill="FDFDFD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shd w:val="clear" w:fill="FDFDFD"/>
                <w:vertAlign w:val="baseline"/>
              </w:rPr>
              <w:t>Richland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shd w:val="clear" w:fill="FDFDFD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shd w:val="clear" w:fill="FDFDFD"/>
                <w:lang w:val="en-US" w:eastAsia="zh-CN" w:bidi="ar"/>
              </w:rPr>
              <w:t>416,147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"https://www.southcarolina-demographics.com/lexington-county-demographics"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Lexington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293,991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"https://www.southcarolina-demographics.com/kershaw-county-demographics"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Kershaw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65,403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"https://www.southcarolina-demographics.com/fairfield-county-demographics"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Fairfield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20,948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"https://www.southcarolina-demographics.com/saluda-county-demographics"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Saluda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18,862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"https://www.southcarolina-demographics.com/calhoun-county-demographics"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Calhoun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14,119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that appear in &lt; 100 POIs, 910 CBGs (2.3%)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6690" cy="1720850"/>
            <wp:effectExtent l="0" t="0" r="10160" b="1270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https://covid19.healthdata.org/united-states-of-america/south-carolina?view=mask-use&amp;tab=trend</w:t>
      </w:r>
    </w:p>
    <w:p/>
    <w:p>
      <w:r>
        <w:drawing>
          <wp:inline distT="0" distB="0" distL="114300" distR="114300">
            <wp:extent cx="5273675" cy="1438275"/>
            <wp:effectExtent l="0" t="0" r="3175" b="952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3343275" cy="2255520"/>
            <wp:effectExtent l="0" t="0" r="9525" b="11430"/>
            <wp:docPr id="4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7775" cy="2548255"/>
            <wp:effectExtent l="0" t="0" r="3175" b="4445"/>
            <wp:docPr id="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2682875" cy="2072005"/>
            <wp:effectExtent l="0" t="0" r="3175" b="4445"/>
            <wp:docPr id="10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  </w:t>
      </w:r>
      <w:bookmarkStart w:id="0" w:name="_GoBack"/>
      <w:bookmarkEnd w:id="0"/>
    </w:p>
    <w:p/>
    <w:p/>
    <w:p>
      <w:r>
        <w:drawing>
          <wp:inline distT="0" distB="0" distL="114300" distR="114300">
            <wp:extent cx="1257935" cy="472440"/>
            <wp:effectExtent l="0" t="0" r="18415" b="3810"/>
            <wp:docPr id="12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5185" cy="512445"/>
            <wp:effectExtent l="0" t="0" r="18415" b="1905"/>
            <wp:docPr id="13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9860" cy="1197610"/>
            <wp:effectExtent l="0" t="0" r="2540" b="2540"/>
            <wp:docPr id="11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FDF7D"/>
    <w:multiLevelType w:val="singleLevel"/>
    <w:tmpl w:val="7BAFDF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58D1B"/>
    <w:rsid w:val="29DB87AA"/>
    <w:rsid w:val="3EF3A03B"/>
    <w:rsid w:val="47DC958D"/>
    <w:rsid w:val="4A1947CF"/>
    <w:rsid w:val="51FED7AB"/>
    <w:rsid w:val="5BD462C2"/>
    <w:rsid w:val="5DFEFC85"/>
    <w:rsid w:val="5EFA7CCD"/>
    <w:rsid w:val="67CDDFEE"/>
    <w:rsid w:val="6EFA5F9C"/>
    <w:rsid w:val="6FBB27F8"/>
    <w:rsid w:val="757DE146"/>
    <w:rsid w:val="77B7FA90"/>
    <w:rsid w:val="7BBF3E01"/>
    <w:rsid w:val="7CA3E458"/>
    <w:rsid w:val="7EFAF087"/>
    <w:rsid w:val="7F7D58EC"/>
    <w:rsid w:val="9D4B5CFF"/>
    <w:rsid w:val="A9DF8EB4"/>
    <w:rsid w:val="AFDEC5A6"/>
    <w:rsid w:val="BA7B23C6"/>
    <w:rsid w:val="CFFF7263"/>
    <w:rsid w:val="DFF7E9E8"/>
    <w:rsid w:val="E3DDDD1D"/>
    <w:rsid w:val="E9F71EFB"/>
    <w:rsid w:val="EBFE74B9"/>
    <w:rsid w:val="EFA9EFA7"/>
    <w:rsid w:val="FBE7ED0A"/>
    <w:rsid w:val="FDFA74B9"/>
    <w:rsid w:val="FE734873"/>
    <w:rsid w:val="FFB72D43"/>
    <w:rsid w:val="FF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2018-07-09T10:11:00Z</dcterms:created>
  <dc:creator>d</dc:creator>
  <cp:lastModifiedBy>gpu</cp:lastModifiedBy>
  <dcterms:modified xsi:type="dcterms:W3CDTF">2021-11-29T12:53:40Z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