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1. The principle of limited government is reflected in the Constitution in Article 1, Section 8 in the 10th Amendment. The 10th Amendment states “the rights of states and the people” which means that the government cannot establish a dictatorship or encroach on people’s rights.</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2. The principle will be put into practice by the people in order to ensure that the government does not encroach on people’s rights.</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Calibri" w:cs="Calibri" w:eastAsia="Calibri" w:hAnsi="Calibri"/>
          <w:sz w:val="24"/>
          <w:szCs w:val="24"/>
          <w:rtl w:val="0"/>
        </w:rPr>
        <w:t xml:space="preserve">3. The author defines liberty as the freedom of people to do th</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Calibri" w:cs="Calibri" w:eastAsia="Calibri" w:hAnsi="Calibri"/>
          <w:sz w:val="24"/>
          <w:szCs w:val="24"/>
          <w:rtl w:val="0"/>
        </w:rPr>
        <w:t xml:space="preserve">4. The way we currently understand and practice this principle is not exactly in the way we practice limiting government. The government alone now has the power to make and administer laws. Power is of an encroaching nature from several centuries ago but the Constitution has made it hard to encroach on people’s rights. The government is still controlled to the present day by a system of checks and balances set by the Constitution.</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