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Dean Gladish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Science Fair Materials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 </w:t>
        <w:tab/>
        <w:t xml:space="preserve">Electric generator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48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  </w:t>
        <w:tab/>
        <w:t xml:space="preserve">Sound  Amplifier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  </w:t>
        <w:tab/>
        <w:t xml:space="preserve">Different types of crystal glass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</w:t>
        <w:tab/>
        <w:t xml:space="preserve">Electronic tuning fork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</w:t>
        <w:tab/>
        <w:t xml:space="preserve">Possibly wooden spoon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</w:t>
        <w:tab/>
        <w:t xml:space="preserve">Electrical cord (extended)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</w:t>
        <w:tab/>
        <w:t xml:space="preserve">Oscilloscope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</w:t>
        <w:tab/>
        <w:t xml:space="preserve">Sound level meter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materials would be used in order to demonstrate that it is possible to use different frequencies to affect objects.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