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95AB" w14:textId="77777777" w:rsidR="00151170" w:rsidRDefault="00151170" w:rsidP="008B5E9C">
      <w:pPr>
        <w:spacing w:after="0" w:line="240" w:lineRule="auto"/>
        <w:rPr>
          <w:rFonts w:ascii="Times New Roman" w:hAnsi="Times New Roman" w:cs="Times New Roman"/>
          <w:sz w:val="24"/>
          <w:szCs w:val="24"/>
        </w:rPr>
      </w:pPr>
      <w:r>
        <w:rPr>
          <w:rFonts w:ascii="Times New Roman" w:hAnsi="Times New Roman" w:cs="Times New Roman"/>
          <w:sz w:val="24"/>
          <w:szCs w:val="24"/>
        </w:rPr>
        <w:t>Dean Gladish</w:t>
      </w:r>
    </w:p>
    <w:p w14:paraId="749792F1" w14:textId="77777777" w:rsidR="00151170" w:rsidRDefault="00151170" w:rsidP="008B5E9C">
      <w:pPr>
        <w:spacing w:after="0" w:line="240" w:lineRule="auto"/>
        <w:rPr>
          <w:rFonts w:ascii="Times New Roman" w:hAnsi="Times New Roman" w:cs="Times New Roman"/>
          <w:sz w:val="24"/>
          <w:szCs w:val="24"/>
        </w:rPr>
      </w:pPr>
      <w:r>
        <w:rPr>
          <w:rFonts w:ascii="Times New Roman" w:hAnsi="Times New Roman" w:cs="Times New Roman"/>
          <w:sz w:val="24"/>
          <w:szCs w:val="24"/>
        </w:rPr>
        <w:t>History 220 – North of Jim Crow, South of Freedom</w:t>
      </w:r>
    </w:p>
    <w:p w14:paraId="75ED0EE0" w14:textId="77777777" w:rsidR="00151170" w:rsidRDefault="00151170" w:rsidP="008B5E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Tyran</w:t>
      </w:r>
      <w:proofErr w:type="spellEnd"/>
      <w:r>
        <w:rPr>
          <w:rFonts w:ascii="Times New Roman" w:hAnsi="Times New Roman" w:cs="Times New Roman"/>
          <w:sz w:val="24"/>
          <w:szCs w:val="24"/>
        </w:rPr>
        <w:t xml:space="preserve"> Steward</w:t>
      </w:r>
    </w:p>
    <w:p w14:paraId="56ED7445" w14:textId="075D363F" w:rsidR="00917E0B" w:rsidRDefault="00151170"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March </w:t>
      </w:r>
      <w:r w:rsidR="001D0C29">
        <w:rPr>
          <w:rFonts w:ascii="Times New Roman" w:hAnsi="Times New Roman" w:cs="Times New Roman"/>
          <w:sz w:val="24"/>
          <w:szCs w:val="24"/>
        </w:rPr>
        <w:t>1</w:t>
      </w:r>
      <w:r w:rsidR="004A30AE">
        <w:rPr>
          <w:rFonts w:ascii="Times New Roman" w:hAnsi="Times New Roman" w:cs="Times New Roman"/>
          <w:sz w:val="24"/>
          <w:szCs w:val="24"/>
        </w:rPr>
        <w:t>8</w:t>
      </w:r>
      <w:r>
        <w:rPr>
          <w:rFonts w:ascii="Times New Roman" w:hAnsi="Times New Roman" w:cs="Times New Roman"/>
          <w:sz w:val="24"/>
          <w:szCs w:val="24"/>
        </w:rPr>
        <w:t>, 2019</w:t>
      </w:r>
    </w:p>
    <w:p w14:paraId="23FAEC0E" w14:textId="19ED9C85" w:rsidR="009F27D5" w:rsidRDefault="00A735E2" w:rsidP="004A30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Examining the Historical C</w:t>
      </w:r>
      <w:r w:rsidR="00330C8A">
        <w:rPr>
          <w:rFonts w:ascii="Times New Roman" w:hAnsi="Times New Roman" w:cs="Times New Roman"/>
          <w:sz w:val="24"/>
          <w:szCs w:val="24"/>
        </w:rPr>
        <w:t xml:space="preserve">ontext of </w:t>
      </w:r>
      <w:r>
        <w:rPr>
          <w:rFonts w:ascii="Times New Roman" w:hAnsi="Times New Roman" w:cs="Times New Roman"/>
          <w:sz w:val="24"/>
          <w:szCs w:val="24"/>
        </w:rPr>
        <w:t>Northern Racial Liberalism</w:t>
      </w:r>
    </w:p>
    <w:p w14:paraId="54A67311" w14:textId="77777777" w:rsidR="00233C74" w:rsidRDefault="00330C8A" w:rsidP="00233C7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essay I want to </w:t>
      </w:r>
      <w:r w:rsidR="005D022D">
        <w:rPr>
          <w:rFonts w:ascii="Times New Roman" w:hAnsi="Times New Roman" w:cs="Times New Roman"/>
          <w:sz w:val="24"/>
          <w:szCs w:val="24"/>
        </w:rPr>
        <w:t xml:space="preserve">elaborate on </w:t>
      </w:r>
      <w:r w:rsidR="0029323B">
        <w:rPr>
          <w:rFonts w:ascii="Times New Roman" w:hAnsi="Times New Roman" w:cs="Times New Roman"/>
          <w:sz w:val="24"/>
          <w:szCs w:val="24"/>
        </w:rPr>
        <w:t>Hall’s assessment of how politicians and the media have confined the civil rights movement to a</w:t>
      </w:r>
      <w:r w:rsidR="001B156C">
        <w:rPr>
          <w:rFonts w:ascii="Times New Roman" w:hAnsi="Times New Roman" w:cs="Times New Roman"/>
          <w:sz w:val="24"/>
          <w:szCs w:val="24"/>
        </w:rPr>
        <w:t xml:space="preserve">n uplifting narrative which </w:t>
      </w:r>
      <w:r w:rsidR="00A473D2">
        <w:rPr>
          <w:rFonts w:ascii="Times New Roman" w:hAnsi="Times New Roman" w:cs="Times New Roman"/>
          <w:sz w:val="24"/>
          <w:szCs w:val="24"/>
        </w:rPr>
        <w:t xml:space="preserve">aims to protect American exceptionalism.  By focusing on the </w:t>
      </w:r>
      <w:r w:rsidR="00CA6F28">
        <w:rPr>
          <w:rFonts w:ascii="Times New Roman" w:hAnsi="Times New Roman" w:cs="Times New Roman"/>
          <w:sz w:val="24"/>
          <w:szCs w:val="24"/>
        </w:rPr>
        <w:t>hidden aspects of the civil rights movement, I hope to scrutinize the way in which northern racial liberalism</w:t>
      </w:r>
      <w:r w:rsidR="008F04DE">
        <w:rPr>
          <w:rFonts w:ascii="Times New Roman" w:hAnsi="Times New Roman" w:cs="Times New Roman"/>
          <w:sz w:val="24"/>
          <w:szCs w:val="24"/>
        </w:rPr>
        <w:t xml:space="preserve"> and civil rights activism interact.  </w:t>
      </w:r>
      <w:r w:rsidR="007E3792">
        <w:rPr>
          <w:rFonts w:ascii="Times New Roman" w:hAnsi="Times New Roman" w:cs="Times New Roman"/>
          <w:sz w:val="24"/>
          <w:szCs w:val="24"/>
        </w:rPr>
        <w:t xml:space="preserve">I also want to </w:t>
      </w:r>
      <w:r w:rsidR="00C83CAB">
        <w:rPr>
          <w:rFonts w:ascii="Times New Roman" w:hAnsi="Times New Roman" w:cs="Times New Roman"/>
          <w:sz w:val="24"/>
          <w:szCs w:val="24"/>
        </w:rPr>
        <w:t>demonstrate the complexity of civil rights by focusing on the way in which African-Americans used the language of race liberals</w:t>
      </w:r>
      <w:r w:rsidR="00233C74">
        <w:rPr>
          <w:rFonts w:ascii="Times New Roman" w:hAnsi="Times New Roman" w:cs="Times New Roman"/>
          <w:sz w:val="24"/>
          <w:szCs w:val="24"/>
        </w:rPr>
        <w:t xml:space="preserve"> (particularly during the era of McCarthyism) to test the authenticity of their discourse.  </w:t>
      </w:r>
    </w:p>
    <w:p w14:paraId="5E925600" w14:textId="77777777" w:rsidR="009040C2" w:rsidRDefault="0047718A" w:rsidP="00233C7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A3DF1">
        <w:rPr>
          <w:rFonts w:ascii="Times New Roman" w:hAnsi="Times New Roman" w:cs="Times New Roman"/>
          <w:sz w:val="24"/>
          <w:szCs w:val="24"/>
        </w:rPr>
        <w:t xml:space="preserve">The First Great Migration was influenced greatly by the idea that the North was the promised land; as we discussed in class, </w:t>
      </w:r>
      <w:r w:rsidR="00BB79AB">
        <w:rPr>
          <w:rFonts w:ascii="Times New Roman" w:hAnsi="Times New Roman" w:cs="Times New Roman"/>
          <w:sz w:val="24"/>
          <w:szCs w:val="24"/>
        </w:rPr>
        <w:t>African-American</w:t>
      </w:r>
      <w:r w:rsidR="000D6A48">
        <w:rPr>
          <w:rFonts w:ascii="Times New Roman" w:hAnsi="Times New Roman" w:cs="Times New Roman"/>
          <w:sz w:val="24"/>
          <w:szCs w:val="24"/>
        </w:rPr>
        <w:t>s made the decision to migrate from the South</w:t>
      </w:r>
      <w:r w:rsidR="00BB79AB">
        <w:rPr>
          <w:rFonts w:ascii="Times New Roman" w:hAnsi="Times New Roman" w:cs="Times New Roman"/>
          <w:sz w:val="24"/>
          <w:szCs w:val="24"/>
        </w:rPr>
        <w:t xml:space="preserve"> during the 1920s and 1930s</w:t>
      </w:r>
      <w:r w:rsidR="00460FF6">
        <w:rPr>
          <w:rFonts w:ascii="Times New Roman" w:hAnsi="Times New Roman" w:cs="Times New Roman"/>
          <w:sz w:val="24"/>
          <w:szCs w:val="24"/>
        </w:rPr>
        <w:t>.  Because the North was free of de jure</w:t>
      </w:r>
      <w:r w:rsidR="00E17137">
        <w:rPr>
          <w:rFonts w:ascii="Times New Roman" w:hAnsi="Times New Roman" w:cs="Times New Roman"/>
          <w:sz w:val="24"/>
          <w:szCs w:val="24"/>
        </w:rPr>
        <w:t xml:space="preserve"> racial inequality</w:t>
      </w:r>
      <w:r w:rsidR="00460FF6">
        <w:rPr>
          <w:rFonts w:ascii="Times New Roman" w:hAnsi="Times New Roman" w:cs="Times New Roman"/>
          <w:sz w:val="24"/>
          <w:szCs w:val="24"/>
        </w:rPr>
        <w:t xml:space="preserve">, African-American migrants </w:t>
      </w:r>
      <w:r w:rsidR="00E17137">
        <w:rPr>
          <w:rFonts w:ascii="Times New Roman" w:hAnsi="Times New Roman" w:cs="Times New Roman"/>
          <w:sz w:val="24"/>
          <w:szCs w:val="24"/>
        </w:rPr>
        <w:t xml:space="preserve">viewed it as an alternative to the obvious form of Southern white supremacy.  </w:t>
      </w:r>
      <w:r w:rsidR="00EE79CD">
        <w:rPr>
          <w:rFonts w:ascii="Times New Roman" w:hAnsi="Times New Roman" w:cs="Times New Roman"/>
          <w:sz w:val="24"/>
          <w:szCs w:val="24"/>
        </w:rPr>
        <w:t xml:space="preserve">Furthermore, there </w:t>
      </w:r>
      <w:r w:rsidR="0031025E">
        <w:rPr>
          <w:rFonts w:ascii="Times New Roman" w:hAnsi="Times New Roman" w:cs="Times New Roman"/>
          <w:sz w:val="24"/>
          <w:szCs w:val="24"/>
        </w:rPr>
        <w:t xml:space="preserve">had already been a hidden migration prior to what historians officially call the First Great Migration – as </w:t>
      </w:r>
      <w:r w:rsidR="005002A0">
        <w:rPr>
          <w:rFonts w:ascii="Times New Roman" w:hAnsi="Times New Roman" w:cs="Times New Roman"/>
          <w:sz w:val="24"/>
          <w:szCs w:val="24"/>
        </w:rPr>
        <w:t xml:space="preserve">the historian Kevin Boyle records, the black upper class </w:t>
      </w:r>
      <w:r w:rsidR="00C56FD2">
        <w:rPr>
          <w:rFonts w:ascii="Times New Roman" w:hAnsi="Times New Roman" w:cs="Times New Roman"/>
          <w:sz w:val="24"/>
          <w:szCs w:val="24"/>
        </w:rPr>
        <w:t xml:space="preserve">in Detroit </w:t>
      </w:r>
      <w:r w:rsidR="005002A0">
        <w:rPr>
          <w:rFonts w:ascii="Times New Roman" w:hAnsi="Times New Roman" w:cs="Times New Roman"/>
          <w:sz w:val="24"/>
          <w:szCs w:val="24"/>
        </w:rPr>
        <w:t xml:space="preserve">primarily consisted of </w:t>
      </w:r>
      <w:r w:rsidR="00883301">
        <w:rPr>
          <w:rFonts w:ascii="Times New Roman" w:hAnsi="Times New Roman" w:cs="Times New Roman"/>
          <w:sz w:val="24"/>
          <w:szCs w:val="24"/>
        </w:rPr>
        <w:t>people who were northerners by birth and who were often Canadian-born progeny of fugitive slaves</w:t>
      </w:r>
      <w:r w:rsidR="003A2708">
        <w:rPr>
          <w:rFonts w:ascii="Times New Roman" w:hAnsi="Times New Roman" w:cs="Times New Roman"/>
          <w:sz w:val="24"/>
          <w:szCs w:val="24"/>
        </w:rPr>
        <w:t>.</w:t>
      </w:r>
      <w:r w:rsidR="00883301">
        <w:rPr>
          <w:rStyle w:val="FootnoteReference"/>
          <w:rFonts w:ascii="Times New Roman" w:hAnsi="Times New Roman" w:cs="Times New Roman"/>
          <w:sz w:val="24"/>
          <w:szCs w:val="24"/>
        </w:rPr>
        <w:footnoteReference w:id="1"/>
      </w:r>
      <w:r w:rsidR="00337641">
        <w:rPr>
          <w:rFonts w:ascii="Times New Roman" w:hAnsi="Times New Roman" w:cs="Times New Roman"/>
          <w:sz w:val="24"/>
          <w:szCs w:val="24"/>
        </w:rPr>
        <w:t xml:space="preserve">  </w:t>
      </w:r>
      <w:r w:rsidR="00062FA0">
        <w:rPr>
          <w:rFonts w:ascii="Times New Roman" w:hAnsi="Times New Roman" w:cs="Times New Roman"/>
          <w:sz w:val="24"/>
          <w:szCs w:val="24"/>
        </w:rPr>
        <w:t xml:space="preserve">I would argue that </w:t>
      </w:r>
      <w:r w:rsidR="00C56FD2">
        <w:rPr>
          <w:rFonts w:ascii="Times New Roman" w:hAnsi="Times New Roman" w:cs="Times New Roman"/>
          <w:sz w:val="24"/>
          <w:szCs w:val="24"/>
        </w:rPr>
        <w:t>the black elite did not face the struggle of families like Ossian Sweet because they were small proportionally</w:t>
      </w:r>
      <w:r w:rsidR="008236B0">
        <w:rPr>
          <w:rFonts w:ascii="Times New Roman" w:hAnsi="Times New Roman" w:cs="Times New Roman"/>
          <w:sz w:val="24"/>
          <w:szCs w:val="24"/>
        </w:rPr>
        <w:t xml:space="preserve"> and did not challenge the status quo</w:t>
      </w:r>
      <w:r w:rsidR="00C56FD2">
        <w:rPr>
          <w:rFonts w:ascii="Times New Roman" w:hAnsi="Times New Roman" w:cs="Times New Roman"/>
          <w:sz w:val="24"/>
          <w:szCs w:val="24"/>
        </w:rPr>
        <w:t>;</w:t>
      </w:r>
      <w:r w:rsidR="008236B0">
        <w:rPr>
          <w:rFonts w:ascii="Times New Roman" w:hAnsi="Times New Roman" w:cs="Times New Roman"/>
          <w:sz w:val="24"/>
          <w:szCs w:val="24"/>
        </w:rPr>
        <w:t xml:space="preserve"> thus</w:t>
      </w:r>
      <w:r w:rsidR="00C56FD2">
        <w:rPr>
          <w:rFonts w:ascii="Times New Roman" w:hAnsi="Times New Roman" w:cs="Times New Roman"/>
          <w:sz w:val="24"/>
          <w:szCs w:val="24"/>
        </w:rPr>
        <w:t xml:space="preserve"> </w:t>
      </w:r>
      <w:r w:rsidR="00221F82">
        <w:rPr>
          <w:rFonts w:ascii="Times New Roman" w:hAnsi="Times New Roman" w:cs="Times New Roman"/>
          <w:sz w:val="24"/>
          <w:szCs w:val="24"/>
        </w:rPr>
        <w:t xml:space="preserve">segregation increased as migration continued from the South.  </w:t>
      </w:r>
    </w:p>
    <w:p w14:paraId="5DD29EFF" w14:textId="28E300F7" w:rsidR="00830577" w:rsidRDefault="00221F82" w:rsidP="00E36D5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Race liberals such as the educated head of the Detroit Urban League</w:t>
      </w:r>
      <w:r w:rsidR="00062FA0">
        <w:rPr>
          <w:rFonts w:ascii="Times New Roman" w:hAnsi="Times New Roman" w:cs="Times New Roman"/>
          <w:sz w:val="24"/>
          <w:szCs w:val="24"/>
        </w:rPr>
        <w:t xml:space="preserve"> </w:t>
      </w:r>
      <w:r w:rsidR="00E02E8C">
        <w:rPr>
          <w:rFonts w:ascii="Times New Roman" w:hAnsi="Times New Roman" w:cs="Times New Roman"/>
          <w:sz w:val="24"/>
          <w:szCs w:val="24"/>
        </w:rPr>
        <w:t>blamed</w:t>
      </w:r>
      <w:r w:rsidR="003C2A6A">
        <w:rPr>
          <w:rFonts w:ascii="Times New Roman" w:hAnsi="Times New Roman" w:cs="Times New Roman"/>
          <w:sz w:val="24"/>
          <w:szCs w:val="24"/>
        </w:rPr>
        <w:t xml:space="preserve"> increasing</w:t>
      </w:r>
      <w:r w:rsidR="00E02E8C">
        <w:rPr>
          <w:rFonts w:ascii="Times New Roman" w:hAnsi="Times New Roman" w:cs="Times New Roman"/>
          <w:sz w:val="24"/>
          <w:szCs w:val="24"/>
        </w:rPr>
        <w:t xml:space="preserve"> </w:t>
      </w:r>
      <w:r w:rsidR="003C2A6A">
        <w:rPr>
          <w:rFonts w:ascii="Times New Roman" w:hAnsi="Times New Roman" w:cs="Times New Roman"/>
          <w:sz w:val="24"/>
          <w:szCs w:val="24"/>
        </w:rPr>
        <w:t xml:space="preserve">segregation </w:t>
      </w:r>
      <w:r w:rsidR="00E02E8C">
        <w:rPr>
          <w:rFonts w:ascii="Times New Roman" w:hAnsi="Times New Roman" w:cs="Times New Roman"/>
          <w:sz w:val="24"/>
          <w:szCs w:val="24"/>
        </w:rPr>
        <w:t>entirely on</w:t>
      </w:r>
      <w:r w:rsidR="008D78F7">
        <w:rPr>
          <w:rFonts w:ascii="Times New Roman" w:hAnsi="Times New Roman" w:cs="Times New Roman"/>
          <w:sz w:val="24"/>
          <w:szCs w:val="24"/>
        </w:rPr>
        <w:t xml:space="preserve"> a lack of respectability</w:t>
      </w:r>
      <w:r w:rsidR="003A2708">
        <w:rPr>
          <w:rFonts w:ascii="Times New Roman" w:hAnsi="Times New Roman" w:cs="Times New Roman"/>
          <w:sz w:val="24"/>
          <w:szCs w:val="24"/>
        </w:rPr>
        <w:t xml:space="preserve"> in saying that</w:t>
      </w:r>
      <w:r w:rsidR="00E02E8C">
        <w:rPr>
          <w:rFonts w:ascii="Times New Roman" w:hAnsi="Times New Roman" w:cs="Times New Roman"/>
          <w:sz w:val="24"/>
          <w:szCs w:val="24"/>
        </w:rPr>
        <w:t xml:space="preserve"> “</w:t>
      </w:r>
      <w:r w:rsidR="005D004F">
        <w:rPr>
          <w:rFonts w:ascii="Times New Roman" w:hAnsi="Times New Roman" w:cs="Times New Roman"/>
          <w:sz w:val="24"/>
          <w:szCs w:val="24"/>
        </w:rPr>
        <w:t xml:space="preserve">white people are the judges and </w:t>
      </w:r>
      <w:r w:rsidR="005D004F">
        <w:rPr>
          <w:rFonts w:ascii="Times New Roman" w:hAnsi="Times New Roman" w:cs="Times New Roman"/>
          <w:sz w:val="24"/>
          <w:szCs w:val="24"/>
        </w:rPr>
        <w:lastRenderedPageBreak/>
        <w:t>colored people are being judged”</w:t>
      </w:r>
      <w:r w:rsidR="00044245">
        <w:rPr>
          <w:rFonts w:ascii="Times New Roman" w:hAnsi="Times New Roman" w:cs="Times New Roman"/>
          <w:sz w:val="24"/>
          <w:szCs w:val="24"/>
        </w:rPr>
        <w:t>.</w:t>
      </w:r>
      <w:r w:rsidR="003A2708">
        <w:rPr>
          <w:rStyle w:val="FootnoteReference"/>
          <w:rFonts w:ascii="Times New Roman" w:hAnsi="Times New Roman" w:cs="Times New Roman"/>
          <w:sz w:val="24"/>
          <w:szCs w:val="24"/>
        </w:rPr>
        <w:footnoteReference w:id="2"/>
      </w:r>
      <w:r w:rsidR="00044245">
        <w:rPr>
          <w:rFonts w:ascii="Times New Roman" w:hAnsi="Times New Roman" w:cs="Times New Roman"/>
          <w:sz w:val="24"/>
          <w:szCs w:val="24"/>
        </w:rPr>
        <w:t xml:space="preserve">  </w:t>
      </w:r>
      <w:r w:rsidR="004228CD">
        <w:rPr>
          <w:rFonts w:ascii="Times New Roman" w:hAnsi="Times New Roman" w:cs="Times New Roman"/>
          <w:sz w:val="24"/>
          <w:szCs w:val="24"/>
        </w:rPr>
        <w:t>Certainly, t</w:t>
      </w:r>
      <w:r w:rsidR="002156F0">
        <w:rPr>
          <w:rFonts w:ascii="Times New Roman" w:hAnsi="Times New Roman" w:cs="Times New Roman"/>
          <w:sz w:val="24"/>
          <w:szCs w:val="24"/>
        </w:rPr>
        <w:t xml:space="preserve">he civil rights advocate Du </w:t>
      </w:r>
      <w:proofErr w:type="spellStart"/>
      <w:r w:rsidR="002156F0">
        <w:rPr>
          <w:rFonts w:ascii="Times New Roman" w:hAnsi="Times New Roman" w:cs="Times New Roman"/>
          <w:sz w:val="24"/>
          <w:szCs w:val="24"/>
        </w:rPr>
        <w:t>Bois</w:t>
      </w:r>
      <w:proofErr w:type="spellEnd"/>
      <w:r w:rsidR="002156F0">
        <w:rPr>
          <w:rFonts w:ascii="Times New Roman" w:hAnsi="Times New Roman" w:cs="Times New Roman"/>
          <w:sz w:val="24"/>
          <w:szCs w:val="24"/>
        </w:rPr>
        <w:t xml:space="preserve"> knew there was an invisible color line in the North</w:t>
      </w:r>
      <w:r w:rsidR="004228CD">
        <w:rPr>
          <w:rFonts w:ascii="Times New Roman" w:hAnsi="Times New Roman" w:cs="Times New Roman"/>
          <w:sz w:val="24"/>
          <w:szCs w:val="24"/>
        </w:rPr>
        <w:t xml:space="preserve"> </w:t>
      </w:r>
      <w:r w:rsidR="006956D0">
        <w:rPr>
          <w:rFonts w:ascii="Times New Roman" w:hAnsi="Times New Roman" w:cs="Times New Roman"/>
          <w:sz w:val="24"/>
          <w:szCs w:val="24"/>
        </w:rPr>
        <w:t xml:space="preserve">in mentioning comprehensive statements presented to the United Nations by the NAACP and the National Negro Congress; </w:t>
      </w:r>
      <w:r w:rsidR="00EE4A95">
        <w:rPr>
          <w:rFonts w:ascii="Times New Roman" w:hAnsi="Times New Roman" w:cs="Times New Roman"/>
          <w:sz w:val="24"/>
          <w:szCs w:val="24"/>
        </w:rPr>
        <w:t>in this essay I argue that th</w:t>
      </w:r>
      <w:r w:rsidR="00F853C3">
        <w:rPr>
          <w:rFonts w:ascii="Times New Roman" w:hAnsi="Times New Roman" w:cs="Times New Roman"/>
          <w:sz w:val="24"/>
          <w:szCs w:val="24"/>
        </w:rPr>
        <w:t xml:space="preserve">e </w:t>
      </w:r>
      <w:r w:rsidR="007E4A0E">
        <w:rPr>
          <w:rFonts w:ascii="Times New Roman" w:hAnsi="Times New Roman" w:cs="Times New Roman"/>
          <w:sz w:val="24"/>
          <w:szCs w:val="24"/>
        </w:rPr>
        <w:t>question of legal remedies and the long freedom struggle is truly a question of citizenshi</w:t>
      </w:r>
      <w:r w:rsidR="00D5145F">
        <w:rPr>
          <w:rFonts w:ascii="Times New Roman" w:hAnsi="Times New Roman" w:cs="Times New Roman"/>
          <w:sz w:val="24"/>
          <w:szCs w:val="24"/>
        </w:rPr>
        <w:t xml:space="preserve">p because </w:t>
      </w:r>
      <w:r w:rsidR="00970D19">
        <w:rPr>
          <w:rFonts w:ascii="Times New Roman" w:hAnsi="Times New Roman" w:cs="Times New Roman"/>
          <w:sz w:val="24"/>
          <w:szCs w:val="24"/>
        </w:rPr>
        <w:t>legal remedies are often not enough.</w:t>
      </w:r>
      <w:r w:rsidR="00970D19">
        <w:rPr>
          <w:rStyle w:val="FootnoteReference"/>
          <w:rFonts w:ascii="Times New Roman" w:hAnsi="Times New Roman" w:cs="Times New Roman"/>
          <w:sz w:val="24"/>
          <w:szCs w:val="24"/>
        </w:rPr>
        <w:footnoteReference w:id="3"/>
      </w:r>
      <w:r w:rsidR="00E36D59">
        <w:rPr>
          <w:rFonts w:ascii="Times New Roman" w:hAnsi="Times New Roman" w:cs="Times New Roman"/>
          <w:sz w:val="24"/>
          <w:szCs w:val="24"/>
        </w:rPr>
        <w:t xml:space="preserve">  </w:t>
      </w:r>
    </w:p>
    <w:p w14:paraId="1569DAB9" w14:textId="3E0EF338" w:rsidR="000C3A30" w:rsidRDefault="00E36D59" w:rsidP="00E36D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97533">
        <w:rPr>
          <w:rFonts w:ascii="Times New Roman" w:hAnsi="Times New Roman" w:cs="Times New Roman"/>
          <w:sz w:val="24"/>
          <w:szCs w:val="24"/>
        </w:rPr>
        <w:t xml:space="preserve">Another thing we talked about is the idea of black agency and the tremendous role that African-Americans played in holding politicians to their word when they </w:t>
      </w:r>
      <w:r w:rsidR="00E6713A">
        <w:rPr>
          <w:rFonts w:ascii="Times New Roman" w:hAnsi="Times New Roman" w:cs="Times New Roman"/>
          <w:sz w:val="24"/>
          <w:szCs w:val="24"/>
        </w:rPr>
        <w:t>claimed to support civil rights.</w:t>
      </w:r>
      <w:r w:rsidR="005B3A41">
        <w:rPr>
          <w:rFonts w:ascii="Times New Roman" w:hAnsi="Times New Roman" w:cs="Times New Roman"/>
          <w:sz w:val="24"/>
          <w:szCs w:val="24"/>
        </w:rPr>
        <w:t xml:space="preserve">  In her historical book on the development of a system of managing inequality, </w:t>
      </w:r>
      <w:r w:rsidR="00F10A87">
        <w:rPr>
          <w:rFonts w:ascii="Times New Roman" w:hAnsi="Times New Roman" w:cs="Times New Roman"/>
          <w:sz w:val="24"/>
          <w:szCs w:val="24"/>
        </w:rPr>
        <w:t>Miller argues that as segregation increased,</w:t>
      </w:r>
      <w:r w:rsidR="000672DB">
        <w:rPr>
          <w:rFonts w:ascii="Times New Roman" w:hAnsi="Times New Roman" w:cs="Times New Roman"/>
          <w:sz w:val="24"/>
          <w:szCs w:val="24"/>
        </w:rPr>
        <w:t xml:space="preserve"> white liberals such as Frank Murphy </w:t>
      </w:r>
      <w:r w:rsidR="00E32A38">
        <w:rPr>
          <w:rFonts w:ascii="Times New Roman" w:hAnsi="Times New Roman" w:cs="Times New Roman"/>
          <w:sz w:val="24"/>
          <w:szCs w:val="24"/>
        </w:rPr>
        <w:t>used language which seemed racially blind but implicitly associated African-Americans with slum areas.</w:t>
      </w:r>
      <w:r w:rsidR="00E32A38">
        <w:rPr>
          <w:rStyle w:val="FootnoteReference"/>
          <w:rFonts w:ascii="Times New Roman" w:hAnsi="Times New Roman" w:cs="Times New Roman"/>
          <w:sz w:val="24"/>
          <w:szCs w:val="24"/>
        </w:rPr>
        <w:footnoteReference w:id="4"/>
      </w:r>
      <w:r w:rsidR="00E32A38">
        <w:rPr>
          <w:rFonts w:ascii="Times New Roman" w:hAnsi="Times New Roman" w:cs="Times New Roman"/>
          <w:sz w:val="24"/>
          <w:szCs w:val="24"/>
        </w:rPr>
        <w:t xml:space="preserve">  </w:t>
      </w:r>
      <w:r w:rsidR="00CA1793">
        <w:rPr>
          <w:rFonts w:ascii="Times New Roman" w:hAnsi="Times New Roman" w:cs="Times New Roman"/>
          <w:sz w:val="24"/>
          <w:szCs w:val="24"/>
        </w:rPr>
        <w:t>Sugrue focuses on this within the framework of the New Deal and Roosevel</w:t>
      </w:r>
      <w:r w:rsidR="00187AE6">
        <w:rPr>
          <w:rFonts w:ascii="Times New Roman" w:hAnsi="Times New Roman" w:cs="Times New Roman"/>
          <w:sz w:val="24"/>
          <w:szCs w:val="24"/>
        </w:rPr>
        <w:t xml:space="preserve">t’s commitment to provide public housing while simultaneously </w:t>
      </w:r>
      <w:r w:rsidR="00271B3E">
        <w:rPr>
          <w:rFonts w:ascii="Times New Roman" w:hAnsi="Times New Roman" w:cs="Times New Roman"/>
          <w:sz w:val="24"/>
          <w:szCs w:val="24"/>
        </w:rPr>
        <w:t xml:space="preserve">deferring </w:t>
      </w:r>
      <w:r w:rsidR="00514CE9">
        <w:rPr>
          <w:rFonts w:ascii="Times New Roman" w:hAnsi="Times New Roman" w:cs="Times New Roman"/>
          <w:sz w:val="24"/>
          <w:szCs w:val="24"/>
        </w:rPr>
        <w:t>it to the local level.</w:t>
      </w:r>
      <w:r w:rsidR="00514CE9">
        <w:rPr>
          <w:rStyle w:val="FootnoteReference"/>
          <w:rFonts w:ascii="Times New Roman" w:hAnsi="Times New Roman" w:cs="Times New Roman"/>
          <w:sz w:val="24"/>
          <w:szCs w:val="24"/>
        </w:rPr>
        <w:footnoteReference w:id="5"/>
      </w:r>
      <w:r w:rsidR="00254965">
        <w:rPr>
          <w:rFonts w:ascii="Times New Roman" w:hAnsi="Times New Roman" w:cs="Times New Roman"/>
          <w:sz w:val="24"/>
          <w:szCs w:val="24"/>
        </w:rPr>
        <w:t xml:space="preserve">  </w:t>
      </w:r>
      <w:r w:rsidR="001607CC">
        <w:rPr>
          <w:rFonts w:ascii="Times New Roman" w:hAnsi="Times New Roman" w:cs="Times New Roman"/>
          <w:sz w:val="24"/>
          <w:szCs w:val="24"/>
        </w:rPr>
        <w:t xml:space="preserve">While civil rights groups protested, Sugrue demonstrates how </w:t>
      </w:r>
      <w:r w:rsidR="00C44AE4">
        <w:rPr>
          <w:rFonts w:ascii="Times New Roman" w:hAnsi="Times New Roman" w:cs="Times New Roman"/>
          <w:sz w:val="24"/>
          <w:szCs w:val="24"/>
        </w:rPr>
        <w:t>War on Poverty programs were created to solve poverty via behavioral modification.</w:t>
      </w:r>
      <w:r w:rsidR="00C44AE4">
        <w:rPr>
          <w:rStyle w:val="FootnoteReference"/>
          <w:rFonts w:ascii="Times New Roman" w:hAnsi="Times New Roman" w:cs="Times New Roman"/>
          <w:sz w:val="24"/>
          <w:szCs w:val="24"/>
        </w:rPr>
        <w:footnoteReference w:id="6"/>
      </w:r>
      <w:r w:rsidR="00E22F37">
        <w:rPr>
          <w:rFonts w:ascii="Times New Roman" w:hAnsi="Times New Roman" w:cs="Times New Roman"/>
          <w:sz w:val="24"/>
          <w:szCs w:val="24"/>
        </w:rPr>
        <w:t xml:space="preserve">  Both historians seem to </w:t>
      </w:r>
      <w:r w:rsidR="00EF18F1">
        <w:rPr>
          <w:rFonts w:ascii="Times New Roman" w:hAnsi="Times New Roman" w:cs="Times New Roman"/>
          <w:sz w:val="24"/>
          <w:szCs w:val="24"/>
        </w:rPr>
        <w:t xml:space="preserve">agree that because northern race liberals’ discourse did not explicitly refer to African-Americans, state policies intended to support the long freedom struggle were insufficient and </w:t>
      </w:r>
      <w:r w:rsidR="00B87218">
        <w:rPr>
          <w:rFonts w:ascii="Times New Roman" w:hAnsi="Times New Roman" w:cs="Times New Roman"/>
          <w:sz w:val="24"/>
          <w:szCs w:val="24"/>
        </w:rPr>
        <w:t>cases of discrimination and residential segregation continued despite efforts made by the African-American community to follow Victorian notions of respectabilit</w:t>
      </w:r>
      <w:r w:rsidR="000C3A30">
        <w:rPr>
          <w:rFonts w:ascii="Times New Roman" w:hAnsi="Times New Roman" w:cs="Times New Roman"/>
          <w:sz w:val="24"/>
          <w:szCs w:val="24"/>
        </w:rPr>
        <w:t xml:space="preserve">y.  Although life had been made nearly impossible in the South due to a de jure system of lynching and sharecropping, life in the North did not seem much better </w:t>
      </w:r>
      <w:proofErr w:type="gramStart"/>
      <w:r w:rsidR="000C3A30">
        <w:rPr>
          <w:rFonts w:ascii="Times New Roman" w:hAnsi="Times New Roman" w:cs="Times New Roman"/>
          <w:sz w:val="24"/>
          <w:szCs w:val="24"/>
        </w:rPr>
        <w:t>because of the fact that</w:t>
      </w:r>
      <w:proofErr w:type="gramEnd"/>
      <w:r w:rsidR="000C3A30">
        <w:rPr>
          <w:rFonts w:ascii="Times New Roman" w:hAnsi="Times New Roman" w:cs="Times New Roman"/>
          <w:sz w:val="24"/>
          <w:szCs w:val="24"/>
        </w:rPr>
        <w:t xml:space="preserve"> </w:t>
      </w:r>
      <w:r w:rsidR="00BD0CA6">
        <w:rPr>
          <w:rFonts w:ascii="Times New Roman" w:hAnsi="Times New Roman" w:cs="Times New Roman"/>
          <w:sz w:val="24"/>
          <w:szCs w:val="24"/>
        </w:rPr>
        <w:t xml:space="preserve">local </w:t>
      </w:r>
      <w:r w:rsidR="00BD0CA6">
        <w:rPr>
          <w:rFonts w:ascii="Times New Roman" w:hAnsi="Times New Roman" w:cs="Times New Roman"/>
          <w:sz w:val="24"/>
          <w:szCs w:val="24"/>
        </w:rPr>
        <w:lastRenderedPageBreak/>
        <w:t xml:space="preserve">governments and homeowners’ associations either dismissed or actively fought against the issue of </w:t>
      </w:r>
      <w:r w:rsidR="00C370A4">
        <w:rPr>
          <w:rFonts w:ascii="Times New Roman" w:hAnsi="Times New Roman" w:cs="Times New Roman"/>
          <w:sz w:val="24"/>
          <w:szCs w:val="24"/>
        </w:rPr>
        <w:t xml:space="preserve">integration, thus preventing true economic assimilation from taking place.  </w:t>
      </w:r>
    </w:p>
    <w:p w14:paraId="74F7CACE" w14:textId="701C2432" w:rsidR="00C370A4" w:rsidRDefault="006D7375" w:rsidP="00E36D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75FA6">
        <w:rPr>
          <w:rFonts w:ascii="Times New Roman" w:hAnsi="Times New Roman" w:cs="Times New Roman"/>
          <w:sz w:val="24"/>
          <w:szCs w:val="24"/>
        </w:rPr>
        <w:t xml:space="preserve">While northern racial liberalism implicitly associated African-Americans with </w:t>
      </w:r>
      <w:r w:rsidR="00FE42A7">
        <w:rPr>
          <w:rFonts w:ascii="Times New Roman" w:hAnsi="Times New Roman" w:cs="Times New Roman"/>
          <w:sz w:val="24"/>
          <w:szCs w:val="24"/>
        </w:rPr>
        <w:t>the devaluation of property, historians like Wolcott also mention how racial integration was thwarted at the local level</w:t>
      </w:r>
      <w:r w:rsidR="00C7180E">
        <w:rPr>
          <w:rFonts w:ascii="Times New Roman" w:hAnsi="Times New Roman" w:cs="Times New Roman"/>
          <w:sz w:val="24"/>
          <w:szCs w:val="24"/>
        </w:rPr>
        <w:t xml:space="preserve"> – despite the Supreme Court’s declaration that zoning ordinances restricting certain residents </w:t>
      </w:r>
      <w:proofErr w:type="gramStart"/>
      <w:r w:rsidR="00C7180E">
        <w:rPr>
          <w:rFonts w:ascii="Times New Roman" w:hAnsi="Times New Roman" w:cs="Times New Roman"/>
          <w:sz w:val="24"/>
          <w:szCs w:val="24"/>
        </w:rPr>
        <w:t>on the basis of</w:t>
      </w:r>
      <w:proofErr w:type="gramEnd"/>
      <w:r w:rsidR="00C7180E">
        <w:rPr>
          <w:rFonts w:ascii="Times New Roman" w:hAnsi="Times New Roman" w:cs="Times New Roman"/>
          <w:sz w:val="24"/>
          <w:szCs w:val="24"/>
        </w:rPr>
        <w:t xml:space="preserve"> race were </w:t>
      </w:r>
      <w:r w:rsidR="00004630">
        <w:rPr>
          <w:rFonts w:ascii="Times New Roman" w:hAnsi="Times New Roman" w:cs="Times New Roman"/>
          <w:sz w:val="24"/>
          <w:szCs w:val="24"/>
        </w:rPr>
        <w:t xml:space="preserve">unconstitutional, the 1923 </w:t>
      </w:r>
      <w:proofErr w:type="spellStart"/>
      <w:r w:rsidR="00004630">
        <w:rPr>
          <w:rFonts w:ascii="Times New Roman" w:hAnsi="Times New Roman" w:cs="Times New Roman"/>
          <w:i/>
          <w:sz w:val="24"/>
          <w:szCs w:val="24"/>
        </w:rPr>
        <w:t>Parmallee</w:t>
      </w:r>
      <w:proofErr w:type="spellEnd"/>
      <w:r w:rsidR="00004630">
        <w:rPr>
          <w:rFonts w:ascii="Times New Roman" w:hAnsi="Times New Roman" w:cs="Times New Roman"/>
          <w:i/>
          <w:sz w:val="24"/>
          <w:szCs w:val="24"/>
        </w:rPr>
        <w:t xml:space="preserve"> v. Morris</w:t>
      </w:r>
      <w:r w:rsidR="00004630">
        <w:rPr>
          <w:rFonts w:ascii="Times New Roman" w:hAnsi="Times New Roman" w:cs="Times New Roman"/>
          <w:sz w:val="24"/>
          <w:szCs w:val="24"/>
        </w:rPr>
        <w:t xml:space="preserve"> decision upheld the use of private restrictive covenants.</w:t>
      </w:r>
      <w:r w:rsidR="00004630">
        <w:rPr>
          <w:rStyle w:val="FootnoteReference"/>
          <w:rFonts w:ascii="Times New Roman" w:hAnsi="Times New Roman" w:cs="Times New Roman"/>
          <w:sz w:val="24"/>
          <w:szCs w:val="24"/>
        </w:rPr>
        <w:footnoteReference w:id="7"/>
      </w:r>
      <w:r w:rsidR="00B93008">
        <w:rPr>
          <w:rFonts w:ascii="Times New Roman" w:hAnsi="Times New Roman" w:cs="Times New Roman"/>
          <w:sz w:val="24"/>
          <w:szCs w:val="24"/>
        </w:rPr>
        <w:t xml:space="preserve">  </w:t>
      </w:r>
      <w:r w:rsidR="00284D9B">
        <w:rPr>
          <w:rFonts w:ascii="Times New Roman" w:hAnsi="Times New Roman" w:cs="Times New Roman"/>
          <w:sz w:val="24"/>
          <w:szCs w:val="24"/>
        </w:rPr>
        <w:t>Because</w:t>
      </w:r>
      <w:r w:rsidR="00B93008">
        <w:rPr>
          <w:rFonts w:ascii="Times New Roman" w:hAnsi="Times New Roman" w:cs="Times New Roman"/>
          <w:sz w:val="24"/>
          <w:szCs w:val="24"/>
        </w:rPr>
        <w:t xml:space="preserve"> real estate agents could exclude residents on the basis of their racial identification, </w:t>
      </w:r>
      <w:r w:rsidR="00916FF8">
        <w:rPr>
          <w:rFonts w:ascii="Times New Roman" w:hAnsi="Times New Roman" w:cs="Times New Roman"/>
          <w:sz w:val="24"/>
          <w:szCs w:val="24"/>
        </w:rPr>
        <w:t xml:space="preserve">African-Americans were not granted full citizenship rights in practice.  </w:t>
      </w:r>
      <w:r w:rsidR="007D1F10">
        <w:rPr>
          <w:rFonts w:ascii="Times New Roman" w:hAnsi="Times New Roman" w:cs="Times New Roman"/>
          <w:sz w:val="24"/>
          <w:szCs w:val="24"/>
        </w:rPr>
        <w:t>It is interesting to note how the Ossian Sweet trial forced the Sweet family to become race representatives; Wolcott describes</w:t>
      </w:r>
      <w:r w:rsidR="00895007">
        <w:rPr>
          <w:rFonts w:ascii="Times New Roman" w:hAnsi="Times New Roman" w:cs="Times New Roman"/>
          <w:sz w:val="24"/>
          <w:szCs w:val="24"/>
        </w:rPr>
        <w:t xml:space="preserve"> Ossian Sweet’s words at face value when he says “I saw the mob and I realized I was facing the same mob that had hounded my people throughout our entire history</w:t>
      </w:r>
      <w:r w:rsidR="00E90AD2">
        <w:rPr>
          <w:rFonts w:ascii="Times New Roman" w:hAnsi="Times New Roman" w:cs="Times New Roman"/>
          <w:sz w:val="24"/>
          <w:szCs w:val="24"/>
        </w:rPr>
        <w:t xml:space="preserve">,” which demonstrates </w:t>
      </w:r>
      <w:r w:rsidR="00B471EB">
        <w:rPr>
          <w:rFonts w:ascii="Times New Roman" w:hAnsi="Times New Roman" w:cs="Times New Roman"/>
          <w:sz w:val="24"/>
          <w:szCs w:val="24"/>
        </w:rPr>
        <w:t xml:space="preserve">his interpretation of events in a </w:t>
      </w:r>
      <w:r w:rsidR="00CD3B6A">
        <w:rPr>
          <w:rFonts w:ascii="Times New Roman" w:hAnsi="Times New Roman" w:cs="Times New Roman"/>
          <w:sz w:val="24"/>
          <w:szCs w:val="24"/>
        </w:rPr>
        <w:t>racialized context.</w:t>
      </w:r>
      <w:r w:rsidR="009B44A1">
        <w:rPr>
          <w:rStyle w:val="FootnoteReference"/>
          <w:rFonts w:ascii="Times New Roman" w:hAnsi="Times New Roman" w:cs="Times New Roman"/>
          <w:sz w:val="24"/>
          <w:szCs w:val="24"/>
        </w:rPr>
        <w:footnoteReference w:id="8"/>
      </w:r>
      <w:r w:rsidR="00CD3B6A">
        <w:rPr>
          <w:rFonts w:ascii="Times New Roman" w:hAnsi="Times New Roman" w:cs="Times New Roman"/>
          <w:sz w:val="24"/>
          <w:szCs w:val="24"/>
        </w:rPr>
        <w:t xml:space="preserve">  </w:t>
      </w:r>
    </w:p>
    <w:p w14:paraId="02A58914" w14:textId="3A5AB971" w:rsidR="00D23A3A" w:rsidRPr="00004630" w:rsidRDefault="00D23A3A" w:rsidP="00E36D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But I believe this assessment of Ossian Sweet flattens him as a character – I would say that</w:t>
      </w:r>
      <w:r w:rsidR="00435A22">
        <w:rPr>
          <w:rFonts w:ascii="Times New Roman" w:hAnsi="Times New Roman" w:cs="Times New Roman"/>
          <w:sz w:val="24"/>
          <w:szCs w:val="24"/>
        </w:rPr>
        <w:t xml:space="preserve"> Ossian Sweet was</w:t>
      </w:r>
      <w:r w:rsidR="00606F13">
        <w:rPr>
          <w:rFonts w:ascii="Times New Roman" w:hAnsi="Times New Roman" w:cs="Times New Roman"/>
          <w:sz w:val="24"/>
          <w:szCs w:val="24"/>
        </w:rPr>
        <w:t xml:space="preserve"> striving to </w:t>
      </w:r>
      <w:proofErr w:type="gramStart"/>
      <w:r w:rsidR="00606F13">
        <w:rPr>
          <w:rFonts w:ascii="Times New Roman" w:hAnsi="Times New Roman" w:cs="Times New Roman"/>
          <w:sz w:val="24"/>
          <w:szCs w:val="24"/>
        </w:rPr>
        <w:t>be seen as</w:t>
      </w:r>
      <w:proofErr w:type="gramEnd"/>
      <w:r w:rsidR="00606F13">
        <w:rPr>
          <w:rFonts w:ascii="Times New Roman" w:hAnsi="Times New Roman" w:cs="Times New Roman"/>
          <w:sz w:val="24"/>
          <w:szCs w:val="24"/>
        </w:rPr>
        <w:t xml:space="preserve"> an equal.  Based on Boyle’s account, Ossian Sweet wasn’t motivated entirely by </w:t>
      </w:r>
      <w:r w:rsidR="00FD48E9">
        <w:rPr>
          <w:rFonts w:ascii="Times New Roman" w:hAnsi="Times New Roman" w:cs="Times New Roman"/>
          <w:sz w:val="24"/>
          <w:szCs w:val="24"/>
        </w:rPr>
        <w:t>achieving outward signs of success but by being called Doctor Ossian H. Sweet, the greatest mark of respect he could imagine.</w:t>
      </w:r>
      <w:r w:rsidR="00FD48E9">
        <w:rPr>
          <w:rStyle w:val="FootnoteReference"/>
          <w:rFonts w:ascii="Times New Roman" w:hAnsi="Times New Roman" w:cs="Times New Roman"/>
          <w:sz w:val="24"/>
          <w:szCs w:val="24"/>
        </w:rPr>
        <w:footnoteReference w:id="9"/>
      </w:r>
      <w:r w:rsidR="00FD48E9">
        <w:rPr>
          <w:rFonts w:ascii="Times New Roman" w:hAnsi="Times New Roman" w:cs="Times New Roman"/>
          <w:sz w:val="24"/>
          <w:szCs w:val="24"/>
        </w:rPr>
        <w:t xml:space="preserve"> </w:t>
      </w:r>
      <w:r w:rsidR="00564595">
        <w:rPr>
          <w:rFonts w:ascii="Times New Roman" w:hAnsi="Times New Roman" w:cs="Times New Roman"/>
          <w:sz w:val="24"/>
          <w:szCs w:val="24"/>
        </w:rPr>
        <w:t xml:space="preserve"> Ossian Sweet </w:t>
      </w:r>
      <w:r w:rsidR="00577F30">
        <w:rPr>
          <w:rFonts w:ascii="Times New Roman" w:hAnsi="Times New Roman" w:cs="Times New Roman"/>
          <w:sz w:val="24"/>
          <w:szCs w:val="24"/>
        </w:rPr>
        <w:t xml:space="preserve">knew that his aspirations were unrealistic given the circumstances of his time.  I would argue that </w:t>
      </w:r>
      <w:r w:rsidR="00F65886">
        <w:rPr>
          <w:rFonts w:ascii="Times New Roman" w:hAnsi="Times New Roman" w:cs="Times New Roman"/>
          <w:sz w:val="24"/>
          <w:szCs w:val="24"/>
        </w:rPr>
        <w:t xml:space="preserve">he should be seen not as a mere hero but as Boyle portrays him – a </w:t>
      </w:r>
      <w:r w:rsidR="000B6473">
        <w:rPr>
          <w:rFonts w:ascii="Times New Roman" w:hAnsi="Times New Roman" w:cs="Times New Roman"/>
          <w:sz w:val="24"/>
          <w:szCs w:val="24"/>
        </w:rPr>
        <w:t xml:space="preserve">man who wanted to be respected instead of respectable.  </w:t>
      </w:r>
    </w:p>
    <w:p w14:paraId="0A6CAAD5" w14:textId="77777777" w:rsidR="007966EA" w:rsidRDefault="006758B0"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Historians generally acknowledge the way in which black agency allowed racial egalitarianism on paper to be tested.  We had laws which did not actually result in the abolition of discriminatory practices </w:t>
      </w:r>
      <w:proofErr w:type="gramStart"/>
      <w:r>
        <w:rPr>
          <w:rFonts w:ascii="Times New Roman" w:hAnsi="Times New Roman" w:cs="Times New Roman"/>
          <w:sz w:val="24"/>
          <w:szCs w:val="24"/>
        </w:rPr>
        <w:t>in reality as</w:t>
      </w:r>
      <w:proofErr w:type="gramEnd"/>
      <w:r>
        <w:rPr>
          <w:rFonts w:ascii="Times New Roman" w:hAnsi="Times New Roman" w:cs="Times New Roman"/>
          <w:sz w:val="24"/>
          <w:szCs w:val="24"/>
        </w:rPr>
        <w:t xml:space="preserve"> exemplified by the theatre, where African-Americans </w:t>
      </w:r>
      <w:r>
        <w:rPr>
          <w:rFonts w:ascii="Times New Roman" w:hAnsi="Times New Roman" w:cs="Times New Roman"/>
          <w:sz w:val="24"/>
          <w:szCs w:val="24"/>
        </w:rPr>
        <w:lastRenderedPageBreak/>
        <w:t xml:space="preserve">were sent to the balcony section on the top row.  </w:t>
      </w:r>
      <w:r w:rsidR="0067765B">
        <w:rPr>
          <w:rFonts w:ascii="Times New Roman" w:hAnsi="Times New Roman" w:cs="Times New Roman"/>
          <w:sz w:val="24"/>
          <w:szCs w:val="24"/>
        </w:rPr>
        <w:t xml:space="preserve">One thing that stood out to me in our class discussions was the way in which African-Americans embraced the policies of ghettoization that developed following the dark ages of Detroit.  </w:t>
      </w:r>
      <w:r w:rsidR="00D53D3C">
        <w:rPr>
          <w:rFonts w:ascii="Times New Roman" w:hAnsi="Times New Roman" w:cs="Times New Roman"/>
          <w:sz w:val="24"/>
          <w:szCs w:val="24"/>
        </w:rPr>
        <w:t xml:space="preserve">Baldwin alludes to this </w:t>
      </w:r>
      <w:proofErr w:type="gramStart"/>
      <w:r w:rsidR="00B9536F">
        <w:rPr>
          <w:rFonts w:ascii="Times New Roman" w:hAnsi="Times New Roman" w:cs="Times New Roman"/>
          <w:sz w:val="24"/>
          <w:szCs w:val="24"/>
        </w:rPr>
        <w:t>and also</w:t>
      </w:r>
      <w:proofErr w:type="gramEnd"/>
      <w:r w:rsidR="00B9536F">
        <w:rPr>
          <w:rFonts w:ascii="Times New Roman" w:hAnsi="Times New Roman" w:cs="Times New Roman"/>
          <w:sz w:val="24"/>
          <w:szCs w:val="24"/>
        </w:rPr>
        <w:t xml:space="preserve"> draws attention to </w:t>
      </w:r>
      <w:r w:rsidR="00D91674">
        <w:rPr>
          <w:rFonts w:ascii="Times New Roman" w:hAnsi="Times New Roman" w:cs="Times New Roman"/>
          <w:sz w:val="24"/>
          <w:szCs w:val="24"/>
        </w:rPr>
        <w:t>the effect of respectability politics on the community.  When</w:t>
      </w:r>
      <w:r w:rsidR="00B9536F">
        <w:rPr>
          <w:rFonts w:ascii="Times New Roman" w:hAnsi="Times New Roman" w:cs="Times New Roman"/>
          <w:sz w:val="24"/>
          <w:szCs w:val="24"/>
        </w:rPr>
        <w:t xml:space="preserve"> </w:t>
      </w:r>
      <w:r w:rsidR="0034741F">
        <w:rPr>
          <w:rFonts w:ascii="Times New Roman" w:hAnsi="Times New Roman" w:cs="Times New Roman"/>
          <w:sz w:val="24"/>
          <w:szCs w:val="24"/>
        </w:rPr>
        <w:t>respectable blacks (who were respectable in terms of manners and behavior)</w:t>
      </w:r>
      <w:r w:rsidR="00A11445">
        <w:rPr>
          <w:rFonts w:ascii="Times New Roman" w:hAnsi="Times New Roman" w:cs="Times New Roman"/>
          <w:sz w:val="24"/>
          <w:szCs w:val="24"/>
        </w:rPr>
        <w:t xml:space="preserve"> dissociated themselves from the larger community by linking leisure behaviors with class rather than rac</w:t>
      </w:r>
      <w:r w:rsidR="00AC6240">
        <w:rPr>
          <w:rFonts w:ascii="Times New Roman" w:hAnsi="Times New Roman" w:cs="Times New Roman"/>
          <w:sz w:val="24"/>
          <w:szCs w:val="24"/>
        </w:rPr>
        <w:t xml:space="preserve">ial identification, they </w:t>
      </w:r>
      <w:r w:rsidR="00BB5464">
        <w:rPr>
          <w:rFonts w:ascii="Times New Roman" w:hAnsi="Times New Roman" w:cs="Times New Roman"/>
          <w:sz w:val="24"/>
          <w:szCs w:val="24"/>
        </w:rPr>
        <w:t>also tried to reform the behavior of black migrants and show that not all blacks were alike.</w:t>
      </w:r>
      <w:r w:rsidR="00BB5464">
        <w:rPr>
          <w:rStyle w:val="FootnoteReference"/>
          <w:rFonts w:ascii="Times New Roman" w:hAnsi="Times New Roman" w:cs="Times New Roman"/>
          <w:sz w:val="24"/>
          <w:szCs w:val="24"/>
        </w:rPr>
        <w:footnoteReference w:id="10"/>
      </w:r>
      <w:r w:rsidR="00BB5464">
        <w:rPr>
          <w:rFonts w:ascii="Times New Roman" w:hAnsi="Times New Roman" w:cs="Times New Roman"/>
          <w:sz w:val="24"/>
          <w:szCs w:val="24"/>
        </w:rPr>
        <w:t xml:space="preserve">  </w:t>
      </w:r>
    </w:p>
    <w:p w14:paraId="6805410B" w14:textId="77777777" w:rsidR="003D5BC9" w:rsidRDefault="00BB5464" w:rsidP="003D5B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argue that Baldwin’s focus on respectability politics is essential because it demonstrates how respectability divided the black community and </w:t>
      </w:r>
      <w:r w:rsidR="000572F3">
        <w:rPr>
          <w:rFonts w:ascii="Times New Roman" w:hAnsi="Times New Roman" w:cs="Times New Roman"/>
          <w:sz w:val="24"/>
          <w:szCs w:val="24"/>
        </w:rPr>
        <w:t>gave</w:t>
      </w:r>
      <w:r>
        <w:rPr>
          <w:rFonts w:ascii="Times New Roman" w:hAnsi="Times New Roman" w:cs="Times New Roman"/>
          <w:sz w:val="24"/>
          <w:szCs w:val="24"/>
        </w:rPr>
        <w:t xml:space="preserve"> civil rights activists</w:t>
      </w:r>
      <w:r w:rsidR="000572F3">
        <w:rPr>
          <w:rFonts w:ascii="Times New Roman" w:hAnsi="Times New Roman" w:cs="Times New Roman"/>
          <w:sz w:val="24"/>
          <w:szCs w:val="24"/>
        </w:rPr>
        <w:t xml:space="preserve"> the detriment of working within </w:t>
      </w:r>
      <w:r w:rsidR="005F69E2">
        <w:rPr>
          <w:rFonts w:ascii="Times New Roman" w:hAnsi="Times New Roman" w:cs="Times New Roman"/>
          <w:sz w:val="24"/>
          <w:szCs w:val="24"/>
        </w:rPr>
        <w:t>a</w:t>
      </w:r>
      <w:r w:rsidR="000572F3">
        <w:rPr>
          <w:rFonts w:ascii="Times New Roman" w:hAnsi="Times New Roman" w:cs="Times New Roman"/>
          <w:sz w:val="24"/>
          <w:szCs w:val="24"/>
        </w:rPr>
        <w:t xml:space="preserve"> framework set by white standards of black behavio</w:t>
      </w:r>
      <w:r w:rsidR="00E47FCB">
        <w:rPr>
          <w:rFonts w:ascii="Times New Roman" w:hAnsi="Times New Roman" w:cs="Times New Roman"/>
          <w:sz w:val="24"/>
          <w:szCs w:val="24"/>
        </w:rPr>
        <w:t xml:space="preserve">r.  </w:t>
      </w:r>
      <w:r w:rsidR="00E53A04">
        <w:rPr>
          <w:rFonts w:ascii="Times New Roman" w:hAnsi="Times New Roman" w:cs="Times New Roman"/>
          <w:sz w:val="24"/>
          <w:szCs w:val="24"/>
        </w:rPr>
        <w:t xml:space="preserve">By doing so, respectability politics was a crucial element of northern racial liberalism because it blamed African-Americans for their own plight in the form of cultural arguments that were deemed politically useful.  </w:t>
      </w:r>
    </w:p>
    <w:p w14:paraId="0C45E44C" w14:textId="0EFB768E" w:rsidR="00545BDA" w:rsidRDefault="003D5BC9" w:rsidP="00CB36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E53A04">
        <w:rPr>
          <w:rFonts w:ascii="Times New Roman" w:hAnsi="Times New Roman" w:cs="Times New Roman"/>
          <w:sz w:val="24"/>
          <w:szCs w:val="24"/>
        </w:rPr>
        <w:t xml:space="preserve"> </w:t>
      </w:r>
      <w:r w:rsidR="000F6976">
        <w:rPr>
          <w:rFonts w:ascii="Times New Roman" w:hAnsi="Times New Roman" w:cs="Times New Roman"/>
          <w:sz w:val="24"/>
          <w:szCs w:val="24"/>
        </w:rPr>
        <w:t xml:space="preserve">African-Americans such as Ossian Sweet were not treated as equals just because they behaved and acted according to white </w:t>
      </w:r>
      <w:proofErr w:type="gramStart"/>
      <w:r w:rsidR="000F6976">
        <w:rPr>
          <w:rFonts w:ascii="Times New Roman" w:hAnsi="Times New Roman" w:cs="Times New Roman"/>
          <w:sz w:val="24"/>
          <w:szCs w:val="24"/>
        </w:rPr>
        <w:t>middle class</w:t>
      </w:r>
      <w:proofErr w:type="gramEnd"/>
      <w:r w:rsidR="000F6976">
        <w:rPr>
          <w:rFonts w:ascii="Times New Roman" w:hAnsi="Times New Roman" w:cs="Times New Roman"/>
          <w:sz w:val="24"/>
          <w:szCs w:val="24"/>
        </w:rPr>
        <w:t xml:space="preserve"> virtues.  </w:t>
      </w:r>
      <w:r w:rsidR="00CB60AB">
        <w:rPr>
          <w:rFonts w:ascii="Times New Roman" w:hAnsi="Times New Roman" w:cs="Times New Roman"/>
          <w:sz w:val="24"/>
          <w:szCs w:val="24"/>
        </w:rPr>
        <w:t xml:space="preserve">When marginalized groups attempt to engage in </w:t>
      </w:r>
      <w:r w:rsidR="00E57FB1">
        <w:rPr>
          <w:rFonts w:ascii="Times New Roman" w:hAnsi="Times New Roman" w:cs="Times New Roman"/>
          <w:sz w:val="24"/>
          <w:szCs w:val="24"/>
        </w:rPr>
        <w:t>a standard of behavior which reflects the values of the dominant culture, they essentiall</w:t>
      </w:r>
      <w:r w:rsidR="00F6536C">
        <w:rPr>
          <w:rFonts w:ascii="Times New Roman" w:hAnsi="Times New Roman" w:cs="Times New Roman"/>
          <w:sz w:val="24"/>
          <w:szCs w:val="24"/>
        </w:rPr>
        <w:t xml:space="preserve">y make </w:t>
      </w:r>
      <w:proofErr w:type="spellStart"/>
      <w:proofErr w:type="gramStart"/>
      <w:r w:rsidR="00F6536C">
        <w:rPr>
          <w:rFonts w:ascii="Times New Roman" w:hAnsi="Times New Roman" w:cs="Times New Roman"/>
          <w:sz w:val="24"/>
          <w:szCs w:val="24"/>
        </w:rPr>
        <w:t>a</w:t>
      </w:r>
      <w:proofErr w:type="spellEnd"/>
      <w:proofErr w:type="gramEnd"/>
      <w:r w:rsidR="00F6536C">
        <w:rPr>
          <w:rFonts w:ascii="Times New Roman" w:hAnsi="Times New Roman" w:cs="Times New Roman"/>
          <w:sz w:val="24"/>
          <w:szCs w:val="24"/>
        </w:rPr>
        <w:t xml:space="preserve"> </w:t>
      </w:r>
      <w:r w:rsidR="00FC3065">
        <w:rPr>
          <w:rFonts w:ascii="Times New Roman" w:hAnsi="Times New Roman" w:cs="Times New Roman"/>
          <w:sz w:val="24"/>
          <w:szCs w:val="24"/>
        </w:rPr>
        <w:t xml:space="preserve">old </w:t>
      </w:r>
      <w:r w:rsidR="00F6536C">
        <w:rPr>
          <w:rFonts w:ascii="Times New Roman" w:hAnsi="Times New Roman" w:cs="Times New Roman"/>
          <w:sz w:val="24"/>
          <w:szCs w:val="24"/>
        </w:rPr>
        <w:t xml:space="preserve">value-based argument that falls apart in the face of </w:t>
      </w:r>
      <w:r w:rsidR="007966EA">
        <w:rPr>
          <w:rFonts w:ascii="Times New Roman" w:hAnsi="Times New Roman" w:cs="Times New Roman"/>
          <w:sz w:val="24"/>
          <w:szCs w:val="24"/>
        </w:rPr>
        <w:t>an informal color line.</w:t>
      </w:r>
      <w:r w:rsidR="008463F1">
        <w:rPr>
          <w:rFonts w:ascii="Times New Roman" w:hAnsi="Times New Roman" w:cs="Times New Roman"/>
          <w:sz w:val="24"/>
          <w:szCs w:val="24"/>
        </w:rPr>
        <w:t xml:space="preserve">  </w:t>
      </w:r>
      <w:r w:rsidR="008B1A9B">
        <w:rPr>
          <w:rFonts w:ascii="Times New Roman" w:hAnsi="Times New Roman" w:cs="Times New Roman"/>
          <w:sz w:val="24"/>
          <w:szCs w:val="24"/>
        </w:rPr>
        <w:t xml:space="preserve">Referring to the way in which white </w:t>
      </w:r>
      <w:r w:rsidR="00FC3065">
        <w:rPr>
          <w:rFonts w:ascii="Times New Roman" w:hAnsi="Times New Roman" w:cs="Times New Roman"/>
          <w:sz w:val="24"/>
          <w:szCs w:val="24"/>
        </w:rPr>
        <w:t>contribution</w:t>
      </w:r>
      <w:r w:rsidR="008B1A9B">
        <w:rPr>
          <w:rFonts w:ascii="Times New Roman" w:hAnsi="Times New Roman" w:cs="Times New Roman"/>
          <w:sz w:val="24"/>
          <w:szCs w:val="24"/>
        </w:rPr>
        <w:t xml:space="preserve"> had</w:t>
      </w:r>
      <w:r w:rsidR="0050471B">
        <w:rPr>
          <w:rFonts w:ascii="Times New Roman" w:hAnsi="Times New Roman" w:cs="Times New Roman"/>
          <w:sz w:val="24"/>
          <w:szCs w:val="24"/>
        </w:rPr>
        <w:t xml:space="preserve"> negatively influenced</w:t>
      </w:r>
      <w:r w:rsidR="008B1A9B">
        <w:rPr>
          <w:rFonts w:ascii="Times New Roman" w:hAnsi="Times New Roman" w:cs="Times New Roman"/>
          <w:sz w:val="24"/>
          <w:szCs w:val="24"/>
        </w:rPr>
        <w:t xml:space="preserve"> black envisions of a metropolis,</w:t>
      </w:r>
      <w:r w:rsidR="008463F1">
        <w:rPr>
          <w:rFonts w:ascii="Times New Roman" w:hAnsi="Times New Roman" w:cs="Times New Roman"/>
          <w:sz w:val="24"/>
          <w:szCs w:val="24"/>
        </w:rPr>
        <w:t xml:space="preserve"> historian Frederic H. H. Robb </w:t>
      </w:r>
      <w:r w:rsidR="0050471B">
        <w:rPr>
          <w:rFonts w:ascii="Times New Roman" w:hAnsi="Times New Roman" w:cs="Times New Roman"/>
          <w:sz w:val="24"/>
          <w:szCs w:val="24"/>
        </w:rPr>
        <w:t>wrote</w:t>
      </w:r>
      <w:r w:rsidR="008463F1">
        <w:rPr>
          <w:rFonts w:ascii="Times New Roman" w:hAnsi="Times New Roman" w:cs="Times New Roman"/>
          <w:sz w:val="24"/>
          <w:szCs w:val="24"/>
        </w:rPr>
        <w:t xml:space="preserve"> that the New Negro does not seek philanthropy but an opportunity</w:t>
      </w:r>
      <w:r w:rsidR="008B1A9B">
        <w:rPr>
          <w:rFonts w:ascii="Times New Roman" w:hAnsi="Times New Roman" w:cs="Times New Roman"/>
          <w:sz w:val="24"/>
          <w:szCs w:val="24"/>
        </w:rPr>
        <w:t>.</w:t>
      </w:r>
      <w:r w:rsidR="008463F1">
        <w:rPr>
          <w:rStyle w:val="FootnoteReference"/>
          <w:rFonts w:ascii="Times New Roman" w:hAnsi="Times New Roman" w:cs="Times New Roman"/>
          <w:sz w:val="24"/>
          <w:szCs w:val="24"/>
        </w:rPr>
        <w:footnoteReference w:id="11"/>
      </w:r>
      <w:r w:rsidR="0050471B">
        <w:rPr>
          <w:rFonts w:ascii="Times New Roman" w:hAnsi="Times New Roman" w:cs="Times New Roman"/>
          <w:sz w:val="24"/>
          <w:szCs w:val="24"/>
        </w:rPr>
        <w:t xml:space="preserve">  </w:t>
      </w:r>
      <w:r w:rsidR="00BB140C">
        <w:rPr>
          <w:rFonts w:ascii="Times New Roman" w:hAnsi="Times New Roman" w:cs="Times New Roman"/>
          <w:sz w:val="24"/>
          <w:szCs w:val="24"/>
        </w:rPr>
        <w:t xml:space="preserve">The </w:t>
      </w:r>
      <w:r w:rsidR="00A73C47">
        <w:rPr>
          <w:rFonts w:ascii="Times New Roman" w:hAnsi="Times New Roman" w:cs="Times New Roman"/>
          <w:sz w:val="24"/>
          <w:szCs w:val="24"/>
        </w:rPr>
        <w:t>media narrative generally misinterprets this</w:t>
      </w:r>
      <w:r w:rsidR="00322757">
        <w:rPr>
          <w:rFonts w:ascii="Times New Roman" w:hAnsi="Times New Roman" w:cs="Times New Roman"/>
          <w:sz w:val="24"/>
          <w:szCs w:val="24"/>
        </w:rPr>
        <w:t xml:space="preserve"> </w:t>
      </w:r>
      <w:r w:rsidR="00D54F45">
        <w:rPr>
          <w:rFonts w:ascii="Times New Roman" w:hAnsi="Times New Roman" w:cs="Times New Roman"/>
          <w:sz w:val="24"/>
          <w:szCs w:val="24"/>
        </w:rPr>
        <w:t>emphasis on economic self-sufficiency and community right</w:t>
      </w:r>
      <w:r w:rsidR="00A73C47">
        <w:rPr>
          <w:rFonts w:ascii="Times New Roman" w:hAnsi="Times New Roman" w:cs="Times New Roman"/>
          <w:sz w:val="24"/>
          <w:szCs w:val="24"/>
        </w:rPr>
        <w:t>s</w:t>
      </w:r>
      <w:r w:rsidR="00EB466F">
        <w:rPr>
          <w:rFonts w:ascii="Times New Roman" w:hAnsi="Times New Roman" w:cs="Times New Roman"/>
          <w:sz w:val="24"/>
          <w:szCs w:val="24"/>
        </w:rPr>
        <w:t xml:space="preserve"> as an admission that nothing needs to be done about the ongoing </w:t>
      </w:r>
      <w:r w:rsidR="00DE712E">
        <w:rPr>
          <w:rFonts w:ascii="Times New Roman" w:hAnsi="Times New Roman" w:cs="Times New Roman"/>
          <w:sz w:val="24"/>
          <w:szCs w:val="24"/>
        </w:rPr>
        <w:t xml:space="preserve">inequalities that continue to this day.  </w:t>
      </w:r>
    </w:p>
    <w:p w14:paraId="5FFFEB58" w14:textId="1782BAD9" w:rsidR="00CB3681" w:rsidRDefault="00693904" w:rsidP="006939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I agree with Hall’s desire to reinforce the moral authority of people who fought for change, I also </w:t>
      </w:r>
      <w:r w:rsidR="001527BE">
        <w:rPr>
          <w:rFonts w:ascii="Times New Roman" w:hAnsi="Times New Roman" w:cs="Times New Roman"/>
          <w:sz w:val="24"/>
          <w:szCs w:val="24"/>
        </w:rPr>
        <w:t xml:space="preserve">want to attribute much of civil rights progress to the grassroots movements that developed communally.  </w:t>
      </w:r>
      <w:r w:rsidR="009F53D7">
        <w:rPr>
          <w:rFonts w:ascii="Times New Roman" w:hAnsi="Times New Roman" w:cs="Times New Roman"/>
          <w:sz w:val="24"/>
          <w:szCs w:val="24"/>
        </w:rPr>
        <w:t>As we discussed, much of the long civil rights movement took place at a local level</w:t>
      </w:r>
      <w:r w:rsidR="00694480">
        <w:rPr>
          <w:rFonts w:ascii="Times New Roman" w:hAnsi="Times New Roman" w:cs="Times New Roman"/>
          <w:sz w:val="24"/>
          <w:szCs w:val="24"/>
        </w:rPr>
        <w:t xml:space="preserve"> and this is not recognized</w:t>
      </w:r>
      <w:r w:rsidR="009F53D7">
        <w:rPr>
          <w:rFonts w:ascii="Times New Roman" w:hAnsi="Times New Roman" w:cs="Times New Roman"/>
          <w:sz w:val="24"/>
          <w:szCs w:val="24"/>
        </w:rPr>
        <w:t xml:space="preserve"> – for example, the names of the black workers who petitioned their employers for equal working conditions and wages </w:t>
      </w:r>
      <w:r w:rsidR="00694480">
        <w:rPr>
          <w:rFonts w:ascii="Times New Roman" w:hAnsi="Times New Roman" w:cs="Times New Roman"/>
          <w:sz w:val="24"/>
          <w:szCs w:val="24"/>
        </w:rPr>
        <w:t>is not mentioned.  In 1919,</w:t>
      </w:r>
      <w:r w:rsidR="00853226">
        <w:rPr>
          <w:rFonts w:ascii="Times New Roman" w:hAnsi="Times New Roman" w:cs="Times New Roman"/>
          <w:sz w:val="24"/>
          <w:szCs w:val="24"/>
        </w:rPr>
        <w:t xml:space="preserve"> predominantly black members of the ILA followed longshoremen in a strike.</w:t>
      </w:r>
      <w:r w:rsidR="00853226">
        <w:rPr>
          <w:rStyle w:val="FootnoteReference"/>
          <w:rFonts w:ascii="Times New Roman" w:hAnsi="Times New Roman" w:cs="Times New Roman"/>
          <w:sz w:val="24"/>
          <w:szCs w:val="24"/>
        </w:rPr>
        <w:footnoteReference w:id="12"/>
      </w:r>
      <w:r w:rsidR="00946245">
        <w:rPr>
          <w:rFonts w:ascii="Times New Roman" w:hAnsi="Times New Roman" w:cs="Times New Roman"/>
          <w:sz w:val="24"/>
          <w:szCs w:val="24"/>
        </w:rPr>
        <w:t xml:space="preserve">  So although black working-class employees were often viewed by industrialists as strikebreakers </w:t>
      </w:r>
      <w:r w:rsidR="00D921D5">
        <w:rPr>
          <w:rFonts w:ascii="Times New Roman" w:hAnsi="Times New Roman" w:cs="Times New Roman"/>
          <w:sz w:val="24"/>
          <w:szCs w:val="24"/>
        </w:rPr>
        <w:t xml:space="preserve">and bulwarks against the threat of immigration, </w:t>
      </w:r>
      <w:r w:rsidR="0059590E">
        <w:rPr>
          <w:rFonts w:ascii="Times New Roman" w:hAnsi="Times New Roman" w:cs="Times New Roman"/>
          <w:sz w:val="24"/>
          <w:szCs w:val="24"/>
        </w:rPr>
        <w:t xml:space="preserve">they played an important role in the labor movement </w:t>
      </w:r>
      <w:proofErr w:type="gramStart"/>
      <w:r w:rsidR="0059590E">
        <w:rPr>
          <w:rFonts w:ascii="Times New Roman" w:hAnsi="Times New Roman" w:cs="Times New Roman"/>
          <w:sz w:val="24"/>
          <w:szCs w:val="24"/>
        </w:rPr>
        <w:t>whether or not</w:t>
      </w:r>
      <w:proofErr w:type="gramEnd"/>
      <w:r w:rsidR="0059590E">
        <w:rPr>
          <w:rFonts w:ascii="Times New Roman" w:hAnsi="Times New Roman" w:cs="Times New Roman"/>
          <w:sz w:val="24"/>
          <w:szCs w:val="24"/>
        </w:rPr>
        <w:t xml:space="preserve"> they were unionized.  </w:t>
      </w:r>
      <w:r w:rsidR="005A4C16">
        <w:rPr>
          <w:rFonts w:ascii="Times New Roman" w:hAnsi="Times New Roman" w:cs="Times New Roman"/>
          <w:sz w:val="24"/>
          <w:szCs w:val="24"/>
        </w:rPr>
        <w:t xml:space="preserve">This demonstrates the true </w:t>
      </w:r>
      <w:r w:rsidR="00CB5465">
        <w:rPr>
          <w:rFonts w:ascii="Times New Roman" w:hAnsi="Times New Roman" w:cs="Times New Roman"/>
          <w:sz w:val="24"/>
          <w:szCs w:val="24"/>
        </w:rPr>
        <w:t>purpose</w:t>
      </w:r>
      <w:r w:rsidR="005A4C16">
        <w:rPr>
          <w:rFonts w:ascii="Times New Roman" w:hAnsi="Times New Roman" w:cs="Times New Roman"/>
          <w:sz w:val="24"/>
          <w:szCs w:val="24"/>
        </w:rPr>
        <w:t xml:space="preserve"> of uplift; when African-Americans choose to rely on their own cultural and economic constructs, their conditions are improved.  </w:t>
      </w:r>
    </w:p>
    <w:p w14:paraId="15BDAEA4" w14:textId="5D9E222E" w:rsidR="00FF6F9D" w:rsidRDefault="00DE712E"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5465">
        <w:rPr>
          <w:rFonts w:ascii="Times New Roman" w:hAnsi="Times New Roman" w:cs="Times New Roman"/>
          <w:sz w:val="24"/>
          <w:szCs w:val="24"/>
        </w:rPr>
        <w:t xml:space="preserve">However, </w:t>
      </w:r>
      <w:r w:rsidR="00E65284">
        <w:rPr>
          <w:rFonts w:ascii="Times New Roman" w:hAnsi="Times New Roman" w:cs="Times New Roman"/>
          <w:sz w:val="24"/>
          <w:szCs w:val="24"/>
        </w:rPr>
        <w:t xml:space="preserve">I believe that racial uplift is essentially manipulated by race liberals such as Henry Ford; rather than </w:t>
      </w:r>
      <w:r w:rsidR="00750EE5">
        <w:rPr>
          <w:rFonts w:ascii="Times New Roman" w:hAnsi="Times New Roman" w:cs="Times New Roman"/>
          <w:sz w:val="24"/>
          <w:szCs w:val="24"/>
        </w:rPr>
        <w:t xml:space="preserve">helping to achieve </w:t>
      </w:r>
      <w:r w:rsidR="00E65284">
        <w:rPr>
          <w:rFonts w:ascii="Times New Roman" w:hAnsi="Times New Roman" w:cs="Times New Roman"/>
          <w:sz w:val="24"/>
          <w:szCs w:val="24"/>
        </w:rPr>
        <w:t>moral equivalency in the eyes of white people</w:t>
      </w:r>
      <w:r w:rsidR="00750EE5">
        <w:rPr>
          <w:rFonts w:ascii="Times New Roman" w:hAnsi="Times New Roman" w:cs="Times New Roman"/>
          <w:sz w:val="24"/>
          <w:szCs w:val="24"/>
        </w:rPr>
        <w:t xml:space="preserve"> or </w:t>
      </w:r>
      <w:r w:rsidR="008F2A94">
        <w:rPr>
          <w:rFonts w:ascii="Times New Roman" w:hAnsi="Times New Roman" w:cs="Times New Roman"/>
          <w:sz w:val="24"/>
          <w:szCs w:val="24"/>
        </w:rPr>
        <w:t xml:space="preserve">changing opinions of migrants as backward, the industrialists treat black uplift opportunistically.  </w:t>
      </w:r>
      <w:r w:rsidR="00F70053">
        <w:rPr>
          <w:rFonts w:ascii="Times New Roman" w:hAnsi="Times New Roman" w:cs="Times New Roman"/>
          <w:sz w:val="24"/>
          <w:szCs w:val="24"/>
        </w:rPr>
        <w:t xml:space="preserve">For economic reasons and out of a dislike for Communist influence in the age of McCarthyism, </w:t>
      </w:r>
      <w:r w:rsidR="00566F92">
        <w:rPr>
          <w:rFonts w:ascii="Times New Roman" w:hAnsi="Times New Roman" w:cs="Times New Roman"/>
          <w:sz w:val="24"/>
          <w:szCs w:val="24"/>
        </w:rPr>
        <w:t>the Ford Motor Company essentially treats its workers as replaceable parts and gradually ensures that they become dependent</w:t>
      </w:r>
      <w:r w:rsidR="003971AC">
        <w:rPr>
          <w:rFonts w:ascii="Times New Roman" w:hAnsi="Times New Roman" w:cs="Times New Roman"/>
          <w:sz w:val="24"/>
          <w:szCs w:val="24"/>
        </w:rPr>
        <w:t xml:space="preserve">.  As in the case of Willis Ward, northern race liberals </w:t>
      </w:r>
      <w:r w:rsidR="00EA0627">
        <w:rPr>
          <w:rFonts w:ascii="Times New Roman" w:hAnsi="Times New Roman" w:cs="Times New Roman"/>
          <w:sz w:val="24"/>
          <w:szCs w:val="24"/>
        </w:rPr>
        <w:t>absolved themselves of responsibility by appealing to property rights and</w:t>
      </w:r>
      <w:r w:rsidR="00BD3C4D">
        <w:rPr>
          <w:rFonts w:ascii="Times New Roman" w:hAnsi="Times New Roman" w:cs="Times New Roman"/>
          <w:sz w:val="24"/>
          <w:szCs w:val="24"/>
        </w:rPr>
        <w:t xml:space="preserve"> downplaying the long-lasting </w:t>
      </w:r>
      <w:r w:rsidR="00CF47EB">
        <w:rPr>
          <w:rFonts w:ascii="Times New Roman" w:hAnsi="Times New Roman" w:cs="Times New Roman"/>
          <w:sz w:val="24"/>
          <w:szCs w:val="24"/>
        </w:rPr>
        <w:t>impact of slavery’s legac</w:t>
      </w:r>
      <w:r w:rsidR="00174D33">
        <w:rPr>
          <w:rFonts w:ascii="Times New Roman" w:hAnsi="Times New Roman" w:cs="Times New Roman"/>
          <w:sz w:val="24"/>
          <w:szCs w:val="24"/>
        </w:rPr>
        <w:t xml:space="preserve">y.  </w:t>
      </w:r>
      <w:r w:rsidR="00E800DE">
        <w:rPr>
          <w:rFonts w:ascii="Times New Roman" w:hAnsi="Times New Roman" w:cs="Times New Roman"/>
          <w:sz w:val="24"/>
          <w:szCs w:val="24"/>
        </w:rPr>
        <w:t>As a r</w:t>
      </w:r>
      <w:r w:rsidR="00EC0B7E">
        <w:rPr>
          <w:rFonts w:ascii="Times New Roman" w:hAnsi="Times New Roman" w:cs="Times New Roman"/>
          <w:sz w:val="24"/>
          <w:szCs w:val="24"/>
        </w:rPr>
        <w:t>esponse</w:t>
      </w:r>
      <w:r w:rsidR="00E800DE">
        <w:rPr>
          <w:rFonts w:ascii="Times New Roman" w:hAnsi="Times New Roman" w:cs="Times New Roman"/>
          <w:sz w:val="24"/>
          <w:szCs w:val="24"/>
        </w:rPr>
        <w:t xml:space="preserve">, African-Americans </w:t>
      </w:r>
      <w:r w:rsidR="00EC0B7E">
        <w:rPr>
          <w:rFonts w:ascii="Times New Roman" w:hAnsi="Times New Roman" w:cs="Times New Roman"/>
          <w:sz w:val="24"/>
          <w:szCs w:val="24"/>
        </w:rPr>
        <w:t xml:space="preserve">were able to construct elements of the black metropolis within their own confinement in cities like Harlem. </w:t>
      </w:r>
    </w:p>
    <w:p w14:paraId="2E600B90" w14:textId="2FC53369" w:rsidR="00005927" w:rsidRDefault="00174D33"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047C">
        <w:rPr>
          <w:rFonts w:ascii="Times New Roman" w:hAnsi="Times New Roman" w:cs="Times New Roman"/>
          <w:sz w:val="24"/>
          <w:szCs w:val="24"/>
        </w:rPr>
        <w:t xml:space="preserve">While </w:t>
      </w:r>
      <w:r w:rsidR="00E800DE">
        <w:rPr>
          <w:rFonts w:ascii="Times New Roman" w:hAnsi="Times New Roman" w:cs="Times New Roman"/>
          <w:sz w:val="24"/>
          <w:szCs w:val="24"/>
        </w:rPr>
        <w:t xml:space="preserve">the </w:t>
      </w:r>
      <w:r w:rsidR="00E800DE">
        <w:rPr>
          <w:rFonts w:ascii="Times New Roman" w:hAnsi="Times New Roman" w:cs="Times New Roman"/>
          <w:i/>
          <w:sz w:val="24"/>
          <w:szCs w:val="24"/>
        </w:rPr>
        <w:t>New York Age</w:t>
      </w:r>
      <w:r w:rsidR="00E800DE">
        <w:rPr>
          <w:rFonts w:ascii="Times New Roman" w:hAnsi="Times New Roman" w:cs="Times New Roman"/>
          <w:sz w:val="24"/>
          <w:szCs w:val="24"/>
        </w:rPr>
        <w:t xml:space="preserve"> editorial extensively criticized </w:t>
      </w:r>
      <w:r w:rsidR="00EC0B7E">
        <w:rPr>
          <w:rFonts w:ascii="Times New Roman" w:hAnsi="Times New Roman" w:cs="Times New Roman"/>
          <w:sz w:val="24"/>
          <w:szCs w:val="24"/>
        </w:rPr>
        <w:t>vice activity</w:t>
      </w:r>
      <w:r w:rsidR="007D5E0E">
        <w:rPr>
          <w:rFonts w:ascii="Times New Roman" w:hAnsi="Times New Roman" w:cs="Times New Roman"/>
          <w:sz w:val="24"/>
          <w:szCs w:val="24"/>
        </w:rPr>
        <w:t xml:space="preserve"> and the moral character of real estate tenants, immoral behavior continued.</w:t>
      </w:r>
      <w:r w:rsidR="007D5E0E">
        <w:rPr>
          <w:rStyle w:val="FootnoteReference"/>
          <w:rFonts w:ascii="Times New Roman" w:hAnsi="Times New Roman" w:cs="Times New Roman"/>
          <w:sz w:val="24"/>
          <w:szCs w:val="24"/>
        </w:rPr>
        <w:footnoteReference w:id="13"/>
      </w:r>
      <w:r w:rsidR="00BC6779">
        <w:rPr>
          <w:rFonts w:ascii="Times New Roman" w:hAnsi="Times New Roman" w:cs="Times New Roman"/>
          <w:sz w:val="24"/>
          <w:szCs w:val="24"/>
        </w:rPr>
        <w:t xml:space="preserve">  So another contradiction of </w:t>
      </w:r>
      <w:r w:rsidR="00BC6779">
        <w:rPr>
          <w:rFonts w:ascii="Times New Roman" w:hAnsi="Times New Roman" w:cs="Times New Roman"/>
          <w:sz w:val="24"/>
          <w:szCs w:val="24"/>
        </w:rPr>
        <w:lastRenderedPageBreak/>
        <w:t xml:space="preserve">northern racial liberalism takes place; race liberals </w:t>
      </w:r>
      <w:r w:rsidR="00A7278A">
        <w:rPr>
          <w:rFonts w:ascii="Times New Roman" w:hAnsi="Times New Roman" w:cs="Times New Roman"/>
          <w:sz w:val="24"/>
          <w:szCs w:val="24"/>
        </w:rPr>
        <w:t xml:space="preserve">simultaneously disregard and take advantage of African-Americans’ pursuit of community rights.  </w:t>
      </w:r>
      <w:r w:rsidR="002505B2">
        <w:rPr>
          <w:rFonts w:ascii="Times New Roman" w:hAnsi="Times New Roman" w:cs="Times New Roman"/>
          <w:sz w:val="24"/>
          <w:szCs w:val="24"/>
        </w:rPr>
        <w:t xml:space="preserve">We talked about slumming – that is, white people visiting black neighborhoods and </w:t>
      </w:r>
      <w:proofErr w:type="gramStart"/>
      <w:r w:rsidR="002505B2">
        <w:rPr>
          <w:rFonts w:ascii="Times New Roman" w:hAnsi="Times New Roman" w:cs="Times New Roman"/>
          <w:sz w:val="24"/>
          <w:szCs w:val="24"/>
        </w:rPr>
        <w:t>red light</w:t>
      </w:r>
      <w:proofErr w:type="gramEnd"/>
      <w:r w:rsidR="002505B2">
        <w:rPr>
          <w:rFonts w:ascii="Times New Roman" w:hAnsi="Times New Roman" w:cs="Times New Roman"/>
          <w:sz w:val="24"/>
          <w:szCs w:val="24"/>
        </w:rPr>
        <w:t xml:space="preserve"> districts </w:t>
      </w:r>
      <w:r w:rsidR="00FA44E5">
        <w:rPr>
          <w:rFonts w:ascii="Times New Roman" w:hAnsi="Times New Roman" w:cs="Times New Roman"/>
          <w:sz w:val="24"/>
          <w:szCs w:val="24"/>
        </w:rPr>
        <w:t xml:space="preserve">for a variety of reasons including simple curiosity.  I would argue that northern racial liberalism also benefitted these communities because it encouraged a cultural exchange as well as patronage of black establishments which </w:t>
      </w:r>
      <w:r w:rsidR="00AB660E">
        <w:rPr>
          <w:rFonts w:ascii="Times New Roman" w:hAnsi="Times New Roman" w:cs="Times New Roman"/>
          <w:sz w:val="24"/>
          <w:szCs w:val="24"/>
        </w:rPr>
        <w:t xml:space="preserve">essentially benefitted the construction of the black metropolis, however temporary.  Whether or not it was for economic reasons, northern race liberals began to interact more with African-American communities and take interest in their cultural contributions just as their European counterparts took artistic inspiration.  </w:t>
      </w:r>
    </w:p>
    <w:p w14:paraId="09DEE8E2" w14:textId="416DBAE1" w:rsidR="00785F07" w:rsidRDefault="00AB660E"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7DAE">
        <w:rPr>
          <w:rFonts w:ascii="Times New Roman" w:hAnsi="Times New Roman" w:cs="Times New Roman"/>
          <w:sz w:val="24"/>
          <w:szCs w:val="24"/>
        </w:rPr>
        <w:t>In Detroit,</w:t>
      </w:r>
      <w:r w:rsidR="00AE0BEB">
        <w:rPr>
          <w:rFonts w:ascii="Times New Roman" w:hAnsi="Times New Roman" w:cs="Times New Roman"/>
          <w:sz w:val="24"/>
          <w:szCs w:val="24"/>
        </w:rPr>
        <w:t xml:space="preserve"> the local government’s insistence on working within the boundaries imposed by the “free market”</w:t>
      </w:r>
      <w:r w:rsidR="00E87DAE">
        <w:rPr>
          <w:rFonts w:ascii="Times New Roman" w:hAnsi="Times New Roman" w:cs="Times New Roman"/>
          <w:sz w:val="24"/>
          <w:szCs w:val="24"/>
        </w:rPr>
        <w:t xml:space="preserve"> emphasized the rights of manufacturers </w:t>
      </w:r>
      <w:r w:rsidR="00B624B6">
        <w:rPr>
          <w:rFonts w:ascii="Times New Roman" w:hAnsi="Times New Roman" w:cs="Times New Roman"/>
          <w:sz w:val="24"/>
          <w:szCs w:val="24"/>
        </w:rPr>
        <w:t>over the demolition</w:t>
      </w:r>
      <w:r w:rsidR="00E43800">
        <w:rPr>
          <w:rFonts w:ascii="Times New Roman" w:hAnsi="Times New Roman" w:cs="Times New Roman"/>
          <w:sz w:val="24"/>
          <w:szCs w:val="24"/>
        </w:rPr>
        <w:t xml:space="preserve"> of black </w:t>
      </w:r>
      <w:r w:rsidR="00B624B6">
        <w:rPr>
          <w:rFonts w:ascii="Times New Roman" w:hAnsi="Times New Roman" w:cs="Times New Roman"/>
          <w:sz w:val="24"/>
          <w:szCs w:val="24"/>
        </w:rPr>
        <w:t xml:space="preserve">residential </w:t>
      </w:r>
      <w:r w:rsidR="00E43800">
        <w:rPr>
          <w:rFonts w:ascii="Times New Roman" w:hAnsi="Times New Roman" w:cs="Times New Roman"/>
          <w:sz w:val="24"/>
          <w:szCs w:val="24"/>
        </w:rPr>
        <w:t>communities which already existed there.</w:t>
      </w:r>
      <w:r w:rsidR="00AE0BEB">
        <w:rPr>
          <w:rStyle w:val="FootnoteReference"/>
          <w:rFonts w:ascii="Times New Roman" w:hAnsi="Times New Roman" w:cs="Times New Roman"/>
          <w:sz w:val="24"/>
          <w:szCs w:val="24"/>
        </w:rPr>
        <w:footnoteReference w:id="14"/>
      </w:r>
      <w:r w:rsidR="00B40C11">
        <w:rPr>
          <w:rFonts w:ascii="Times New Roman" w:hAnsi="Times New Roman" w:cs="Times New Roman"/>
          <w:sz w:val="24"/>
          <w:szCs w:val="24"/>
        </w:rPr>
        <w:t xml:space="preserve">  </w:t>
      </w:r>
      <w:r w:rsidR="009A73F6">
        <w:rPr>
          <w:rFonts w:ascii="Times New Roman" w:hAnsi="Times New Roman" w:cs="Times New Roman"/>
          <w:sz w:val="24"/>
          <w:szCs w:val="24"/>
        </w:rPr>
        <w:t xml:space="preserve">The Detroit branch of the NAACP </w:t>
      </w:r>
      <w:r w:rsidR="00B40C11">
        <w:rPr>
          <w:rFonts w:ascii="Times New Roman" w:hAnsi="Times New Roman" w:cs="Times New Roman"/>
          <w:sz w:val="24"/>
          <w:szCs w:val="24"/>
        </w:rPr>
        <w:t>turned once again toward legislative remedies after being discouraged by a gradualist political climate and a decrease in grassroots support.</w:t>
      </w:r>
      <w:r w:rsidR="00B40C11">
        <w:rPr>
          <w:rStyle w:val="FootnoteReference"/>
          <w:rFonts w:ascii="Times New Roman" w:hAnsi="Times New Roman" w:cs="Times New Roman"/>
          <w:sz w:val="24"/>
          <w:szCs w:val="24"/>
        </w:rPr>
        <w:footnoteReference w:id="15"/>
      </w:r>
      <w:r w:rsidR="00B40C11">
        <w:rPr>
          <w:rFonts w:ascii="Times New Roman" w:hAnsi="Times New Roman" w:cs="Times New Roman"/>
          <w:sz w:val="24"/>
          <w:szCs w:val="24"/>
        </w:rPr>
        <w:t xml:space="preserve">  Sugrue’s portrayal of how civil rights activism was perceived as inherently anti-American brings a valuable contribution to our perception of the extent to which </w:t>
      </w:r>
      <w:r w:rsidR="00007F24">
        <w:rPr>
          <w:rFonts w:ascii="Times New Roman" w:hAnsi="Times New Roman" w:cs="Times New Roman"/>
          <w:sz w:val="24"/>
          <w:szCs w:val="24"/>
        </w:rPr>
        <w:t xml:space="preserve">outside support for civil rights was limited.  </w:t>
      </w:r>
      <w:proofErr w:type="gramStart"/>
      <w:r w:rsidR="00007F24">
        <w:rPr>
          <w:rFonts w:ascii="Times New Roman" w:hAnsi="Times New Roman" w:cs="Times New Roman"/>
          <w:sz w:val="24"/>
          <w:szCs w:val="24"/>
        </w:rPr>
        <w:t>At the same time that</w:t>
      </w:r>
      <w:proofErr w:type="gramEnd"/>
      <w:r w:rsidR="00007F24">
        <w:rPr>
          <w:rFonts w:ascii="Times New Roman" w:hAnsi="Times New Roman" w:cs="Times New Roman"/>
          <w:sz w:val="24"/>
          <w:szCs w:val="24"/>
        </w:rPr>
        <w:t xml:space="preserve"> many white race liberals expressed their commitment to racial progress, it is arguable that even the Communist party among others (who were supporting civil rights) did so out of the association between class and race.  </w:t>
      </w:r>
      <w:proofErr w:type="gramStart"/>
      <w:r w:rsidR="00007F24">
        <w:rPr>
          <w:rFonts w:ascii="Times New Roman" w:hAnsi="Times New Roman" w:cs="Times New Roman"/>
          <w:sz w:val="24"/>
          <w:szCs w:val="24"/>
        </w:rPr>
        <w:t xml:space="preserve">In essence, </w:t>
      </w:r>
      <w:r w:rsidR="00A20331">
        <w:rPr>
          <w:rFonts w:ascii="Times New Roman" w:hAnsi="Times New Roman" w:cs="Times New Roman"/>
          <w:sz w:val="24"/>
          <w:szCs w:val="24"/>
        </w:rPr>
        <w:t>anti-</w:t>
      </w:r>
      <w:proofErr w:type="gramEnd"/>
      <w:r w:rsidR="00A20331">
        <w:rPr>
          <w:rFonts w:ascii="Times New Roman" w:hAnsi="Times New Roman" w:cs="Times New Roman"/>
          <w:sz w:val="24"/>
          <w:szCs w:val="24"/>
        </w:rPr>
        <w:t xml:space="preserve">liberals explicitly condemned African-American progress while the majority of northern race liberals did not truly support civil rights for its own sake.  </w:t>
      </w:r>
    </w:p>
    <w:p w14:paraId="29A717BE" w14:textId="6253AC6F" w:rsidR="00BE29BF" w:rsidRDefault="00BE29BF"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54A73">
        <w:rPr>
          <w:rFonts w:ascii="Times New Roman" w:hAnsi="Times New Roman" w:cs="Times New Roman"/>
          <w:sz w:val="24"/>
          <w:szCs w:val="24"/>
        </w:rPr>
        <w:t xml:space="preserve">Miller’s analysis of the NAACP’s </w:t>
      </w:r>
      <w:r w:rsidR="001B430C">
        <w:rPr>
          <w:rFonts w:ascii="Times New Roman" w:hAnsi="Times New Roman" w:cs="Times New Roman"/>
          <w:sz w:val="24"/>
          <w:szCs w:val="24"/>
        </w:rPr>
        <w:t>remedies for increases in segregation and prejudice is more optimistic than Sugrue’s, but it emphasizes the idea that the NAACP was working within the framework set by northern race liberals</w:t>
      </w:r>
      <w:r w:rsidR="00F262CD">
        <w:rPr>
          <w:rFonts w:ascii="Times New Roman" w:hAnsi="Times New Roman" w:cs="Times New Roman"/>
          <w:sz w:val="24"/>
          <w:szCs w:val="24"/>
        </w:rPr>
        <w:t xml:space="preserve">.  For example, Miller states that in its first </w:t>
      </w:r>
      <w:r w:rsidR="00D10383">
        <w:rPr>
          <w:rFonts w:ascii="Times New Roman" w:hAnsi="Times New Roman" w:cs="Times New Roman"/>
          <w:sz w:val="24"/>
          <w:szCs w:val="24"/>
        </w:rPr>
        <w:t>bulletin the NAACP stated that African-American Detroiters should do everything in their power to secure justice.  The methods by which they were to secure justice included maintaining cleanliness and not arranging children’s hair in corn rows in order to gain a more favorable judgment of the race.</w:t>
      </w:r>
      <w:r w:rsidR="00BA308E">
        <w:rPr>
          <w:rFonts w:ascii="Times New Roman" w:hAnsi="Times New Roman" w:cs="Times New Roman"/>
          <w:sz w:val="24"/>
          <w:szCs w:val="24"/>
        </w:rPr>
        <w:t xml:space="preserve">  Miller’s interpretation is that discourses invoking respectability politics imply that unrespectable individuals are undeserving of full citizenship.</w:t>
      </w:r>
      <w:r w:rsidR="00D10383">
        <w:rPr>
          <w:rStyle w:val="FootnoteReference"/>
          <w:rFonts w:ascii="Times New Roman" w:hAnsi="Times New Roman" w:cs="Times New Roman"/>
          <w:sz w:val="24"/>
          <w:szCs w:val="24"/>
        </w:rPr>
        <w:footnoteReference w:id="16"/>
      </w:r>
      <w:r w:rsidR="00D10383">
        <w:rPr>
          <w:rFonts w:ascii="Times New Roman" w:hAnsi="Times New Roman" w:cs="Times New Roman"/>
          <w:sz w:val="24"/>
          <w:szCs w:val="24"/>
        </w:rPr>
        <w:t xml:space="preserve">  </w:t>
      </w:r>
      <w:r w:rsidR="00BA308E">
        <w:rPr>
          <w:rFonts w:ascii="Times New Roman" w:hAnsi="Times New Roman" w:cs="Times New Roman"/>
          <w:sz w:val="24"/>
          <w:szCs w:val="24"/>
        </w:rPr>
        <w:t xml:space="preserve">What this means in practice is that the NAACP had resigned itself to a limited set of beliefs about what it could and could not do.  </w:t>
      </w:r>
      <w:proofErr w:type="gramStart"/>
      <w:r w:rsidR="00BA308E">
        <w:rPr>
          <w:rFonts w:ascii="Times New Roman" w:hAnsi="Times New Roman" w:cs="Times New Roman"/>
          <w:sz w:val="24"/>
          <w:szCs w:val="24"/>
        </w:rPr>
        <w:t>In essence, th</w:t>
      </w:r>
      <w:r w:rsidR="002A4E93">
        <w:rPr>
          <w:rFonts w:ascii="Times New Roman" w:hAnsi="Times New Roman" w:cs="Times New Roman"/>
          <w:sz w:val="24"/>
          <w:szCs w:val="24"/>
        </w:rPr>
        <w:t>is</w:t>
      </w:r>
      <w:proofErr w:type="gramEnd"/>
      <w:r w:rsidR="002A4E93">
        <w:rPr>
          <w:rFonts w:ascii="Times New Roman" w:hAnsi="Times New Roman" w:cs="Times New Roman"/>
          <w:sz w:val="24"/>
          <w:szCs w:val="24"/>
        </w:rPr>
        <w:t xml:space="preserve"> meant that the organization was acting in response to the non-specific but racially motivated policies imposed by the white city council</w:t>
      </w:r>
      <w:r w:rsidR="00B2541A">
        <w:rPr>
          <w:rFonts w:ascii="Times New Roman" w:hAnsi="Times New Roman" w:cs="Times New Roman"/>
          <w:sz w:val="24"/>
          <w:szCs w:val="24"/>
        </w:rPr>
        <w:t xml:space="preserve">.  As we discussed, these policies lacked racialized </w:t>
      </w:r>
      <w:proofErr w:type="gramStart"/>
      <w:r w:rsidR="00B2541A">
        <w:rPr>
          <w:rFonts w:ascii="Times New Roman" w:hAnsi="Times New Roman" w:cs="Times New Roman"/>
          <w:sz w:val="24"/>
          <w:szCs w:val="24"/>
        </w:rPr>
        <w:t>language</w:t>
      </w:r>
      <w:proofErr w:type="gramEnd"/>
      <w:r w:rsidR="00B2541A">
        <w:rPr>
          <w:rFonts w:ascii="Times New Roman" w:hAnsi="Times New Roman" w:cs="Times New Roman"/>
          <w:sz w:val="24"/>
          <w:szCs w:val="24"/>
        </w:rPr>
        <w:t xml:space="preserve"> but they disproportionately affected </w:t>
      </w:r>
      <w:r w:rsidR="00864BD5">
        <w:rPr>
          <w:rFonts w:ascii="Times New Roman" w:hAnsi="Times New Roman" w:cs="Times New Roman"/>
          <w:sz w:val="24"/>
          <w:szCs w:val="24"/>
        </w:rPr>
        <w:t>African-American</w:t>
      </w:r>
      <w:r w:rsidR="00330AAC">
        <w:rPr>
          <w:rFonts w:ascii="Times New Roman" w:hAnsi="Times New Roman" w:cs="Times New Roman"/>
          <w:sz w:val="24"/>
          <w:szCs w:val="24"/>
        </w:rPr>
        <w:t xml:space="preserve">s.  </w:t>
      </w:r>
    </w:p>
    <w:p w14:paraId="314F1073" w14:textId="77777777" w:rsidR="00B6646C" w:rsidRDefault="007A6DDF" w:rsidP="000A7B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Moreover, Boyle’s discussion of </w:t>
      </w:r>
      <w:r w:rsidR="00423574">
        <w:rPr>
          <w:rFonts w:ascii="Times New Roman" w:hAnsi="Times New Roman" w:cs="Times New Roman"/>
          <w:sz w:val="24"/>
          <w:szCs w:val="24"/>
        </w:rPr>
        <w:t>the basis of white supremacy is like</w:t>
      </w:r>
      <w:r w:rsidR="00AF27D4">
        <w:rPr>
          <w:rFonts w:ascii="Times New Roman" w:hAnsi="Times New Roman" w:cs="Times New Roman"/>
          <w:sz w:val="24"/>
          <w:szCs w:val="24"/>
        </w:rPr>
        <w:t xml:space="preserve">wise important to our understanding of the civil rights struggle because it demonstrates the pathological nature of white supremacy.  As Boyle notes, the governor of South Carolina Ben Tillman </w:t>
      </w:r>
      <w:r w:rsidR="007A0409">
        <w:rPr>
          <w:rFonts w:ascii="Times New Roman" w:hAnsi="Times New Roman" w:cs="Times New Roman"/>
          <w:sz w:val="24"/>
          <w:szCs w:val="24"/>
        </w:rPr>
        <w:t>believed that he would rather find one of his daughters killed by a tiger or bear than to be told that she had been “robbed of the jewel of her maidenhood by a black fiend.”</w:t>
      </w:r>
      <w:r w:rsidR="002E1C56">
        <w:rPr>
          <w:rFonts w:ascii="Times New Roman" w:hAnsi="Times New Roman" w:cs="Times New Roman"/>
          <w:sz w:val="24"/>
          <w:szCs w:val="24"/>
        </w:rPr>
        <w:t xml:space="preserve">  Boyle makes a fuller contribution because he emphasizes how whites were afraid of moral, economic, and sexual losses in the face of African-American migration.</w:t>
      </w:r>
      <w:r w:rsidR="007A0409">
        <w:rPr>
          <w:rStyle w:val="FootnoteReference"/>
          <w:rFonts w:ascii="Times New Roman" w:hAnsi="Times New Roman" w:cs="Times New Roman"/>
          <w:sz w:val="24"/>
          <w:szCs w:val="24"/>
        </w:rPr>
        <w:footnoteReference w:id="17"/>
      </w:r>
      <w:r w:rsidR="007A0409">
        <w:rPr>
          <w:rFonts w:ascii="Times New Roman" w:hAnsi="Times New Roman" w:cs="Times New Roman"/>
          <w:sz w:val="24"/>
          <w:szCs w:val="24"/>
        </w:rPr>
        <w:t xml:space="preserve">  </w:t>
      </w:r>
    </w:p>
    <w:p w14:paraId="0F1ABDE5" w14:textId="1CD66693" w:rsidR="00436A8A" w:rsidRDefault="0099544C" w:rsidP="00B664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Understanding what civil rights activists were protesting allows us to see the way in which northern racial liberals </w:t>
      </w:r>
      <w:r w:rsidR="00C215C6">
        <w:rPr>
          <w:rFonts w:ascii="Times New Roman" w:hAnsi="Times New Roman" w:cs="Times New Roman"/>
          <w:sz w:val="24"/>
          <w:szCs w:val="24"/>
        </w:rPr>
        <w:t>wer</w:t>
      </w:r>
      <w:r>
        <w:rPr>
          <w:rFonts w:ascii="Times New Roman" w:hAnsi="Times New Roman" w:cs="Times New Roman"/>
          <w:sz w:val="24"/>
          <w:szCs w:val="24"/>
        </w:rPr>
        <w:t xml:space="preserve">e trying to </w:t>
      </w:r>
      <w:r w:rsidR="00C215C6">
        <w:rPr>
          <w:rFonts w:ascii="Times New Roman" w:hAnsi="Times New Roman" w:cs="Times New Roman"/>
          <w:sz w:val="24"/>
          <w:szCs w:val="24"/>
        </w:rPr>
        <w:t xml:space="preserve">maintain the existing power structure out of a sense </w:t>
      </w:r>
      <w:r w:rsidR="00C215C6">
        <w:rPr>
          <w:rFonts w:ascii="Times New Roman" w:hAnsi="Times New Roman" w:cs="Times New Roman"/>
          <w:sz w:val="24"/>
          <w:szCs w:val="24"/>
        </w:rPr>
        <w:lastRenderedPageBreak/>
        <w:t xml:space="preserve">of fear.  </w:t>
      </w:r>
      <w:r w:rsidR="0049766D">
        <w:rPr>
          <w:rFonts w:ascii="Times New Roman" w:hAnsi="Times New Roman" w:cs="Times New Roman"/>
          <w:sz w:val="24"/>
          <w:szCs w:val="24"/>
        </w:rPr>
        <w:t xml:space="preserve">Civil rights activism seeks to dispel the notion that African-Americans are inherently evil </w:t>
      </w:r>
      <w:r w:rsidR="004D10EA">
        <w:rPr>
          <w:rFonts w:ascii="Times New Roman" w:hAnsi="Times New Roman" w:cs="Times New Roman"/>
          <w:sz w:val="24"/>
          <w:szCs w:val="24"/>
        </w:rPr>
        <w:t>and thus resolve the sense of fear that pervades both parties.  Boyle’s humanization of Ossian Sweet helps in this regard, and his</w:t>
      </w:r>
      <w:r w:rsidR="0043658F">
        <w:rPr>
          <w:rFonts w:ascii="Times New Roman" w:hAnsi="Times New Roman" w:cs="Times New Roman"/>
          <w:sz w:val="24"/>
          <w:szCs w:val="24"/>
        </w:rPr>
        <w:t xml:space="preserve"> narration that he was “never safe from the mindless fury of the mob” demonstrates the</w:t>
      </w:r>
      <w:r w:rsidR="00083E56">
        <w:rPr>
          <w:rFonts w:ascii="Times New Roman" w:hAnsi="Times New Roman" w:cs="Times New Roman"/>
          <w:sz w:val="24"/>
          <w:szCs w:val="24"/>
        </w:rPr>
        <w:t xml:space="preserve"> way in which the mob mentality of the northern Jim Crow created an atmosphere of fear and </w:t>
      </w:r>
      <w:r w:rsidR="00316D0C">
        <w:rPr>
          <w:rFonts w:ascii="Times New Roman" w:hAnsi="Times New Roman" w:cs="Times New Roman"/>
          <w:sz w:val="24"/>
          <w:szCs w:val="24"/>
        </w:rPr>
        <w:t xml:space="preserve">at times </w:t>
      </w:r>
      <w:r w:rsidR="00083E56">
        <w:rPr>
          <w:rFonts w:ascii="Times New Roman" w:hAnsi="Times New Roman" w:cs="Times New Roman"/>
          <w:sz w:val="24"/>
          <w:szCs w:val="24"/>
        </w:rPr>
        <w:t xml:space="preserve">surpassed any notion of </w:t>
      </w:r>
      <w:r w:rsidR="00316D0C">
        <w:rPr>
          <w:rFonts w:ascii="Times New Roman" w:hAnsi="Times New Roman" w:cs="Times New Roman"/>
          <w:sz w:val="24"/>
          <w:szCs w:val="24"/>
        </w:rPr>
        <w:t>lawfulness and respectability.</w:t>
      </w:r>
      <w:r w:rsidR="00316D0C">
        <w:rPr>
          <w:rStyle w:val="FootnoteReference"/>
          <w:rFonts w:ascii="Times New Roman" w:hAnsi="Times New Roman" w:cs="Times New Roman"/>
          <w:sz w:val="24"/>
          <w:szCs w:val="24"/>
        </w:rPr>
        <w:footnoteReference w:id="18"/>
      </w:r>
      <w:r w:rsidR="00316D0C">
        <w:rPr>
          <w:rFonts w:ascii="Times New Roman" w:hAnsi="Times New Roman" w:cs="Times New Roman"/>
          <w:sz w:val="24"/>
          <w:szCs w:val="24"/>
        </w:rPr>
        <w:t xml:space="preserve">  </w:t>
      </w:r>
    </w:p>
    <w:p w14:paraId="6829CDD2" w14:textId="16451881" w:rsidR="0090271A" w:rsidRDefault="0090271A" w:rsidP="009027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 xml:space="preserve"> want to</w:t>
      </w:r>
      <w:r>
        <w:rPr>
          <w:rFonts w:ascii="Times New Roman" w:hAnsi="Times New Roman" w:cs="Times New Roman"/>
          <w:sz w:val="24"/>
          <w:szCs w:val="24"/>
        </w:rPr>
        <w:t xml:space="preserve"> argue that civil rights groups were co-opted by northern race liberals such as Detroit mayor Frank Murphy as well as his opponent Bates who wanted foremost to advance their political progress and position while distancing themselves from the overt racism of Southern whites.  </w:t>
      </w:r>
      <w:proofErr w:type="gramStart"/>
      <w:r>
        <w:rPr>
          <w:rFonts w:ascii="Times New Roman" w:hAnsi="Times New Roman" w:cs="Times New Roman"/>
          <w:sz w:val="24"/>
          <w:szCs w:val="24"/>
        </w:rPr>
        <w:t>In essence, race</w:t>
      </w:r>
      <w:proofErr w:type="gramEnd"/>
      <w:r>
        <w:rPr>
          <w:rFonts w:ascii="Times New Roman" w:hAnsi="Times New Roman" w:cs="Times New Roman"/>
          <w:sz w:val="24"/>
          <w:szCs w:val="24"/>
        </w:rPr>
        <w:t xml:space="preserve"> liberals contributed to the cause by shifting discourse toward class-based arguments but were primarily unwilling to fully commit themselves to the cause of helping the black working-class.  </w:t>
      </w:r>
    </w:p>
    <w:p w14:paraId="133AE995" w14:textId="6CA81659" w:rsidR="00F73F7E" w:rsidRDefault="005B4897" w:rsidP="00F73F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Boyle </w:t>
      </w:r>
      <w:r w:rsidR="00436A8A">
        <w:rPr>
          <w:rFonts w:ascii="Times New Roman" w:hAnsi="Times New Roman" w:cs="Times New Roman"/>
          <w:sz w:val="24"/>
          <w:szCs w:val="24"/>
        </w:rPr>
        <w:t xml:space="preserve">also </w:t>
      </w:r>
      <w:r>
        <w:rPr>
          <w:rFonts w:ascii="Times New Roman" w:hAnsi="Times New Roman" w:cs="Times New Roman"/>
          <w:sz w:val="24"/>
          <w:szCs w:val="24"/>
        </w:rPr>
        <w:t>emphasizes</w:t>
      </w:r>
      <w:r w:rsidR="00CB2AEA">
        <w:rPr>
          <w:rFonts w:ascii="Times New Roman" w:hAnsi="Times New Roman" w:cs="Times New Roman"/>
          <w:sz w:val="24"/>
          <w:szCs w:val="24"/>
        </w:rPr>
        <w:t xml:space="preserve"> how northern racial liberals’ premise that integration was undesirable </w:t>
      </w:r>
      <w:r w:rsidR="009E6005">
        <w:rPr>
          <w:rFonts w:ascii="Times New Roman" w:hAnsi="Times New Roman" w:cs="Times New Roman"/>
          <w:sz w:val="24"/>
          <w:szCs w:val="24"/>
        </w:rPr>
        <w:t>wreaked havoc on their communities as well</w:t>
      </w:r>
      <w:r w:rsidR="00704286">
        <w:rPr>
          <w:rFonts w:ascii="Times New Roman" w:hAnsi="Times New Roman" w:cs="Times New Roman"/>
          <w:sz w:val="24"/>
          <w:szCs w:val="24"/>
        </w:rPr>
        <w:t xml:space="preserve">.  He recounts how real estate agents would spread the word, neighbors would leave, and property values would plummet when African-Americans tried to move into </w:t>
      </w:r>
      <w:r w:rsidR="00B6646C">
        <w:rPr>
          <w:rFonts w:ascii="Times New Roman" w:hAnsi="Times New Roman" w:cs="Times New Roman"/>
          <w:sz w:val="24"/>
          <w:szCs w:val="24"/>
        </w:rPr>
        <w:t>white neighborhoods.</w:t>
      </w:r>
      <w:r w:rsidR="00B6646C">
        <w:rPr>
          <w:rStyle w:val="FootnoteReference"/>
          <w:rFonts w:ascii="Times New Roman" w:hAnsi="Times New Roman" w:cs="Times New Roman"/>
          <w:sz w:val="24"/>
          <w:szCs w:val="24"/>
        </w:rPr>
        <w:footnoteReference w:id="19"/>
      </w:r>
      <w:r w:rsidR="00B72989">
        <w:rPr>
          <w:rFonts w:ascii="Times New Roman" w:hAnsi="Times New Roman" w:cs="Times New Roman"/>
          <w:sz w:val="24"/>
          <w:szCs w:val="24"/>
        </w:rPr>
        <w:t xml:space="preserve">  As a response to Jacquelyn Dowd Hall’s description of how civil rights has been contained, I want to </w:t>
      </w:r>
      <w:r w:rsidR="00C92701">
        <w:rPr>
          <w:rFonts w:ascii="Times New Roman" w:hAnsi="Times New Roman" w:cs="Times New Roman"/>
          <w:sz w:val="24"/>
          <w:szCs w:val="24"/>
        </w:rPr>
        <w:t>suggest</w:t>
      </w:r>
      <w:r w:rsidR="00B72989">
        <w:rPr>
          <w:rFonts w:ascii="Times New Roman" w:hAnsi="Times New Roman" w:cs="Times New Roman"/>
          <w:sz w:val="24"/>
          <w:szCs w:val="24"/>
        </w:rPr>
        <w:t xml:space="preserve"> that </w:t>
      </w:r>
      <w:r w:rsidR="00C92701">
        <w:rPr>
          <w:rFonts w:ascii="Times New Roman" w:hAnsi="Times New Roman" w:cs="Times New Roman"/>
          <w:sz w:val="24"/>
          <w:szCs w:val="24"/>
        </w:rPr>
        <w:t xml:space="preserve">all the historians we have discussed made a contribution </w:t>
      </w:r>
      <w:r w:rsidR="004D32BC">
        <w:rPr>
          <w:rFonts w:ascii="Times New Roman" w:hAnsi="Times New Roman" w:cs="Times New Roman"/>
          <w:sz w:val="24"/>
          <w:szCs w:val="24"/>
        </w:rPr>
        <w:t>to illuminating the misrepresentation of civil rights</w:t>
      </w:r>
      <w:r w:rsidR="000C1553">
        <w:rPr>
          <w:rFonts w:ascii="Times New Roman" w:hAnsi="Times New Roman" w:cs="Times New Roman"/>
          <w:sz w:val="24"/>
          <w:szCs w:val="24"/>
        </w:rPr>
        <w:t xml:space="preserve"> in popular consciousness.  By developing</w:t>
      </w:r>
      <w:r w:rsidR="004D32BC">
        <w:rPr>
          <w:rFonts w:ascii="Times New Roman" w:hAnsi="Times New Roman" w:cs="Times New Roman"/>
          <w:sz w:val="24"/>
          <w:szCs w:val="24"/>
        </w:rPr>
        <w:t xml:space="preserve"> the frameworks of anti-liberalism, northern racial liberalism</w:t>
      </w:r>
      <w:r w:rsidR="00A406D2">
        <w:rPr>
          <w:rFonts w:ascii="Times New Roman" w:hAnsi="Times New Roman" w:cs="Times New Roman"/>
          <w:sz w:val="24"/>
          <w:szCs w:val="24"/>
        </w:rPr>
        <w:t xml:space="preserve"> and an old settler mentality which resists change</w:t>
      </w:r>
      <w:r w:rsidR="0043496D">
        <w:rPr>
          <w:rFonts w:ascii="Times New Roman" w:hAnsi="Times New Roman" w:cs="Times New Roman"/>
          <w:sz w:val="24"/>
          <w:szCs w:val="24"/>
        </w:rPr>
        <w:t xml:space="preserve">, they </w:t>
      </w:r>
      <w:r w:rsidR="00F73F7E">
        <w:rPr>
          <w:rFonts w:ascii="Times New Roman" w:hAnsi="Times New Roman" w:cs="Times New Roman"/>
          <w:sz w:val="24"/>
          <w:szCs w:val="24"/>
        </w:rPr>
        <w:t xml:space="preserve">create more understanding.  </w:t>
      </w:r>
      <w:bookmarkStart w:id="0" w:name="_GoBack"/>
      <w:bookmarkEnd w:id="0"/>
    </w:p>
    <w:p w14:paraId="682ED1C4" w14:textId="146F8AB0" w:rsidR="002A7AE2" w:rsidRPr="00F73F7E" w:rsidRDefault="00F73F7E" w:rsidP="00F73F7E">
      <w:pPr>
        <w:rPr>
          <w:rFonts w:ascii="Times New Roman" w:hAnsi="Times New Roman" w:cs="Times New Roman"/>
          <w:sz w:val="24"/>
          <w:szCs w:val="24"/>
        </w:rPr>
      </w:pPr>
      <w:r>
        <w:rPr>
          <w:rFonts w:ascii="Times New Roman" w:hAnsi="Times New Roman" w:cs="Times New Roman"/>
          <w:sz w:val="24"/>
          <w:szCs w:val="24"/>
        </w:rPr>
        <w:br w:type="page"/>
      </w:r>
      <w:r w:rsidR="002A7AE2">
        <w:rPr>
          <w:rFonts w:ascii="Times New Roman" w:hAnsi="Times New Roman" w:cs="Times New Roman"/>
          <w:b/>
          <w:sz w:val="24"/>
          <w:szCs w:val="24"/>
        </w:rPr>
        <w:lastRenderedPageBreak/>
        <w:t xml:space="preserve">References:  </w:t>
      </w:r>
    </w:p>
    <w:p w14:paraId="1D9EE9E0" w14:textId="2301358A" w:rsidR="00C666D3" w:rsidRDefault="00C666D3" w:rsidP="006377D5">
      <w:pPr>
        <w:spacing w:after="0" w:line="480" w:lineRule="auto"/>
        <w:ind w:left="720" w:hanging="720"/>
        <w:rPr>
          <w:rFonts w:ascii="Times New Roman" w:hAnsi="Times New Roman" w:cs="Times New Roman"/>
          <w:sz w:val="24"/>
          <w:szCs w:val="24"/>
        </w:rPr>
      </w:pPr>
      <w:r w:rsidRPr="00C666D3">
        <w:rPr>
          <w:rFonts w:ascii="Times New Roman" w:hAnsi="Times New Roman" w:cs="Times New Roman"/>
          <w:sz w:val="24"/>
          <w:szCs w:val="24"/>
        </w:rPr>
        <w:t>Baldwin, D. (2007). </w:t>
      </w:r>
      <w:r>
        <w:rPr>
          <w:rFonts w:ascii="Times New Roman" w:hAnsi="Times New Roman" w:cs="Times New Roman"/>
          <w:sz w:val="24"/>
          <w:szCs w:val="24"/>
        </w:rPr>
        <w:t xml:space="preserve"> </w:t>
      </w:r>
      <w:r w:rsidRPr="00C666D3">
        <w:rPr>
          <w:rFonts w:ascii="Times New Roman" w:hAnsi="Times New Roman" w:cs="Times New Roman"/>
          <w:i/>
          <w:iCs/>
          <w:sz w:val="24"/>
          <w:szCs w:val="24"/>
        </w:rPr>
        <w:t>Chicago's New Negroes</w:t>
      </w:r>
      <w:r w:rsidRPr="00C666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66D3">
        <w:rPr>
          <w:rFonts w:ascii="Times New Roman" w:hAnsi="Times New Roman" w:cs="Times New Roman"/>
          <w:sz w:val="24"/>
          <w:szCs w:val="24"/>
        </w:rPr>
        <w:t>Chapel Hill: The University of North Carolina Press.</w:t>
      </w:r>
      <w:r>
        <w:rPr>
          <w:rFonts w:ascii="Times New Roman" w:hAnsi="Times New Roman" w:cs="Times New Roman"/>
          <w:sz w:val="24"/>
          <w:szCs w:val="24"/>
        </w:rPr>
        <w:t xml:space="preserve">  </w:t>
      </w:r>
    </w:p>
    <w:p w14:paraId="12EACA44" w14:textId="78DBA6E7" w:rsidR="006377D5" w:rsidRDefault="006377D5" w:rsidP="006377D5">
      <w:pPr>
        <w:spacing w:after="0" w:line="480" w:lineRule="auto"/>
        <w:ind w:left="720" w:hanging="720"/>
        <w:rPr>
          <w:rFonts w:ascii="Times New Roman" w:hAnsi="Times New Roman" w:cs="Times New Roman"/>
          <w:sz w:val="24"/>
          <w:szCs w:val="24"/>
        </w:rPr>
      </w:pPr>
      <w:r w:rsidRPr="00C20C1C">
        <w:rPr>
          <w:rFonts w:ascii="Times New Roman" w:hAnsi="Times New Roman" w:cs="Times New Roman"/>
          <w:sz w:val="24"/>
          <w:szCs w:val="24"/>
        </w:rPr>
        <w:t>Boyle, K. (2004). </w:t>
      </w:r>
      <w:r>
        <w:rPr>
          <w:rFonts w:ascii="Times New Roman" w:hAnsi="Times New Roman" w:cs="Times New Roman"/>
          <w:sz w:val="24"/>
          <w:szCs w:val="24"/>
        </w:rPr>
        <w:t xml:space="preserve"> </w:t>
      </w:r>
      <w:r w:rsidRPr="00C20C1C">
        <w:rPr>
          <w:rFonts w:ascii="Times New Roman" w:hAnsi="Times New Roman" w:cs="Times New Roman"/>
          <w:i/>
          <w:iCs/>
          <w:sz w:val="24"/>
          <w:szCs w:val="24"/>
        </w:rPr>
        <w:t>Arc of Justice - A Saga of Race, Civil Rights, and Murder in the Jazz Age</w:t>
      </w:r>
      <w:r w:rsidRPr="00C20C1C">
        <w:rPr>
          <w:rFonts w:ascii="Times New Roman" w:hAnsi="Times New Roman" w:cs="Times New Roman"/>
          <w:sz w:val="24"/>
          <w:szCs w:val="24"/>
        </w:rPr>
        <w:t>.</w:t>
      </w:r>
      <w:r>
        <w:rPr>
          <w:rFonts w:ascii="Times New Roman" w:hAnsi="Times New Roman" w:cs="Times New Roman"/>
          <w:sz w:val="24"/>
          <w:szCs w:val="24"/>
        </w:rPr>
        <w:t xml:space="preserve">  </w:t>
      </w:r>
      <w:r w:rsidRPr="00C20C1C">
        <w:rPr>
          <w:rFonts w:ascii="Times New Roman" w:hAnsi="Times New Roman" w:cs="Times New Roman"/>
          <w:sz w:val="24"/>
          <w:szCs w:val="24"/>
        </w:rPr>
        <w:t>New York: Holt and Company</w:t>
      </w:r>
      <w:r>
        <w:rPr>
          <w:rFonts w:ascii="Times New Roman" w:hAnsi="Times New Roman" w:cs="Times New Roman"/>
          <w:sz w:val="24"/>
          <w:szCs w:val="24"/>
        </w:rPr>
        <w:t xml:space="preserve">, </w:t>
      </w:r>
      <w:r w:rsidRPr="00C20C1C">
        <w:rPr>
          <w:rFonts w:ascii="Times New Roman" w:hAnsi="Times New Roman" w:cs="Times New Roman"/>
          <w:sz w:val="24"/>
          <w:szCs w:val="24"/>
        </w:rPr>
        <w:t>Picador</w:t>
      </w:r>
      <w:r>
        <w:rPr>
          <w:rFonts w:ascii="Times New Roman" w:hAnsi="Times New Roman" w:cs="Times New Roman"/>
          <w:sz w:val="24"/>
          <w:szCs w:val="24"/>
        </w:rPr>
        <w:t xml:space="preserve">.  </w:t>
      </w:r>
    </w:p>
    <w:p w14:paraId="2A4B3D08" w14:textId="2DD9FF60" w:rsidR="00DB7DC5" w:rsidRDefault="00DB7DC5" w:rsidP="006377D5">
      <w:pPr>
        <w:spacing w:after="0" w:line="480" w:lineRule="auto"/>
        <w:ind w:left="720" w:hanging="720"/>
        <w:rPr>
          <w:rFonts w:ascii="Times New Roman" w:hAnsi="Times New Roman" w:cs="Times New Roman"/>
          <w:sz w:val="24"/>
          <w:szCs w:val="24"/>
        </w:rPr>
      </w:pPr>
      <w:r w:rsidRPr="00DB7DC5">
        <w:rPr>
          <w:rFonts w:ascii="Times New Roman" w:hAnsi="Times New Roman" w:cs="Times New Roman"/>
          <w:sz w:val="24"/>
          <w:szCs w:val="24"/>
        </w:rPr>
        <w:t>Desai, M. (2014). </w:t>
      </w:r>
      <w:r>
        <w:rPr>
          <w:rFonts w:ascii="Times New Roman" w:hAnsi="Times New Roman" w:cs="Times New Roman"/>
          <w:sz w:val="24"/>
          <w:szCs w:val="24"/>
        </w:rPr>
        <w:t xml:space="preserve"> </w:t>
      </w:r>
      <w:r w:rsidRPr="00DB7DC5">
        <w:rPr>
          <w:rFonts w:ascii="Times New Roman" w:hAnsi="Times New Roman" w:cs="Times New Roman"/>
          <w:i/>
          <w:iCs/>
          <w:sz w:val="24"/>
          <w:szCs w:val="24"/>
        </w:rPr>
        <w:t xml:space="preserve">What B.R. Ambedkar Wrote to W.E.B. Du </w:t>
      </w:r>
      <w:proofErr w:type="spellStart"/>
      <w:r w:rsidRPr="00DB7DC5">
        <w:rPr>
          <w:rFonts w:ascii="Times New Roman" w:hAnsi="Times New Roman" w:cs="Times New Roman"/>
          <w:i/>
          <w:iCs/>
          <w:sz w:val="24"/>
          <w:szCs w:val="24"/>
        </w:rPr>
        <w:t>Bois</w:t>
      </w:r>
      <w:proofErr w:type="spellEnd"/>
      <w:r w:rsidRPr="00DB7DC5">
        <w:rPr>
          <w:rFonts w:ascii="Times New Roman" w:hAnsi="Times New Roman" w:cs="Times New Roman"/>
          <w:sz w:val="24"/>
          <w:szCs w:val="24"/>
        </w:rPr>
        <w:t>.</w:t>
      </w:r>
      <w:r>
        <w:rPr>
          <w:rFonts w:ascii="Times New Roman" w:hAnsi="Times New Roman" w:cs="Times New Roman"/>
          <w:sz w:val="24"/>
          <w:szCs w:val="24"/>
        </w:rPr>
        <w:t xml:space="preserve">  </w:t>
      </w:r>
      <w:r w:rsidRPr="00DB7DC5">
        <w:rPr>
          <w:rFonts w:ascii="Times New Roman" w:hAnsi="Times New Roman" w:cs="Times New Roman"/>
          <w:sz w:val="24"/>
          <w:szCs w:val="24"/>
        </w:rPr>
        <w:t>South Asian American Digital Archive (SAADA).</w:t>
      </w:r>
      <w:r>
        <w:rPr>
          <w:rFonts w:ascii="Times New Roman" w:hAnsi="Times New Roman" w:cs="Times New Roman"/>
          <w:sz w:val="24"/>
          <w:szCs w:val="24"/>
        </w:rPr>
        <w:t xml:space="preserve">  </w:t>
      </w:r>
    </w:p>
    <w:p w14:paraId="1F26DBBF" w14:textId="54055C33" w:rsidR="00BD26D0" w:rsidRDefault="00BD26D0" w:rsidP="006377D5">
      <w:pPr>
        <w:spacing w:after="0" w:line="480" w:lineRule="auto"/>
        <w:ind w:left="720" w:hanging="720"/>
        <w:rPr>
          <w:rFonts w:ascii="Times New Roman" w:hAnsi="Times New Roman" w:cs="Times New Roman"/>
          <w:sz w:val="24"/>
          <w:szCs w:val="24"/>
        </w:rPr>
      </w:pPr>
      <w:r w:rsidRPr="00BD26D0">
        <w:rPr>
          <w:rFonts w:ascii="Times New Roman" w:hAnsi="Times New Roman" w:cs="Times New Roman"/>
          <w:sz w:val="24"/>
          <w:szCs w:val="24"/>
        </w:rPr>
        <w:t>King, S. (2015). </w:t>
      </w:r>
      <w:r>
        <w:rPr>
          <w:rFonts w:ascii="Times New Roman" w:hAnsi="Times New Roman" w:cs="Times New Roman"/>
          <w:sz w:val="24"/>
          <w:szCs w:val="24"/>
        </w:rPr>
        <w:t xml:space="preserve"> </w:t>
      </w:r>
      <w:r w:rsidRPr="00BD26D0">
        <w:rPr>
          <w:rFonts w:ascii="Times New Roman" w:hAnsi="Times New Roman" w:cs="Times New Roman"/>
          <w:i/>
          <w:iCs/>
          <w:sz w:val="24"/>
          <w:szCs w:val="24"/>
        </w:rPr>
        <w:t>Whose Harlem Is this, Anyway?</w:t>
      </w:r>
      <w:r w:rsidR="004A1D78">
        <w:rPr>
          <w:rFonts w:ascii="Times New Roman" w:hAnsi="Times New Roman" w:cs="Times New Roman"/>
          <w:sz w:val="24"/>
          <w:szCs w:val="24"/>
        </w:rPr>
        <w:t xml:space="preserve">  </w:t>
      </w:r>
      <w:r w:rsidRPr="00BD26D0">
        <w:rPr>
          <w:rFonts w:ascii="Times New Roman" w:hAnsi="Times New Roman" w:cs="Times New Roman"/>
          <w:sz w:val="24"/>
          <w:szCs w:val="24"/>
        </w:rPr>
        <w:t>New York and London: New York University Press.</w:t>
      </w:r>
      <w:r>
        <w:rPr>
          <w:rFonts w:ascii="Times New Roman" w:hAnsi="Times New Roman" w:cs="Times New Roman"/>
          <w:sz w:val="24"/>
          <w:szCs w:val="24"/>
        </w:rPr>
        <w:t xml:space="preserve">   </w:t>
      </w:r>
    </w:p>
    <w:p w14:paraId="67323E51" w14:textId="3695264B" w:rsidR="002A7AE2" w:rsidRDefault="002A7AE2" w:rsidP="002A7AE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K. (2017).  </w:t>
      </w:r>
      <w:r>
        <w:rPr>
          <w:rFonts w:ascii="Times New Roman" w:hAnsi="Times New Roman" w:cs="Times New Roman"/>
          <w:i/>
          <w:iCs/>
          <w:sz w:val="24"/>
          <w:szCs w:val="24"/>
        </w:rPr>
        <w:t>Managing Inequality - Northern Racial Liberalism in Interwar Detroit</w:t>
      </w:r>
      <w:r>
        <w:rPr>
          <w:rFonts w:ascii="Times New Roman" w:hAnsi="Times New Roman" w:cs="Times New Roman"/>
          <w:sz w:val="24"/>
          <w:szCs w:val="24"/>
        </w:rPr>
        <w:t xml:space="preserve">.  New York and London: New York University Press.  </w:t>
      </w:r>
    </w:p>
    <w:p w14:paraId="0D8D9BC5" w14:textId="0CD7CC96" w:rsidR="002A7AE2" w:rsidRDefault="002A7AE2" w:rsidP="002A7AE2">
      <w:pPr>
        <w:spacing w:after="0" w:line="480" w:lineRule="auto"/>
        <w:ind w:left="720" w:hanging="720"/>
        <w:rPr>
          <w:rFonts w:ascii="Times New Roman" w:hAnsi="Times New Roman" w:cs="Times New Roman"/>
          <w:sz w:val="24"/>
          <w:szCs w:val="24"/>
        </w:rPr>
      </w:pPr>
      <w:r w:rsidRPr="002A70B5">
        <w:rPr>
          <w:rFonts w:ascii="Times New Roman" w:hAnsi="Times New Roman" w:cs="Times New Roman"/>
          <w:sz w:val="24"/>
          <w:szCs w:val="24"/>
        </w:rPr>
        <w:t>Sugrue, Thomas J.</w:t>
      </w:r>
      <w:r>
        <w:rPr>
          <w:rFonts w:ascii="Times New Roman" w:hAnsi="Times New Roman" w:cs="Times New Roman"/>
          <w:sz w:val="24"/>
          <w:szCs w:val="24"/>
        </w:rPr>
        <w:t xml:space="preserve">  </w:t>
      </w:r>
      <w:r w:rsidRPr="002A70B5">
        <w:rPr>
          <w:rFonts w:ascii="Times New Roman" w:hAnsi="Times New Roman" w:cs="Times New Roman"/>
          <w:i/>
          <w:iCs/>
          <w:sz w:val="24"/>
          <w:szCs w:val="24"/>
        </w:rPr>
        <w:t>The Origins of the Urban Crisis - Race and Inequality in Postwar Detroit</w:t>
      </w:r>
      <w:r w:rsidRPr="002A70B5">
        <w:rPr>
          <w:rFonts w:ascii="Times New Roman" w:hAnsi="Times New Roman" w:cs="Times New Roman"/>
          <w:sz w:val="24"/>
          <w:szCs w:val="24"/>
        </w:rPr>
        <w:t>.</w:t>
      </w:r>
      <w:r>
        <w:rPr>
          <w:rFonts w:ascii="Times New Roman" w:hAnsi="Times New Roman" w:cs="Times New Roman"/>
          <w:sz w:val="24"/>
          <w:szCs w:val="24"/>
        </w:rPr>
        <w:t xml:space="preserve">  </w:t>
      </w:r>
      <w:r w:rsidRPr="002A70B5">
        <w:rPr>
          <w:rFonts w:ascii="Times New Roman" w:hAnsi="Times New Roman" w:cs="Times New Roman"/>
          <w:sz w:val="24"/>
          <w:szCs w:val="24"/>
        </w:rPr>
        <w:t xml:space="preserve">1st ed. Princeton, NJ: </w:t>
      </w:r>
      <w:r>
        <w:rPr>
          <w:rFonts w:ascii="Times New Roman" w:hAnsi="Times New Roman" w:cs="Times New Roman"/>
          <w:sz w:val="24"/>
          <w:szCs w:val="24"/>
        </w:rPr>
        <w:t xml:space="preserve"> </w:t>
      </w:r>
      <w:r w:rsidRPr="002A70B5">
        <w:rPr>
          <w:rFonts w:ascii="Times New Roman" w:hAnsi="Times New Roman" w:cs="Times New Roman"/>
          <w:sz w:val="24"/>
          <w:szCs w:val="24"/>
        </w:rPr>
        <w:t>Princeton University Press, 2014.</w:t>
      </w:r>
      <w:r>
        <w:rPr>
          <w:rFonts w:ascii="Times New Roman" w:hAnsi="Times New Roman" w:cs="Times New Roman"/>
          <w:sz w:val="24"/>
          <w:szCs w:val="24"/>
        </w:rPr>
        <w:t xml:space="preserve">  </w:t>
      </w:r>
    </w:p>
    <w:p w14:paraId="317B7471" w14:textId="24908857" w:rsidR="002A7AE2" w:rsidRDefault="00BC2272" w:rsidP="00BC2272">
      <w:pPr>
        <w:spacing w:after="0" w:line="480" w:lineRule="auto"/>
        <w:ind w:left="720" w:hanging="720"/>
        <w:rPr>
          <w:rFonts w:ascii="Times New Roman" w:hAnsi="Times New Roman" w:cs="Times New Roman"/>
          <w:sz w:val="24"/>
          <w:szCs w:val="24"/>
        </w:rPr>
      </w:pPr>
      <w:r w:rsidRPr="00BC2272">
        <w:rPr>
          <w:rFonts w:ascii="Times New Roman" w:hAnsi="Times New Roman" w:cs="Times New Roman"/>
          <w:sz w:val="24"/>
          <w:szCs w:val="24"/>
        </w:rPr>
        <w:t>Wolcott, V. (2001). </w:t>
      </w:r>
      <w:r w:rsidR="006D7375">
        <w:rPr>
          <w:rFonts w:ascii="Times New Roman" w:hAnsi="Times New Roman" w:cs="Times New Roman"/>
          <w:sz w:val="24"/>
          <w:szCs w:val="24"/>
        </w:rPr>
        <w:t xml:space="preserve"> </w:t>
      </w:r>
      <w:r w:rsidRPr="00BC2272">
        <w:rPr>
          <w:rFonts w:ascii="Times New Roman" w:hAnsi="Times New Roman" w:cs="Times New Roman"/>
          <w:i/>
          <w:iCs/>
          <w:sz w:val="24"/>
          <w:szCs w:val="24"/>
        </w:rPr>
        <w:t>Remaking Respectability - African American Women in Interwar Detroit</w:t>
      </w:r>
      <w:r w:rsidRPr="00BC2272">
        <w:rPr>
          <w:rFonts w:ascii="Times New Roman" w:hAnsi="Times New Roman" w:cs="Times New Roman"/>
          <w:sz w:val="24"/>
          <w:szCs w:val="24"/>
        </w:rPr>
        <w:t>.  Chapel Hill and London: The University of North Carolina Press.  Chapter</w:t>
      </w:r>
      <w:r>
        <w:rPr>
          <w:rFonts w:ascii="Times New Roman" w:hAnsi="Times New Roman" w:cs="Times New Roman"/>
          <w:sz w:val="24"/>
          <w:szCs w:val="24"/>
        </w:rPr>
        <w:t xml:space="preserve"> </w:t>
      </w:r>
      <w:r w:rsidRPr="00BC2272">
        <w:rPr>
          <w:rFonts w:ascii="Times New Roman" w:hAnsi="Times New Roman" w:cs="Times New Roman"/>
          <w:sz w:val="24"/>
          <w:szCs w:val="24"/>
        </w:rPr>
        <w:t xml:space="preserve">4.  </w:t>
      </w:r>
    </w:p>
    <w:p w14:paraId="4885A57B" w14:textId="77777777" w:rsidR="00BC2272" w:rsidRPr="00CB4C55" w:rsidRDefault="00BC2272" w:rsidP="00BC2272">
      <w:pPr>
        <w:spacing w:after="0" w:line="480" w:lineRule="auto"/>
        <w:ind w:left="720" w:hanging="720"/>
        <w:rPr>
          <w:rFonts w:ascii="Times New Roman" w:hAnsi="Times New Roman" w:cs="Times New Roman"/>
          <w:sz w:val="24"/>
          <w:szCs w:val="24"/>
        </w:rPr>
      </w:pPr>
    </w:p>
    <w:sectPr w:rsidR="00BC2272" w:rsidRPr="00CB4C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9A35C" w14:textId="77777777" w:rsidR="00791348" w:rsidRDefault="00791348" w:rsidP="00791348">
      <w:pPr>
        <w:spacing w:after="0" w:line="240" w:lineRule="auto"/>
      </w:pPr>
      <w:r>
        <w:separator/>
      </w:r>
    </w:p>
  </w:endnote>
  <w:endnote w:type="continuationSeparator" w:id="0">
    <w:p w14:paraId="606385F4" w14:textId="77777777" w:rsidR="00791348" w:rsidRDefault="00791348" w:rsidP="00791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7E18" w14:textId="77777777" w:rsidR="00791348" w:rsidRDefault="00791348" w:rsidP="00791348">
      <w:pPr>
        <w:spacing w:after="0" w:line="240" w:lineRule="auto"/>
      </w:pPr>
      <w:r>
        <w:separator/>
      </w:r>
    </w:p>
  </w:footnote>
  <w:footnote w:type="continuationSeparator" w:id="0">
    <w:p w14:paraId="3D1CE0F9" w14:textId="77777777" w:rsidR="00791348" w:rsidRDefault="00791348" w:rsidP="00791348">
      <w:pPr>
        <w:spacing w:after="0" w:line="240" w:lineRule="auto"/>
      </w:pPr>
      <w:r>
        <w:continuationSeparator/>
      </w:r>
    </w:p>
  </w:footnote>
  <w:footnote w:id="1">
    <w:p w14:paraId="7F27AB3C" w14:textId="345CE1F7" w:rsidR="00883301" w:rsidRDefault="00883301">
      <w:pPr>
        <w:pStyle w:val="FootnoteText"/>
      </w:pPr>
      <w:r>
        <w:rPr>
          <w:rStyle w:val="FootnoteReference"/>
        </w:rPr>
        <w:footnoteRef/>
      </w:r>
      <w:r>
        <w:t xml:space="preserve"> Boyle, p. 116.  </w:t>
      </w:r>
    </w:p>
  </w:footnote>
  <w:footnote w:id="2">
    <w:p w14:paraId="15367113" w14:textId="5987881C" w:rsidR="003A2708" w:rsidRDefault="003A2708">
      <w:pPr>
        <w:pStyle w:val="FootnoteText"/>
      </w:pPr>
      <w:r>
        <w:rPr>
          <w:rStyle w:val="FootnoteReference"/>
        </w:rPr>
        <w:footnoteRef/>
      </w:r>
      <w:r>
        <w:t xml:space="preserve"> Boyle, p. 119.  </w:t>
      </w:r>
    </w:p>
  </w:footnote>
  <w:footnote w:id="3">
    <w:p w14:paraId="3C180FA4" w14:textId="055DD15D" w:rsidR="00970D19" w:rsidRDefault="00970D19">
      <w:pPr>
        <w:pStyle w:val="FootnoteText"/>
      </w:pPr>
      <w:r>
        <w:rPr>
          <w:rStyle w:val="FootnoteReference"/>
        </w:rPr>
        <w:footnoteRef/>
      </w:r>
      <w:r>
        <w:t xml:space="preserve"> Described in </w:t>
      </w:r>
      <w:r w:rsidR="009040C2">
        <w:t>Manan Desai</w:t>
      </w:r>
      <w:r w:rsidR="009040C2">
        <w:t xml:space="preserve">’s </w:t>
      </w:r>
      <w:r>
        <w:t xml:space="preserve">article </w:t>
      </w:r>
      <w:r w:rsidR="009040C2">
        <w:t xml:space="preserve">on Du </w:t>
      </w:r>
      <w:proofErr w:type="spellStart"/>
      <w:r w:rsidR="009040C2">
        <w:t>Bois</w:t>
      </w:r>
      <w:proofErr w:type="spellEnd"/>
      <w:r w:rsidR="009040C2">
        <w:t xml:space="preserve"> </w:t>
      </w:r>
    </w:p>
  </w:footnote>
  <w:footnote w:id="4">
    <w:p w14:paraId="2513651C" w14:textId="19BB256B" w:rsidR="00E32A38" w:rsidRDefault="00E32A38">
      <w:pPr>
        <w:pStyle w:val="FootnoteText"/>
      </w:pPr>
      <w:r>
        <w:rPr>
          <w:rStyle w:val="FootnoteReference"/>
        </w:rPr>
        <w:footnoteRef/>
      </w:r>
      <w:r>
        <w:t xml:space="preserve"> Miller, p. 107.  </w:t>
      </w:r>
    </w:p>
  </w:footnote>
  <w:footnote w:id="5">
    <w:p w14:paraId="022213C1" w14:textId="3324A43D" w:rsidR="00514CE9" w:rsidRDefault="00514CE9">
      <w:pPr>
        <w:pStyle w:val="FootnoteText"/>
      </w:pPr>
      <w:r>
        <w:rPr>
          <w:rStyle w:val="FootnoteReference"/>
        </w:rPr>
        <w:footnoteRef/>
      </w:r>
      <w:r>
        <w:t xml:space="preserve"> Sugrue, p. 60.  </w:t>
      </w:r>
    </w:p>
  </w:footnote>
  <w:footnote w:id="6">
    <w:p w14:paraId="0DC2E649" w14:textId="4DF6AC1F" w:rsidR="00C44AE4" w:rsidRDefault="00C44AE4">
      <w:pPr>
        <w:pStyle w:val="FootnoteText"/>
      </w:pPr>
      <w:r>
        <w:rPr>
          <w:rStyle w:val="FootnoteReference"/>
        </w:rPr>
        <w:footnoteRef/>
      </w:r>
      <w:r>
        <w:t xml:space="preserve"> Ibid., p. 264.  </w:t>
      </w:r>
    </w:p>
  </w:footnote>
  <w:footnote w:id="7">
    <w:p w14:paraId="094EA756" w14:textId="334FBBFF" w:rsidR="00004630" w:rsidRDefault="00004630">
      <w:pPr>
        <w:pStyle w:val="FootnoteText"/>
      </w:pPr>
      <w:r>
        <w:rPr>
          <w:rStyle w:val="FootnoteReference"/>
        </w:rPr>
        <w:footnoteRef/>
      </w:r>
      <w:r>
        <w:t xml:space="preserve"> Wolcott, p. 135-36.  </w:t>
      </w:r>
    </w:p>
  </w:footnote>
  <w:footnote w:id="8">
    <w:p w14:paraId="7A70E218" w14:textId="181A2AB5" w:rsidR="009B44A1" w:rsidRDefault="009B44A1">
      <w:pPr>
        <w:pStyle w:val="FootnoteText"/>
      </w:pPr>
      <w:r>
        <w:rPr>
          <w:rStyle w:val="FootnoteReference"/>
        </w:rPr>
        <w:footnoteRef/>
      </w:r>
      <w:r>
        <w:t xml:space="preserve"> Ibid., p. 144.  </w:t>
      </w:r>
    </w:p>
  </w:footnote>
  <w:footnote w:id="9">
    <w:p w14:paraId="029AC6AC" w14:textId="66DEFB1B" w:rsidR="00FD48E9" w:rsidRDefault="00FD48E9">
      <w:pPr>
        <w:pStyle w:val="FootnoteText"/>
      </w:pPr>
      <w:r>
        <w:rPr>
          <w:rStyle w:val="FootnoteReference"/>
        </w:rPr>
        <w:footnoteRef/>
      </w:r>
      <w:r>
        <w:t xml:space="preserve"> </w:t>
      </w:r>
      <w:r w:rsidR="00564595">
        <w:t xml:space="preserve">Boyle, p. 86.  </w:t>
      </w:r>
    </w:p>
  </w:footnote>
  <w:footnote w:id="10">
    <w:p w14:paraId="0366F41E" w14:textId="119A6906" w:rsidR="00BB5464" w:rsidRDefault="00BB5464">
      <w:pPr>
        <w:pStyle w:val="FootnoteText"/>
      </w:pPr>
      <w:r>
        <w:rPr>
          <w:rStyle w:val="FootnoteReference"/>
        </w:rPr>
        <w:footnoteRef/>
      </w:r>
      <w:r>
        <w:t xml:space="preserve"> Baldwin, p. 97.  </w:t>
      </w:r>
    </w:p>
  </w:footnote>
  <w:footnote w:id="11">
    <w:p w14:paraId="5C7600CC" w14:textId="417E1C3F" w:rsidR="008463F1" w:rsidRDefault="008463F1">
      <w:pPr>
        <w:pStyle w:val="FootnoteText"/>
      </w:pPr>
      <w:r>
        <w:rPr>
          <w:rStyle w:val="FootnoteReference"/>
        </w:rPr>
        <w:footnoteRef/>
      </w:r>
      <w:r>
        <w:t xml:space="preserve"> Baldwin, p. 7.  </w:t>
      </w:r>
    </w:p>
  </w:footnote>
  <w:footnote w:id="12">
    <w:p w14:paraId="26AEFBD5" w14:textId="0EE7F7F8" w:rsidR="00853226" w:rsidRDefault="00853226">
      <w:pPr>
        <w:pStyle w:val="FootnoteText"/>
      </w:pPr>
      <w:r>
        <w:rPr>
          <w:rStyle w:val="FootnoteReference"/>
        </w:rPr>
        <w:footnoteRef/>
      </w:r>
      <w:r>
        <w:t xml:space="preserve"> </w:t>
      </w:r>
      <w:r w:rsidR="00946245">
        <w:t xml:space="preserve">King, p. 69.  </w:t>
      </w:r>
    </w:p>
  </w:footnote>
  <w:footnote w:id="13">
    <w:p w14:paraId="2F972C48" w14:textId="31AB4586" w:rsidR="007D5E0E" w:rsidRDefault="007D5E0E">
      <w:pPr>
        <w:pStyle w:val="FootnoteText"/>
      </w:pPr>
      <w:r>
        <w:rPr>
          <w:rStyle w:val="FootnoteReference"/>
        </w:rPr>
        <w:footnoteRef/>
      </w:r>
      <w:r>
        <w:t xml:space="preserve"> </w:t>
      </w:r>
      <w:r w:rsidR="00BC6779">
        <w:t xml:space="preserve">Ibid., p. 127.  </w:t>
      </w:r>
    </w:p>
  </w:footnote>
  <w:footnote w:id="14">
    <w:p w14:paraId="3F28C143" w14:textId="572E9189" w:rsidR="00AE0BEB" w:rsidRDefault="00AE0BEB">
      <w:pPr>
        <w:pStyle w:val="FootnoteText"/>
      </w:pPr>
      <w:r>
        <w:rPr>
          <w:rStyle w:val="FootnoteReference"/>
        </w:rPr>
        <w:footnoteRef/>
      </w:r>
      <w:r>
        <w:t xml:space="preserve"> </w:t>
      </w:r>
      <w:r w:rsidR="0091235C">
        <w:t xml:space="preserve">Sugrue, p. 164.  </w:t>
      </w:r>
    </w:p>
  </w:footnote>
  <w:footnote w:id="15">
    <w:p w14:paraId="692D6A2A" w14:textId="28E98A78" w:rsidR="00B40C11" w:rsidRDefault="00B40C11">
      <w:pPr>
        <w:pStyle w:val="FootnoteText"/>
      </w:pPr>
      <w:r>
        <w:rPr>
          <w:rStyle w:val="FootnoteReference"/>
        </w:rPr>
        <w:footnoteRef/>
      </w:r>
      <w:r>
        <w:t xml:space="preserve"> Ibid., p. 171.  </w:t>
      </w:r>
    </w:p>
  </w:footnote>
  <w:footnote w:id="16">
    <w:p w14:paraId="4D597CF5" w14:textId="38D7BAC0" w:rsidR="00D10383" w:rsidRDefault="00D10383">
      <w:pPr>
        <w:pStyle w:val="FootnoteText"/>
      </w:pPr>
      <w:r>
        <w:rPr>
          <w:rStyle w:val="FootnoteReference"/>
        </w:rPr>
        <w:footnoteRef/>
      </w:r>
      <w:r>
        <w:t xml:space="preserve"> Miller, p. 61.  </w:t>
      </w:r>
    </w:p>
  </w:footnote>
  <w:footnote w:id="17">
    <w:p w14:paraId="11D3CD4B" w14:textId="3DD998C9" w:rsidR="007A0409" w:rsidRDefault="007A0409">
      <w:pPr>
        <w:pStyle w:val="FootnoteText"/>
      </w:pPr>
      <w:r>
        <w:rPr>
          <w:rStyle w:val="FootnoteReference"/>
        </w:rPr>
        <w:footnoteRef/>
      </w:r>
      <w:r>
        <w:t xml:space="preserve"> Boyle, p. 65.  </w:t>
      </w:r>
    </w:p>
  </w:footnote>
  <w:footnote w:id="18">
    <w:p w14:paraId="36FF34C2" w14:textId="199CF175" w:rsidR="00316D0C" w:rsidRDefault="00316D0C">
      <w:pPr>
        <w:pStyle w:val="FootnoteText"/>
      </w:pPr>
      <w:r>
        <w:rPr>
          <w:rStyle w:val="FootnoteReference"/>
        </w:rPr>
        <w:footnoteRef/>
      </w:r>
      <w:r>
        <w:t xml:space="preserve"> Boyle, p. 97.  </w:t>
      </w:r>
    </w:p>
  </w:footnote>
  <w:footnote w:id="19">
    <w:p w14:paraId="591403BD" w14:textId="09DAA875" w:rsidR="00B6646C" w:rsidRDefault="00B6646C">
      <w:pPr>
        <w:pStyle w:val="FootnoteText"/>
      </w:pPr>
      <w:r>
        <w:rPr>
          <w:rStyle w:val="FootnoteReference"/>
        </w:rPr>
        <w:footnoteRef/>
      </w:r>
      <w:r>
        <w:t xml:space="preserve"> Ibid., p. 147.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0B"/>
    <w:rsid w:val="00004630"/>
    <w:rsid w:val="00005927"/>
    <w:rsid w:val="00006CAF"/>
    <w:rsid w:val="00007F24"/>
    <w:rsid w:val="0003029F"/>
    <w:rsid w:val="00044245"/>
    <w:rsid w:val="000572F3"/>
    <w:rsid w:val="00062FA0"/>
    <w:rsid w:val="000672DB"/>
    <w:rsid w:val="000828C4"/>
    <w:rsid w:val="00083E56"/>
    <w:rsid w:val="000A7BE0"/>
    <w:rsid w:val="000B05AF"/>
    <w:rsid w:val="000B49D7"/>
    <w:rsid w:val="000B6473"/>
    <w:rsid w:val="000C1553"/>
    <w:rsid w:val="000C3A30"/>
    <w:rsid w:val="000D6A48"/>
    <w:rsid w:val="000F6654"/>
    <w:rsid w:val="000F6976"/>
    <w:rsid w:val="00114053"/>
    <w:rsid w:val="00136105"/>
    <w:rsid w:val="001428B4"/>
    <w:rsid w:val="00151170"/>
    <w:rsid w:val="001527BE"/>
    <w:rsid w:val="00154A73"/>
    <w:rsid w:val="001607CC"/>
    <w:rsid w:val="00174D33"/>
    <w:rsid w:val="00175E89"/>
    <w:rsid w:val="0018675E"/>
    <w:rsid w:val="00187AE6"/>
    <w:rsid w:val="001B156C"/>
    <w:rsid w:val="001B430C"/>
    <w:rsid w:val="001C4455"/>
    <w:rsid w:val="001D0C29"/>
    <w:rsid w:val="00212E49"/>
    <w:rsid w:val="002156F0"/>
    <w:rsid w:val="00221F82"/>
    <w:rsid w:val="00224F14"/>
    <w:rsid w:val="00233825"/>
    <w:rsid w:val="00233C74"/>
    <w:rsid w:val="00243F34"/>
    <w:rsid w:val="002505B2"/>
    <w:rsid w:val="00254965"/>
    <w:rsid w:val="00271B3E"/>
    <w:rsid w:val="00284D9B"/>
    <w:rsid w:val="0029323B"/>
    <w:rsid w:val="00295DD5"/>
    <w:rsid w:val="002A4E93"/>
    <w:rsid w:val="002A5ACC"/>
    <w:rsid w:val="002A7AE2"/>
    <w:rsid w:val="002E1C56"/>
    <w:rsid w:val="002E4511"/>
    <w:rsid w:val="002F2C59"/>
    <w:rsid w:val="0031025E"/>
    <w:rsid w:val="00316D0C"/>
    <w:rsid w:val="00322757"/>
    <w:rsid w:val="00330AAC"/>
    <w:rsid w:val="00330C8A"/>
    <w:rsid w:val="003335FA"/>
    <w:rsid w:val="00337641"/>
    <w:rsid w:val="0034741F"/>
    <w:rsid w:val="0036759F"/>
    <w:rsid w:val="003971AC"/>
    <w:rsid w:val="003A2708"/>
    <w:rsid w:val="003B3C49"/>
    <w:rsid w:val="003B59D2"/>
    <w:rsid w:val="003C2A6A"/>
    <w:rsid w:val="003D5BC9"/>
    <w:rsid w:val="003E00B1"/>
    <w:rsid w:val="00402215"/>
    <w:rsid w:val="00404517"/>
    <w:rsid w:val="00413DC0"/>
    <w:rsid w:val="00420C4E"/>
    <w:rsid w:val="004228CD"/>
    <w:rsid w:val="00423574"/>
    <w:rsid w:val="00430496"/>
    <w:rsid w:val="0043267F"/>
    <w:rsid w:val="0043496D"/>
    <w:rsid w:val="00434BA3"/>
    <w:rsid w:val="00435A22"/>
    <w:rsid w:val="0043658F"/>
    <w:rsid w:val="00436A8A"/>
    <w:rsid w:val="00460FF6"/>
    <w:rsid w:val="00473380"/>
    <w:rsid w:val="0047718A"/>
    <w:rsid w:val="0049766D"/>
    <w:rsid w:val="004A0991"/>
    <w:rsid w:val="004A1D78"/>
    <w:rsid w:val="004A30AE"/>
    <w:rsid w:val="004A4192"/>
    <w:rsid w:val="004A581B"/>
    <w:rsid w:val="004A79FE"/>
    <w:rsid w:val="004D10EA"/>
    <w:rsid w:val="004D32BC"/>
    <w:rsid w:val="004F2FD2"/>
    <w:rsid w:val="005002A0"/>
    <w:rsid w:val="0050471B"/>
    <w:rsid w:val="0050666C"/>
    <w:rsid w:val="00513BEF"/>
    <w:rsid w:val="00514CE9"/>
    <w:rsid w:val="00534229"/>
    <w:rsid w:val="00535C24"/>
    <w:rsid w:val="00541AE4"/>
    <w:rsid w:val="00545BDA"/>
    <w:rsid w:val="00564595"/>
    <w:rsid w:val="00566F92"/>
    <w:rsid w:val="00577F30"/>
    <w:rsid w:val="00592356"/>
    <w:rsid w:val="0059590E"/>
    <w:rsid w:val="005A4C16"/>
    <w:rsid w:val="005B3A41"/>
    <w:rsid w:val="005B4897"/>
    <w:rsid w:val="005D004F"/>
    <w:rsid w:val="005D022D"/>
    <w:rsid w:val="005D0DBF"/>
    <w:rsid w:val="005E2C18"/>
    <w:rsid w:val="005F69E2"/>
    <w:rsid w:val="00606F13"/>
    <w:rsid w:val="006377D5"/>
    <w:rsid w:val="006400BC"/>
    <w:rsid w:val="00643F4A"/>
    <w:rsid w:val="006650B2"/>
    <w:rsid w:val="006718DD"/>
    <w:rsid w:val="00671C78"/>
    <w:rsid w:val="00673BB9"/>
    <w:rsid w:val="006758B0"/>
    <w:rsid w:val="0067765B"/>
    <w:rsid w:val="0068535A"/>
    <w:rsid w:val="00693904"/>
    <w:rsid w:val="00694480"/>
    <w:rsid w:val="006956D0"/>
    <w:rsid w:val="006B0AF8"/>
    <w:rsid w:val="006D7375"/>
    <w:rsid w:val="00704286"/>
    <w:rsid w:val="00705FE3"/>
    <w:rsid w:val="00714898"/>
    <w:rsid w:val="007309D7"/>
    <w:rsid w:val="007336F1"/>
    <w:rsid w:val="00737936"/>
    <w:rsid w:val="00750EE5"/>
    <w:rsid w:val="00785DF7"/>
    <w:rsid w:val="00785F07"/>
    <w:rsid w:val="00791348"/>
    <w:rsid w:val="007966EA"/>
    <w:rsid w:val="007A0409"/>
    <w:rsid w:val="007A3DF1"/>
    <w:rsid w:val="007A6DDF"/>
    <w:rsid w:val="007C7420"/>
    <w:rsid w:val="007D1F10"/>
    <w:rsid w:val="007D5E0E"/>
    <w:rsid w:val="007D66CA"/>
    <w:rsid w:val="007E3792"/>
    <w:rsid w:val="007E4A0E"/>
    <w:rsid w:val="007F3938"/>
    <w:rsid w:val="00823484"/>
    <w:rsid w:val="008236B0"/>
    <w:rsid w:val="00830577"/>
    <w:rsid w:val="008358F0"/>
    <w:rsid w:val="00837E56"/>
    <w:rsid w:val="008463F1"/>
    <w:rsid w:val="00853226"/>
    <w:rsid w:val="0086047C"/>
    <w:rsid w:val="00864BD5"/>
    <w:rsid w:val="00871F79"/>
    <w:rsid w:val="00874C1C"/>
    <w:rsid w:val="00875085"/>
    <w:rsid w:val="00883301"/>
    <w:rsid w:val="00895007"/>
    <w:rsid w:val="008A3C69"/>
    <w:rsid w:val="008B1A9B"/>
    <w:rsid w:val="008B456D"/>
    <w:rsid w:val="008B5E9C"/>
    <w:rsid w:val="008D78F7"/>
    <w:rsid w:val="008E1EB6"/>
    <w:rsid w:val="008F04DE"/>
    <w:rsid w:val="008F2A94"/>
    <w:rsid w:val="0090271A"/>
    <w:rsid w:val="009040C2"/>
    <w:rsid w:val="0091235C"/>
    <w:rsid w:val="00916FF8"/>
    <w:rsid w:val="00917E0B"/>
    <w:rsid w:val="00946245"/>
    <w:rsid w:val="009574EB"/>
    <w:rsid w:val="00970D19"/>
    <w:rsid w:val="0099544C"/>
    <w:rsid w:val="009A73F6"/>
    <w:rsid w:val="009B44A1"/>
    <w:rsid w:val="009C25EC"/>
    <w:rsid w:val="009C4256"/>
    <w:rsid w:val="009D7020"/>
    <w:rsid w:val="009E6005"/>
    <w:rsid w:val="009F27D5"/>
    <w:rsid w:val="009F53D7"/>
    <w:rsid w:val="00A113A3"/>
    <w:rsid w:val="00A11445"/>
    <w:rsid w:val="00A20331"/>
    <w:rsid w:val="00A406D2"/>
    <w:rsid w:val="00A434CD"/>
    <w:rsid w:val="00A473D2"/>
    <w:rsid w:val="00A51777"/>
    <w:rsid w:val="00A7278A"/>
    <w:rsid w:val="00A735E2"/>
    <w:rsid w:val="00A73C47"/>
    <w:rsid w:val="00AB660E"/>
    <w:rsid w:val="00AC6240"/>
    <w:rsid w:val="00AE0BEB"/>
    <w:rsid w:val="00AE5B4B"/>
    <w:rsid w:val="00AF27D4"/>
    <w:rsid w:val="00AF5CE7"/>
    <w:rsid w:val="00B03871"/>
    <w:rsid w:val="00B210C5"/>
    <w:rsid w:val="00B2541A"/>
    <w:rsid w:val="00B40C11"/>
    <w:rsid w:val="00B44B33"/>
    <w:rsid w:val="00B471EB"/>
    <w:rsid w:val="00B624B6"/>
    <w:rsid w:val="00B63985"/>
    <w:rsid w:val="00B6646C"/>
    <w:rsid w:val="00B72989"/>
    <w:rsid w:val="00B87218"/>
    <w:rsid w:val="00B93008"/>
    <w:rsid w:val="00B9536F"/>
    <w:rsid w:val="00B97533"/>
    <w:rsid w:val="00BA308E"/>
    <w:rsid w:val="00BA76F1"/>
    <w:rsid w:val="00BB140C"/>
    <w:rsid w:val="00BB4B08"/>
    <w:rsid w:val="00BB5464"/>
    <w:rsid w:val="00BB79AB"/>
    <w:rsid w:val="00BC2272"/>
    <w:rsid w:val="00BC4156"/>
    <w:rsid w:val="00BC6779"/>
    <w:rsid w:val="00BD0CA6"/>
    <w:rsid w:val="00BD224A"/>
    <w:rsid w:val="00BD26D0"/>
    <w:rsid w:val="00BD3572"/>
    <w:rsid w:val="00BD3C4D"/>
    <w:rsid w:val="00BE29BF"/>
    <w:rsid w:val="00BE6452"/>
    <w:rsid w:val="00C12AF9"/>
    <w:rsid w:val="00C215C6"/>
    <w:rsid w:val="00C341F4"/>
    <w:rsid w:val="00C370A4"/>
    <w:rsid w:val="00C44AE4"/>
    <w:rsid w:val="00C528B1"/>
    <w:rsid w:val="00C56FD2"/>
    <w:rsid w:val="00C666D3"/>
    <w:rsid w:val="00C7180E"/>
    <w:rsid w:val="00C83CAB"/>
    <w:rsid w:val="00C92701"/>
    <w:rsid w:val="00CA1793"/>
    <w:rsid w:val="00CA5C95"/>
    <w:rsid w:val="00CA6F28"/>
    <w:rsid w:val="00CB0D3D"/>
    <w:rsid w:val="00CB2AEA"/>
    <w:rsid w:val="00CB3681"/>
    <w:rsid w:val="00CB4C55"/>
    <w:rsid w:val="00CB5465"/>
    <w:rsid w:val="00CB60AB"/>
    <w:rsid w:val="00CD3B6A"/>
    <w:rsid w:val="00CF47EB"/>
    <w:rsid w:val="00D079A6"/>
    <w:rsid w:val="00D10383"/>
    <w:rsid w:val="00D1419D"/>
    <w:rsid w:val="00D23A3A"/>
    <w:rsid w:val="00D41C8B"/>
    <w:rsid w:val="00D45F37"/>
    <w:rsid w:val="00D5145F"/>
    <w:rsid w:val="00D53D3C"/>
    <w:rsid w:val="00D54F45"/>
    <w:rsid w:val="00D5658E"/>
    <w:rsid w:val="00D6561A"/>
    <w:rsid w:val="00D7623E"/>
    <w:rsid w:val="00D91674"/>
    <w:rsid w:val="00D921D5"/>
    <w:rsid w:val="00DA2D09"/>
    <w:rsid w:val="00DA76F3"/>
    <w:rsid w:val="00DB7DC5"/>
    <w:rsid w:val="00DD1311"/>
    <w:rsid w:val="00DD72D4"/>
    <w:rsid w:val="00DE712E"/>
    <w:rsid w:val="00E02E8C"/>
    <w:rsid w:val="00E17137"/>
    <w:rsid w:val="00E22F37"/>
    <w:rsid w:val="00E32A38"/>
    <w:rsid w:val="00E36D59"/>
    <w:rsid w:val="00E43800"/>
    <w:rsid w:val="00E4459F"/>
    <w:rsid w:val="00E47FCB"/>
    <w:rsid w:val="00E53A04"/>
    <w:rsid w:val="00E57FB1"/>
    <w:rsid w:val="00E65284"/>
    <w:rsid w:val="00E6713A"/>
    <w:rsid w:val="00E800DE"/>
    <w:rsid w:val="00E87DAE"/>
    <w:rsid w:val="00E90AD2"/>
    <w:rsid w:val="00EA0627"/>
    <w:rsid w:val="00EA1B33"/>
    <w:rsid w:val="00EB466F"/>
    <w:rsid w:val="00EC0B7E"/>
    <w:rsid w:val="00EE4A95"/>
    <w:rsid w:val="00EE79CD"/>
    <w:rsid w:val="00EF18F1"/>
    <w:rsid w:val="00F10A87"/>
    <w:rsid w:val="00F21837"/>
    <w:rsid w:val="00F262CD"/>
    <w:rsid w:val="00F34041"/>
    <w:rsid w:val="00F3426C"/>
    <w:rsid w:val="00F6536C"/>
    <w:rsid w:val="00F65886"/>
    <w:rsid w:val="00F70053"/>
    <w:rsid w:val="00F72743"/>
    <w:rsid w:val="00F73F7E"/>
    <w:rsid w:val="00F75FA6"/>
    <w:rsid w:val="00F8287C"/>
    <w:rsid w:val="00F853C3"/>
    <w:rsid w:val="00FA0A0F"/>
    <w:rsid w:val="00FA44E5"/>
    <w:rsid w:val="00FC3065"/>
    <w:rsid w:val="00FD48E9"/>
    <w:rsid w:val="00FE42A7"/>
    <w:rsid w:val="00FE762C"/>
    <w:rsid w:val="00FE77EF"/>
    <w:rsid w:val="00FF20EB"/>
    <w:rsid w:val="00FF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76AA"/>
  <w15:chartTrackingRefBased/>
  <w15:docId w15:val="{7E819CBE-14FD-48D5-8B7E-55AA5889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1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5E9C"/>
  </w:style>
  <w:style w:type="character" w:customStyle="1" w:styleId="DateChar">
    <w:name w:val="Date Char"/>
    <w:basedOn w:val="DefaultParagraphFont"/>
    <w:link w:val="Date"/>
    <w:uiPriority w:val="99"/>
    <w:semiHidden/>
    <w:rsid w:val="008B5E9C"/>
  </w:style>
  <w:style w:type="paragraph" w:styleId="FootnoteText">
    <w:name w:val="footnote text"/>
    <w:basedOn w:val="Normal"/>
    <w:link w:val="FootnoteTextChar"/>
    <w:uiPriority w:val="99"/>
    <w:semiHidden/>
    <w:unhideWhenUsed/>
    <w:rsid w:val="007913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348"/>
    <w:rPr>
      <w:sz w:val="20"/>
      <w:szCs w:val="20"/>
    </w:rPr>
  </w:style>
  <w:style w:type="character" w:styleId="FootnoteReference">
    <w:name w:val="footnote reference"/>
    <w:basedOn w:val="DefaultParagraphFont"/>
    <w:uiPriority w:val="99"/>
    <w:semiHidden/>
    <w:unhideWhenUsed/>
    <w:rsid w:val="007913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332</cp:revision>
  <dcterms:created xsi:type="dcterms:W3CDTF">2019-03-15T02:53:00Z</dcterms:created>
  <dcterms:modified xsi:type="dcterms:W3CDTF">2019-03-18T22:00:00Z</dcterms:modified>
</cp:coreProperties>
</file>