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B61F" w14:textId="7EAC9E73" w:rsidR="00A80C9B" w:rsidRDefault="00EA7968" w:rsidP="004028C1">
      <w:pPr>
        <w:jc w:val="center"/>
      </w:pPr>
      <w:r>
        <w:t xml:space="preserve">An Investigation into the </w:t>
      </w:r>
      <w:r w:rsidR="00292B6C">
        <w:t>Learning</w:t>
      </w:r>
      <w:r w:rsidR="00CF3E2A">
        <w:t>s of Social Constructivism</w:t>
      </w:r>
    </w:p>
    <w:p w14:paraId="535DC7AE" w14:textId="22642FC2" w:rsidR="004B3B7B" w:rsidRDefault="004B3B7B" w:rsidP="00FB36AA">
      <w:pPr>
        <w:spacing w:line="480" w:lineRule="auto"/>
      </w:pPr>
    </w:p>
    <w:p w14:paraId="7888E709" w14:textId="6C18601E" w:rsidR="008D1F45" w:rsidRDefault="008D1F45" w:rsidP="00FB36AA">
      <w:pPr>
        <w:spacing w:line="480" w:lineRule="auto"/>
      </w:pPr>
      <w:r>
        <w:tab/>
      </w:r>
      <w:r w:rsidR="005F1FAD">
        <w:t>My interest in social constructivism</w:t>
      </w:r>
      <w:r w:rsidR="009E6FAF">
        <w:t xml:space="preserve"> (</w:t>
      </w:r>
      <w:r w:rsidR="005F1FAD">
        <w:t xml:space="preserve">which began with our discussion of Lakatos and how mathematical proofs are not fully understood </w:t>
      </w:r>
      <w:r w:rsidR="005F7B48">
        <w:t>without regarding</w:t>
      </w:r>
      <w:r w:rsidR="005F1FAD">
        <w:t xml:space="preserve"> their historical context</w:t>
      </w:r>
      <w:r w:rsidR="009E6FAF">
        <w:t xml:space="preserve">) </w:t>
      </w:r>
      <w:r w:rsidR="00507F03">
        <w:t xml:space="preserve">aims to </w:t>
      </w:r>
      <w:r w:rsidR="00C40681">
        <w:t>determine the extent of objectivity</w:t>
      </w:r>
      <w:r w:rsidR="007C58C9">
        <w:t xml:space="preserve"> in math</w:t>
      </w:r>
      <w:r w:rsidR="00C40681">
        <w:t xml:space="preserve">, </w:t>
      </w:r>
      <w:r w:rsidR="007F48E5">
        <w:t>the purpose of social constructivism, and its applications.</w:t>
      </w:r>
      <w:r w:rsidR="0064642F">
        <w:t xml:space="preserve">  In </w:t>
      </w:r>
      <w:r w:rsidR="00450E05">
        <w:t xml:space="preserve">his </w:t>
      </w:r>
      <w:r w:rsidR="0064642F">
        <w:t xml:space="preserve">article </w:t>
      </w:r>
      <w:r w:rsidR="00263FCA">
        <w:rPr>
          <w:i/>
        </w:rPr>
        <w:t xml:space="preserve">Aphorism and Critical Mathematics Education </w:t>
      </w:r>
      <w:r w:rsidR="0064642F">
        <w:t xml:space="preserve">which delineates the </w:t>
      </w:r>
      <w:r w:rsidR="006D00E0">
        <w:t>problems with</w:t>
      </w:r>
      <w:r w:rsidR="007C58C9">
        <w:t>in</w:t>
      </w:r>
      <w:r w:rsidR="006D00E0">
        <w:t xml:space="preserve"> scientific rationality (rational constructivism), </w:t>
      </w:r>
      <w:proofErr w:type="spellStart"/>
      <w:r w:rsidR="00FA1D31">
        <w:t>Skovsmose</w:t>
      </w:r>
      <w:proofErr w:type="spellEnd"/>
      <w:r w:rsidR="00FA1D31">
        <w:t xml:space="preserve"> writes </w:t>
      </w:r>
      <w:r w:rsidR="006D00E0">
        <w:t xml:space="preserve">that </w:t>
      </w:r>
      <w:r w:rsidR="0064642F">
        <w:t>modern authors’ (including Lakatos</w:t>
      </w:r>
      <w:r w:rsidR="00522007">
        <w:t>’</w:t>
      </w:r>
      <w:r w:rsidR="0064642F">
        <w:t xml:space="preserve"> and Wittgenstein</w:t>
      </w:r>
      <w:r w:rsidR="00522007">
        <w:t>’s</w:t>
      </w:r>
      <w:r w:rsidR="0064642F">
        <w:t>) work</w:t>
      </w:r>
      <w:r w:rsidR="00D12E2F">
        <w:t>s</w:t>
      </w:r>
      <w:r w:rsidR="0064642F">
        <w:t xml:space="preserve"> on social constructivism</w:t>
      </w:r>
      <w:r w:rsidR="00D12E2F">
        <w:t xml:space="preserve"> </w:t>
      </w:r>
      <w:r w:rsidR="00522007">
        <w:t>are “internalist”</w:t>
      </w:r>
      <w:r w:rsidR="00D12E2F">
        <w:t xml:space="preserve"> and ignore the critical social function of mathematics</w:t>
      </w:r>
      <w:r w:rsidR="00A33450">
        <w:rPr>
          <w:rStyle w:val="FootnoteReference"/>
        </w:rPr>
        <w:footnoteReference w:id="1"/>
      </w:r>
      <w:r w:rsidR="00FA1D31">
        <w:t xml:space="preserve">.  </w:t>
      </w:r>
      <w:r w:rsidR="00692A7A">
        <w:t xml:space="preserve">His conception of </w:t>
      </w:r>
      <w:r w:rsidR="00703DFE">
        <w:t xml:space="preserve">social </w:t>
      </w:r>
      <w:r w:rsidR="00D74651">
        <w:t>constructivism is that it should not just account for math and math knowledge naturalistically</w:t>
      </w:r>
      <w:r w:rsidR="00D74651">
        <w:rPr>
          <w:rStyle w:val="FootnoteReference"/>
        </w:rPr>
        <w:footnoteReference w:id="2"/>
      </w:r>
      <w:r w:rsidR="00B727B9">
        <w:t xml:space="preserve">; </w:t>
      </w:r>
      <w:r w:rsidR="009A6E0B">
        <w:t xml:space="preserve">it needs to support students’ education </w:t>
      </w:r>
      <w:r w:rsidR="00B14174">
        <w:t>not only in the construction of ‘proper’ mathematical knowledge but also in challenging th</w:t>
      </w:r>
      <w:r w:rsidR="001F3949">
        <w:t xml:space="preserve">e socially acceptable </w:t>
      </w:r>
      <w:r w:rsidR="00584832">
        <w:t xml:space="preserve">paradigm </w:t>
      </w:r>
      <w:r w:rsidR="002B4B1D">
        <w:t>of optimism in science which stems from the internalist conception of mathematics (rational constructivism)</w:t>
      </w:r>
      <w:r w:rsidR="002B4B1D">
        <w:rPr>
          <w:rStyle w:val="FootnoteReference"/>
        </w:rPr>
        <w:footnoteReference w:id="3"/>
      </w:r>
      <w:r w:rsidR="002B4B1D">
        <w:t xml:space="preserve">.  </w:t>
      </w:r>
    </w:p>
    <w:p w14:paraId="6A38808C" w14:textId="09057C43" w:rsidR="00EE4744" w:rsidRDefault="00EE4744" w:rsidP="00FB36AA">
      <w:pPr>
        <w:spacing w:line="480" w:lineRule="auto"/>
      </w:pPr>
      <w:r>
        <w:tab/>
        <w:t xml:space="preserve">Furthermore, I believe that it would be helpful to define social constructivism – </w:t>
      </w:r>
      <w:r w:rsidR="00EB6DDF">
        <w:t xml:space="preserve">in its most basic terms (as defined by </w:t>
      </w:r>
      <w:r w:rsidR="00321D08">
        <w:t xml:space="preserve">the subjectivist </w:t>
      </w:r>
      <w:r w:rsidR="00EB6DDF">
        <w:t>Ernest) mathematics is a social construct</w:t>
      </w:r>
      <w:r w:rsidR="007C7376">
        <w:t xml:space="preserve">, and we cannot ignore the role </w:t>
      </w:r>
      <w:r w:rsidR="00B557B1">
        <w:t xml:space="preserve">which linguistics, </w:t>
      </w:r>
      <w:r w:rsidR="00243B54">
        <w:t xml:space="preserve">interpersonal </w:t>
      </w:r>
      <w:r w:rsidR="00EC2E0D">
        <w:t xml:space="preserve">processes </w:t>
      </w:r>
      <w:r w:rsidR="000C75BB">
        <w:t xml:space="preserve">(which turn subjective </w:t>
      </w:r>
      <w:r w:rsidR="007935FD">
        <w:t>discoveries</w:t>
      </w:r>
      <w:r w:rsidR="000C75BB">
        <w:t xml:space="preserve"> into </w:t>
      </w:r>
      <w:r w:rsidR="007935FD">
        <w:t>widely-</w:t>
      </w:r>
      <w:r w:rsidR="000C75BB">
        <w:t>accepted objective knowledge) and social objectivity play in</w:t>
      </w:r>
      <w:r w:rsidR="00EA5FF4">
        <w:t xml:space="preserve"> </w:t>
      </w:r>
      <w:r w:rsidR="007935FD">
        <w:t>mathematical knowledge</w:t>
      </w:r>
      <w:r w:rsidR="003274A6">
        <w:rPr>
          <w:rStyle w:val="FootnoteReference"/>
        </w:rPr>
        <w:footnoteReference w:id="4"/>
      </w:r>
      <w:r w:rsidR="008F4F7A">
        <w:t xml:space="preserve">.  </w:t>
      </w:r>
      <w:r w:rsidR="006C6493">
        <w:t xml:space="preserve">Specifically, Ernest extends </w:t>
      </w:r>
      <w:r w:rsidR="00AA0303">
        <w:t xml:space="preserve">the importance of </w:t>
      </w:r>
      <w:r w:rsidR="006C6493">
        <w:t>Lakatos’ philosophical position</w:t>
      </w:r>
      <w:r w:rsidR="00F14A83">
        <w:t xml:space="preserve"> – that is, </w:t>
      </w:r>
      <w:r w:rsidR="00082638">
        <w:t xml:space="preserve">math is fallible and socially constructed – to </w:t>
      </w:r>
      <w:r w:rsidR="00AA0303">
        <w:t xml:space="preserve">the realm of </w:t>
      </w:r>
      <w:r w:rsidR="0005528F">
        <w:t>education</w:t>
      </w:r>
      <w:r w:rsidR="00CC52F2">
        <w:t xml:space="preserve"> by</w:t>
      </w:r>
      <w:r w:rsidR="0005528F">
        <w:t xml:space="preserve"> arguing that </w:t>
      </w:r>
      <w:r w:rsidR="00C81169">
        <w:t xml:space="preserve">teachers and students </w:t>
      </w:r>
      <w:r w:rsidR="009D3F97">
        <w:t>should engage in</w:t>
      </w:r>
      <w:r w:rsidR="00CC52F2">
        <w:t xml:space="preserve"> more</w:t>
      </w:r>
      <w:r w:rsidR="009D3F97">
        <w:t xml:space="preserve"> dialogue</w:t>
      </w:r>
      <w:r w:rsidR="009D3F97">
        <w:rPr>
          <w:rStyle w:val="FootnoteReference"/>
        </w:rPr>
        <w:footnoteReference w:id="5"/>
      </w:r>
      <w:r w:rsidR="00A50B72">
        <w:t xml:space="preserve">.  </w:t>
      </w:r>
      <w:r w:rsidR="00A86F13">
        <w:t xml:space="preserve">An interesting topic of note also in this article is the subject of Ramanujan who seemingly came up with profound mathematical knowledge with no socially constructed basis.  </w:t>
      </w:r>
    </w:p>
    <w:p w14:paraId="5CDA4233" w14:textId="0DB7C7F2" w:rsidR="008A66AB" w:rsidRDefault="008A66AB" w:rsidP="00FB36AA">
      <w:pPr>
        <w:spacing w:line="480" w:lineRule="auto"/>
      </w:pPr>
      <w:r>
        <w:tab/>
        <w:t>Lakatos takes several crucial steps to address the problem of mathematical certainty; the dogmatists would continue to assert that we can achieve some probabilistic degree of certainty in any theorem</w:t>
      </w:r>
      <w:r w:rsidR="00C027C5">
        <w:t>,</w:t>
      </w:r>
      <w:r>
        <w:t xml:space="preserve"> but this claim seems to be a fallback on the notion of redefining certainty as exemplified in Lakatos’ book.  </w:t>
      </w:r>
      <w:r w:rsidR="00481807">
        <w:t>There’s also an</w:t>
      </w:r>
      <w:r w:rsidR="009D2628">
        <w:t>other</w:t>
      </w:r>
      <w:r w:rsidR="00481807">
        <w:t xml:space="preserve"> article about this topic</w:t>
      </w:r>
      <w:r w:rsidR="009D2628">
        <w:t xml:space="preserve"> (written by Paul Ernest)</w:t>
      </w:r>
      <w:r w:rsidR="00481807">
        <w:t xml:space="preserve"> </w:t>
      </w:r>
      <w:r w:rsidR="009D2628">
        <w:t xml:space="preserve">which </w:t>
      </w:r>
      <w:r w:rsidR="00481807">
        <w:t xml:space="preserve">strikes me as important because it addresses the concept of familiarity mentioned in class.  </w:t>
      </w:r>
      <w:r w:rsidR="009D2628">
        <w:t xml:space="preserve">From Ernest’s perspective, </w:t>
      </w:r>
      <w:r w:rsidR="007D360B">
        <w:t xml:space="preserve">mathematical calculations like those we see in calculus </w:t>
      </w:r>
      <w:r w:rsidR="004B39B7">
        <w:t xml:space="preserve">basically require invariance (and hence a false sense of certainty) in order to achieve their </w:t>
      </w:r>
      <w:r w:rsidR="00C85D50">
        <w:t>social goals</w:t>
      </w:r>
      <w:r w:rsidR="00C85D50">
        <w:rPr>
          <w:rStyle w:val="FootnoteReference"/>
        </w:rPr>
        <w:footnoteReference w:id="6"/>
      </w:r>
      <w:r w:rsidR="004B39B7">
        <w:t xml:space="preserve"> – </w:t>
      </w:r>
      <w:r w:rsidR="00153EAD">
        <w:t xml:space="preserve">mathematical objects such as numbers, functions and even group theory have been so static and we have become so familiar with them over the centuries that they </w:t>
      </w:r>
      <w:r w:rsidR="006335A2">
        <w:t xml:space="preserve">only </w:t>
      </w:r>
      <w:r w:rsidR="00153EAD">
        <w:t xml:space="preserve">seem </w:t>
      </w:r>
      <w:r w:rsidR="00131451">
        <w:t xml:space="preserve">to be certain.  </w:t>
      </w:r>
    </w:p>
    <w:p w14:paraId="7C801791" w14:textId="46AAFFFC" w:rsidR="00131451" w:rsidRDefault="00131451" w:rsidP="00FB36AA">
      <w:pPr>
        <w:spacing w:line="480" w:lineRule="auto"/>
      </w:pPr>
      <w:r>
        <w:tab/>
      </w:r>
      <w:proofErr w:type="gramStart"/>
      <w:r w:rsidR="006335A2">
        <w:t>In reality, we</w:t>
      </w:r>
      <w:proofErr w:type="gramEnd"/>
      <w:r w:rsidR="006335A2">
        <w:t xml:space="preserve"> see from </w:t>
      </w:r>
      <w:r>
        <w:t xml:space="preserve">Ernest (as a key figure in social constructivism) </w:t>
      </w:r>
      <w:r w:rsidR="004B2CB3">
        <w:t xml:space="preserve">that mathematics smoothens uncertainty and </w:t>
      </w:r>
      <w:r w:rsidR="00CD4C59">
        <w:t>appropriates concepts which are troubling and may seem contradictory via the method of proof and the way mathematics continues to be taught in schools</w:t>
      </w:r>
      <w:r w:rsidR="00CD4C59">
        <w:rPr>
          <w:rStyle w:val="FootnoteReference"/>
        </w:rPr>
        <w:footnoteReference w:id="7"/>
      </w:r>
      <w:r w:rsidR="002F7694">
        <w:t xml:space="preserve">.  Furthermore, </w:t>
      </w:r>
      <w:r w:rsidR="00084857">
        <w:t xml:space="preserve">a lot of mathematical </w:t>
      </w:r>
      <w:r w:rsidR="00C1173D">
        <w:t xml:space="preserve">problems become nonsensical when we look at them closely.  We talked about this in class extensively, with the picture frame and tunnels and other </w:t>
      </w:r>
      <w:r w:rsidR="00AA42AA">
        <w:t>figure</w:t>
      </w:r>
      <w:r w:rsidR="00C1173D">
        <w:t xml:space="preserve">s </w:t>
      </w:r>
      <w:r w:rsidR="00AA42AA">
        <w:t xml:space="preserve">which </w:t>
      </w:r>
      <w:r w:rsidR="00C1173D">
        <w:t xml:space="preserve">reduce the definition of polyhedra to absurdity.  </w:t>
      </w:r>
      <w:r w:rsidR="00E1342A">
        <w:t xml:space="preserve">The boundaries of mathematical certainty are always fuzzy – we as human beings </w:t>
      </w:r>
      <w:proofErr w:type="gramStart"/>
      <w:r w:rsidR="00E1342A">
        <w:t>have to</w:t>
      </w:r>
      <w:proofErr w:type="gramEnd"/>
      <w:r w:rsidR="00E1342A">
        <w:t xml:space="preserve"> engage in continuous dialogue in order to achieve something close to certainty (as the </w:t>
      </w:r>
      <w:r w:rsidR="00E1342A">
        <w:lastRenderedPageBreak/>
        <w:t xml:space="preserve">ancient philosophers Plato and Aristotle already knew).  </w:t>
      </w:r>
      <w:r w:rsidR="008E32C8">
        <w:t xml:space="preserve">We concluded that mathematical truth is not absolute but is only necessarily true because the entire foundation of certain branches of math such as set theory rely on hidden assumptions </w:t>
      </w:r>
      <w:r w:rsidR="00FA704B">
        <w:t xml:space="preserve">including </w:t>
      </w:r>
      <w:r w:rsidR="008E32C8">
        <w:t xml:space="preserve">the </w:t>
      </w:r>
      <w:r w:rsidR="00F35CF1">
        <w:t xml:space="preserve">vast nature of infinity.  </w:t>
      </w:r>
      <w:r w:rsidR="009E52D9">
        <w:t>As Ernest says</w:t>
      </w:r>
      <w:r w:rsidR="000D7744">
        <w:t>, we don’t have any proof-based warrant for the axioms and beginning postulates</w:t>
      </w:r>
      <w:r w:rsidR="00F66DAC">
        <w:t>, we can never achieve full rigorousness within the boundary of professionalism</w:t>
      </w:r>
      <w:r w:rsidR="008A1206">
        <w:t xml:space="preserve"> and </w:t>
      </w:r>
      <w:r w:rsidR="00F66DAC">
        <w:t xml:space="preserve">many theories such as Gödel’s incompleteness theorem </w:t>
      </w:r>
      <w:r w:rsidR="003933F2">
        <w:t>demonstrate most of math is</w:t>
      </w:r>
      <w:r w:rsidR="00F66DAC">
        <w:t xml:space="preserve"> </w:t>
      </w:r>
      <w:r w:rsidR="008A1206">
        <w:t>unprovable (proof and proof-analysis are limited)</w:t>
      </w:r>
      <w:r w:rsidR="00D456B1">
        <w:t xml:space="preserve">; the </w:t>
      </w:r>
      <w:r w:rsidR="00B52CA5">
        <w:t>arrival</w:t>
      </w:r>
      <w:r w:rsidR="00D456B1">
        <w:t xml:space="preserve"> of intuition</w:t>
      </w:r>
      <w:r w:rsidR="00B52CA5">
        <w:t>ism</w:t>
      </w:r>
      <w:r w:rsidR="00D456B1">
        <w:t xml:space="preserve"> is where finite certainty breaks down in math</w:t>
      </w:r>
      <w:r w:rsidR="00D456B1">
        <w:rPr>
          <w:rStyle w:val="FootnoteReference"/>
        </w:rPr>
        <w:footnoteReference w:id="8"/>
      </w:r>
      <w:r w:rsidR="00DF541E">
        <w:t xml:space="preserve">.  </w:t>
      </w:r>
      <w:r w:rsidR="00A00278">
        <w:t>As you said</w:t>
      </w:r>
      <w:r w:rsidR="00B52CA5">
        <w:t>,</w:t>
      </w:r>
      <w:r w:rsidR="00A00278">
        <w:t xml:space="preserve"> looking at your bag and saying it</w:t>
      </w:r>
      <w:r w:rsidR="00B52CA5">
        <w:t xml:space="preserve"> i</w:t>
      </w:r>
      <w:r w:rsidR="00A00278">
        <w:t>s not black is not the same as finding a black raven, but logically they are equivalent which does</w:t>
      </w:r>
      <w:r w:rsidR="002E0E19">
        <w:t xml:space="preserve"> not</w:t>
      </w:r>
      <w:r w:rsidR="00A00278">
        <w:t xml:space="preserve"> make much sense</w:t>
      </w:r>
      <w:r w:rsidR="002E0E19">
        <w:t xml:space="preserve"> –</w:t>
      </w:r>
      <w:r w:rsidR="00A11719">
        <w:t xml:space="preserve"> we</w:t>
      </w:r>
      <w:r w:rsidR="00EC6B52">
        <w:t xml:space="preserve"> could just as easily substitute the word “raven” for an</w:t>
      </w:r>
      <w:r w:rsidR="002E0E19">
        <w:t>y other</w:t>
      </w:r>
      <w:r w:rsidR="00EC6B52">
        <w:t xml:space="preserve"> imaginary object and come to similar </w:t>
      </w:r>
      <w:r w:rsidR="006E37E4">
        <w:t xml:space="preserve">unmeaningful results.  </w:t>
      </w:r>
    </w:p>
    <w:p w14:paraId="58232CFE" w14:textId="1AC3DC99" w:rsidR="00DF49EB" w:rsidRDefault="00DF49EB" w:rsidP="00FB36AA">
      <w:pPr>
        <w:spacing w:line="480" w:lineRule="auto"/>
      </w:pPr>
      <w:r>
        <w:tab/>
      </w:r>
      <w:r w:rsidR="000406D6">
        <w:t xml:space="preserve">The topic of logical positivism is addressed extensively in </w:t>
      </w:r>
      <w:r w:rsidR="000406D6">
        <w:rPr>
          <w:i/>
        </w:rPr>
        <w:t>Proofs and Refutations</w:t>
      </w:r>
      <w:r w:rsidR="003F0019">
        <w:rPr>
          <w:i/>
        </w:rPr>
        <w:t xml:space="preserve"> – </w:t>
      </w:r>
      <w:r w:rsidR="001F2685">
        <w:t xml:space="preserve">Lakatos </w:t>
      </w:r>
      <w:r w:rsidR="00041EE9">
        <w:t xml:space="preserve">acknowledges that some </w:t>
      </w:r>
      <w:r w:rsidR="00E937ED">
        <w:t>problems about a theory can only be approached after it has been formalize</w:t>
      </w:r>
      <w:r w:rsidR="003F0019">
        <w:t xml:space="preserve">d, </w:t>
      </w:r>
      <w:r w:rsidR="00D71ADA">
        <w:t>yet</w:t>
      </w:r>
      <w:r w:rsidR="00022435">
        <w:t xml:space="preserve"> this formalization is analogous to death in the biological analysis of bodies</w:t>
      </w:r>
      <w:r w:rsidR="00E937ED">
        <w:rPr>
          <w:rStyle w:val="FootnoteReference"/>
        </w:rPr>
        <w:footnoteReference w:id="9"/>
      </w:r>
      <w:r w:rsidR="00041ED7">
        <w:t xml:space="preserve">.  </w:t>
      </w:r>
      <w:r w:rsidR="004D1129">
        <w:t>Furthermore, the dogmatist</w:t>
      </w:r>
      <w:r w:rsidR="00FA3038">
        <w:t>/skeptic ideologies contrasted in Lakatos (that we can attain or cannot attain truth)</w:t>
      </w:r>
      <w:r w:rsidR="00CC43B3">
        <w:t xml:space="preserve"> are exemplified in various means to demonstrate that</w:t>
      </w:r>
      <w:r w:rsidR="004C3884">
        <w:t xml:space="preserve"> the history of metamathematics invalidates </w:t>
      </w:r>
      <w:r w:rsidR="00A829F9">
        <w:t>modern mathematical dogmatism</w:t>
      </w:r>
      <w:r w:rsidR="004D1129">
        <w:rPr>
          <w:rStyle w:val="FootnoteReference"/>
        </w:rPr>
        <w:footnoteReference w:id="10"/>
      </w:r>
      <w:r w:rsidR="00A829F9">
        <w:t xml:space="preserve">.  </w:t>
      </w:r>
    </w:p>
    <w:p w14:paraId="115F8418" w14:textId="512539BF" w:rsidR="008444AF" w:rsidRPr="002C4525" w:rsidRDefault="008444AF" w:rsidP="00FB36AA">
      <w:pPr>
        <w:spacing w:line="480" w:lineRule="auto"/>
      </w:pPr>
      <w:r>
        <w:tab/>
      </w:r>
      <w:r w:rsidR="00F22C21">
        <w:t>In fact</w:t>
      </w:r>
      <w:r w:rsidR="005002B7">
        <w:t xml:space="preserve">, the topic of the </w:t>
      </w:r>
      <w:r w:rsidR="009662E5">
        <w:t>principle of the excluded third (which is discussed by Brouwer) is an example of a seemingly intuition-based and logical statement which can be refute</w:t>
      </w:r>
      <w:r w:rsidR="00BC200A">
        <w:t xml:space="preserve">d.  Consider the notion of a drift – that is, given </w:t>
      </w:r>
      <w:r w:rsidR="00214B0B">
        <w:t xml:space="preserve">the union </w:t>
      </w:r>
      <w:r w:rsidR="00214B0B">
        <w:t>Ɣ</w:t>
      </w:r>
      <w:r w:rsidR="00214B0B">
        <w:t xml:space="preserve"> of </w:t>
      </w:r>
      <w:r w:rsidR="00BC200A">
        <w:t xml:space="preserve">a converging </w:t>
      </w:r>
      <w:r w:rsidR="00BC200A">
        <w:lastRenderedPageBreak/>
        <w:t xml:space="preserve">sequence of </w:t>
      </w:r>
      <w:r w:rsidR="00817C43">
        <w:t xml:space="preserve">counting </w:t>
      </w:r>
      <w:r w:rsidR="00BC200A">
        <w:t xml:space="preserve">reals </w:t>
      </w:r>
      <w:r w:rsidR="0020556D">
        <w:t>c</w:t>
      </w:r>
      <w:r w:rsidR="0020556D">
        <w:rPr>
          <w:vertAlign w:val="subscript"/>
        </w:rPr>
        <w:t>1</w:t>
      </w:r>
      <w:r w:rsidR="0020556D">
        <w:rPr>
          <w:vertAlign w:val="subscript"/>
        </w:rPr>
        <w:softHyphen/>
      </w:r>
      <w:r w:rsidR="0020556D">
        <w:t>(Ɣ),</w:t>
      </w:r>
      <w:r w:rsidR="00214B0B">
        <w:t xml:space="preserve"> </w:t>
      </w:r>
      <w:r w:rsidR="00214B0B">
        <w:t>c</w:t>
      </w:r>
      <w:r w:rsidR="00214B0B">
        <w:rPr>
          <w:vertAlign w:val="subscript"/>
        </w:rPr>
        <w:t>2</w:t>
      </w:r>
      <w:r w:rsidR="00214B0B">
        <w:rPr>
          <w:vertAlign w:val="subscript"/>
        </w:rPr>
        <w:softHyphen/>
      </w:r>
      <w:r w:rsidR="00214B0B">
        <w:t>(Ɣ</w:t>
      </w:r>
      <w:r w:rsidR="00EA1992">
        <w:t xml:space="preserve">), … (where if all elements of the sequence &lt; </w:t>
      </w:r>
      <w:r w:rsidR="009F2332">
        <w:t>the kernel c(</w:t>
      </w:r>
      <w:r w:rsidR="009F2332">
        <w:t>Ɣ</w:t>
      </w:r>
      <w:r w:rsidR="009F2332">
        <w:t>) the drift is left-winged and if they’re all &gt; c(</w:t>
      </w:r>
      <w:r w:rsidR="009F2332">
        <w:t>Ɣ</w:t>
      </w:r>
      <w:r w:rsidR="009F2332">
        <w:t>) the drift is right-winged)</w:t>
      </w:r>
      <w:r w:rsidR="00D1095E">
        <w:rPr>
          <w:rStyle w:val="FootnoteReference"/>
        </w:rPr>
        <w:footnoteReference w:id="11"/>
      </w:r>
      <w:r w:rsidR="009F2332">
        <w:t xml:space="preserve"> we </w:t>
      </w:r>
      <w:r w:rsidR="00817C43">
        <w:t xml:space="preserve">can </w:t>
      </w:r>
      <w:r w:rsidR="00AC36E4">
        <w:t>show that i</w:t>
      </w:r>
      <w:r w:rsidR="00817C43">
        <w:t xml:space="preserve">f </w:t>
      </w:r>
      <w:r w:rsidR="00817C43">
        <w:t>Ɣ</w:t>
      </w:r>
      <w:r w:rsidR="00817C43">
        <w:t xml:space="preserve"> is right-winged </w:t>
      </w:r>
      <w:r w:rsidR="00D80FF8">
        <w:t>(</w:t>
      </w:r>
      <w:r w:rsidR="00817C43">
        <w:t xml:space="preserve">where counting-numbers are </w:t>
      </w:r>
      <w:r w:rsidR="008E1502">
        <w:t xml:space="preserve">all rational </w:t>
      </w:r>
      <w:r w:rsidR="00D80FF8">
        <w:t xml:space="preserve">and serve as indices for untested mathematical </w:t>
      </w:r>
      <w:r w:rsidR="0021138D">
        <w:t>conjectures</w:t>
      </w:r>
      <w:r w:rsidR="00D80FF8">
        <w:t>)</w:t>
      </w:r>
      <w:r w:rsidR="0057502D">
        <w:t xml:space="preserve"> that we cannot judge for certain whether or not </w:t>
      </w:r>
      <w:r w:rsidR="00C41564">
        <w:t>the sequence converges to a rational number and so cannot judge the truth of the</w:t>
      </w:r>
      <w:r w:rsidR="0021138D">
        <w:t xml:space="preserve"> conjecture</w:t>
      </w:r>
      <w:r w:rsidR="008E25D4">
        <w:rPr>
          <w:rStyle w:val="FootnoteReference"/>
        </w:rPr>
        <w:footnoteReference w:id="12"/>
      </w:r>
      <w:r w:rsidR="0021138D">
        <w:t xml:space="preserve">.  </w:t>
      </w:r>
      <w:r w:rsidR="00A05EF2">
        <w:t>What Brouwer is basically saying is that t</w:t>
      </w:r>
      <w:r w:rsidR="00B75064">
        <w:t xml:space="preserve">he </w:t>
      </w:r>
      <w:r w:rsidR="00011DDD">
        <w:t xml:space="preserve">principle of the excluded third when expressed on the number line implies that either classical mathematics </w:t>
      </w:r>
      <w:r w:rsidR="00856885">
        <w:t>i</w:t>
      </w:r>
      <w:r w:rsidR="00011DDD">
        <w:t xml:space="preserve">s false or </w:t>
      </w:r>
      <w:r w:rsidR="00856885">
        <w:t xml:space="preserve">that </w:t>
      </w:r>
      <w:r w:rsidR="00011DDD">
        <w:t xml:space="preserve">we need to reevaluate the either-or assumption which it makes.  </w:t>
      </w:r>
      <w:r w:rsidR="004467EC">
        <w:t>Brouwer addresses the crisis in mathematics as a</w:t>
      </w:r>
      <w:r w:rsidR="00C258C5">
        <w:t xml:space="preserve">n acknowledgement that even the most basic assumptions we make </w:t>
      </w:r>
      <w:r w:rsidR="004169BE">
        <w:t>a</w:t>
      </w:r>
      <w:r w:rsidR="00C258C5">
        <w:t>re socially ingrained</w:t>
      </w:r>
      <w:r w:rsidR="004169BE">
        <w:t>.  F</w:t>
      </w:r>
      <w:r w:rsidR="008E45AD">
        <w:t xml:space="preserve">urthermore, computer-based proof generators </w:t>
      </w:r>
      <w:r w:rsidR="00C9163F">
        <w:t xml:space="preserve">remove the suspension of disbelief which is required for proofs to carry the warrant of truth.  </w:t>
      </w:r>
    </w:p>
    <w:p w14:paraId="6A41AC2E" w14:textId="173F9271" w:rsidR="001E62BD" w:rsidRDefault="001E62BD" w:rsidP="00FB36AA">
      <w:pPr>
        <w:spacing w:line="480" w:lineRule="auto"/>
      </w:pPr>
      <w:r>
        <w:tab/>
        <w:t xml:space="preserve">The question addressed by Lakatos – is there a relation between the number of vertices V, the number of edges E and the number of faces F of </w:t>
      </w:r>
      <w:proofErr w:type="spellStart"/>
      <w:r>
        <w:t>polyhedra</w:t>
      </w:r>
      <w:proofErr w:type="spellEnd"/>
      <w:r>
        <w:t xml:space="preserve"> that is analogous to the trivial relation V = E?</w:t>
      </w:r>
      <w:r>
        <w:rPr>
          <w:rStyle w:val="FootnoteReference"/>
        </w:rPr>
        <w:footnoteReference w:id="13"/>
      </w:r>
      <w:r>
        <w:t xml:space="preserve"> – is crucial because</w:t>
      </w:r>
      <w:r w:rsidR="005004BD">
        <w:t xml:space="preserve"> the</w:t>
      </w:r>
      <w:r>
        <w:t xml:space="preserve"> methodology used</w:t>
      </w:r>
      <w:r w:rsidR="005004BD">
        <w:t xml:space="preserve"> to arrive at conjectures</w:t>
      </w:r>
      <w:r>
        <w:t xml:space="preserve"> comes into </w:t>
      </w:r>
      <w:r w:rsidR="00426241">
        <w:t>scrutiny</w:t>
      </w:r>
      <w:r>
        <w:t>.  It is noted that after trial and error</w:t>
      </w:r>
      <w:r>
        <w:rPr>
          <w:rStyle w:val="FootnoteReference"/>
        </w:rPr>
        <w:footnoteReference w:id="14"/>
      </w:r>
      <w:r w:rsidR="00A93258">
        <w:t xml:space="preserve"> they notice that V – E + F = 2 </w:t>
      </w:r>
      <w:r w:rsidR="002627F9">
        <w:t>(</w:t>
      </w:r>
      <w:r w:rsidR="00A93258">
        <w:t xml:space="preserve">the </w:t>
      </w:r>
      <w:r w:rsidR="002627F9">
        <w:t>characteristic polynomial</w:t>
      </w:r>
      <w:r w:rsidR="00A93258">
        <w:t xml:space="preserve"> as mathematicians would say</w:t>
      </w:r>
      <w:r w:rsidR="002627F9">
        <w:t>)</w:t>
      </w:r>
      <w:r w:rsidR="00A93258">
        <w:t>.  The question of course becomes, by wh</w:t>
      </w:r>
      <w:r w:rsidR="00C65B0A">
        <w:t>ich</w:t>
      </w:r>
      <w:r w:rsidR="00A93258">
        <w:t xml:space="preserve"> trial and error did this occur?  </w:t>
      </w:r>
      <w:r w:rsidR="0086617F">
        <w:t xml:space="preserve">It’s noted that </w:t>
      </w:r>
      <w:proofErr w:type="spellStart"/>
      <w:r w:rsidR="0086617F">
        <w:t>P</w:t>
      </w:r>
      <w:r w:rsidR="002C26FB">
        <w:t>ólya</w:t>
      </w:r>
      <w:proofErr w:type="spellEnd"/>
      <w:r w:rsidR="002C26FB">
        <w:t xml:space="preserve"> among others believed that you </w:t>
      </w:r>
      <w:proofErr w:type="gramStart"/>
      <w:r w:rsidR="002C26FB">
        <w:t>have to</w:t>
      </w:r>
      <w:proofErr w:type="gramEnd"/>
      <w:r w:rsidR="002C26FB">
        <w:t xml:space="preserve"> guess a mathematical theorem before you prove it</w:t>
      </w:r>
      <w:r w:rsidR="002C26FB">
        <w:rPr>
          <w:rStyle w:val="FootnoteReference"/>
        </w:rPr>
        <w:footnoteReference w:id="15"/>
      </w:r>
      <w:r w:rsidR="002C26FB">
        <w:t xml:space="preserve">; that is, </w:t>
      </w:r>
      <w:r w:rsidR="001F5F3A">
        <w:t xml:space="preserve">the result precedes the investigation.  How can we </w:t>
      </w:r>
      <w:r w:rsidR="00C21B9E">
        <w:t xml:space="preserve">account for results such as </w:t>
      </w:r>
      <w:r w:rsidR="005445DB">
        <w:t xml:space="preserve">the Descartes-Euler conjecture </w:t>
      </w:r>
      <w:r w:rsidR="001D0854">
        <w:t>or</w:t>
      </w:r>
      <w:r w:rsidR="005445DB">
        <w:t xml:space="preserve"> </w:t>
      </w:r>
      <w:r w:rsidR="00C21B9E">
        <w:t>Ramanujan’s</w:t>
      </w:r>
      <w:r w:rsidR="005445DB">
        <w:t xml:space="preserve"> </w:t>
      </w:r>
      <w:r w:rsidR="008A36BB">
        <w:t xml:space="preserve">profound </w:t>
      </w:r>
      <w:r w:rsidR="005445DB">
        <w:t>theorems</w:t>
      </w:r>
      <w:r w:rsidR="00C21B9E">
        <w:t xml:space="preserve"> (which lack a socially constructed basis)</w:t>
      </w:r>
      <w:r w:rsidR="005445DB">
        <w:t xml:space="preserve">?  </w:t>
      </w:r>
      <w:r w:rsidR="00D62325">
        <w:t xml:space="preserve">As Lakatos demonstrates, we account for them after the fact which means that </w:t>
      </w:r>
      <w:r w:rsidR="00484078">
        <w:t>mutual familiarity with concepts plays a crucial role.  Throughout his fictional story (which involves a dialogue in an imaginary classroom between teachers and students) we uncover concept-contraction</w:t>
      </w:r>
      <w:r w:rsidR="000471EF">
        <w:t xml:space="preserve"> (from Delta) and concept expansion (from Alpha) in the discussion of the picture-frame</w:t>
      </w:r>
      <w:r w:rsidR="000471EF">
        <w:rPr>
          <w:rStyle w:val="FootnoteReference"/>
        </w:rPr>
        <w:footnoteReference w:id="16"/>
      </w:r>
      <w:r w:rsidR="000471EF">
        <w:t xml:space="preserve">.  </w:t>
      </w:r>
      <w:r w:rsidR="003F4FC5">
        <w:t>The dialogue devolves into a debate over what constitutes a genuine polyhedron</w:t>
      </w:r>
      <w:r w:rsidR="00B54766">
        <w:t xml:space="preserve">; concept-stretching, monster-barring and </w:t>
      </w:r>
      <w:r w:rsidR="00155EB3">
        <w:t xml:space="preserve">local/global counterexamples become the focus of discussion.  </w:t>
      </w:r>
    </w:p>
    <w:p w14:paraId="511817D2" w14:textId="3A468454" w:rsidR="00155EB3" w:rsidRDefault="00155EB3" w:rsidP="00FB36AA">
      <w:pPr>
        <w:spacing w:line="480" w:lineRule="auto"/>
      </w:pPr>
      <w:r>
        <w:tab/>
        <w:t xml:space="preserve">In fact, Poincare in 1908 stated specifically that logic (and not just its slumber) produces monsters.  To paraphrase, he says that for half a century now they’ve seen a </w:t>
      </w:r>
      <w:r>
        <w:lastRenderedPageBreak/>
        <w:t xml:space="preserve">host of bizarre functions arise which </w:t>
      </w:r>
      <w:r w:rsidR="00FB186A">
        <w:t>serve no</w:t>
      </w:r>
      <w:r>
        <w:t xml:space="preserve"> purpose and make the most general claims; these functions </w:t>
      </w:r>
      <w:r w:rsidR="00351B7A">
        <w:t>are made</w:t>
      </w:r>
      <w:r w:rsidR="004214E5">
        <w:t xml:space="preserve"> explicitly to demonstrate the shortcomings of the reasonings of the old mathematicians</w:t>
      </w:r>
      <w:r w:rsidR="004214E5">
        <w:rPr>
          <w:rStyle w:val="FootnoteReference"/>
        </w:rPr>
        <w:footnoteReference w:id="17"/>
      </w:r>
      <w:r w:rsidR="004214E5">
        <w:t xml:space="preserve">.  </w:t>
      </w:r>
      <w:r w:rsidR="006F136A">
        <w:t>Specifically,</w:t>
      </w:r>
      <w:r w:rsidR="00755C8B">
        <w:t xml:space="preserve"> in the context of Lakatos we learn about proof-analysis without proof – </w:t>
      </w:r>
      <w:r w:rsidR="00282310">
        <w:t xml:space="preserve">an example of this would be developing </w:t>
      </w:r>
      <w:r w:rsidR="00755C8B">
        <w:t xml:space="preserve">the notion that all </w:t>
      </w:r>
      <w:proofErr w:type="spellStart"/>
      <w:r w:rsidR="00755C8B">
        <w:t>polyhedra</w:t>
      </w:r>
      <w:proofErr w:type="spellEnd"/>
      <w:r w:rsidR="00755C8B">
        <w:t xml:space="preserve"> hav</w:t>
      </w:r>
      <w:r w:rsidR="00282310">
        <w:t>e</w:t>
      </w:r>
      <w:r w:rsidR="00755C8B">
        <w:t xml:space="preserve"> at least 17 edges</w:t>
      </w:r>
      <w:r w:rsidR="00282310">
        <w:t xml:space="preserve">.  These </w:t>
      </w:r>
      <w:r w:rsidR="007123EC">
        <w:t xml:space="preserve">are just </w:t>
      </w:r>
      <w:r w:rsidR="007123EC">
        <w:rPr>
          <w:i/>
        </w:rPr>
        <w:t xml:space="preserve">ad hoc </w:t>
      </w:r>
      <w:r w:rsidR="007123EC">
        <w:t xml:space="preserve">conjectures; they are made up on the spot arbitrarily and their only purpose and meaning is to use the internal, intrinsic structure of the theorem and method of proof-analysis to </w:t>
      </w:r>
      <w:r w:rsidR="00A41DEE">
        <w:t>justify a theorem</w:t>
      </w:r>
      <w:r w:rsidR="00A41DEE">
        <w:rPr>
          <w:rStyle w:val="FootnoteReference"/>
        </w:rPr>
        <w:footnoteReference w:id="18"/>
      </w:r>
      <w:r w:rsidR="00A41DEE">
        <w:t xml:space="preserve">; any number of misconceptions on part of the inventor can be made explicit and thus, by granting generous charity to the progenitor of the proof we can </w:t>
      </w:r>
      <w:r w:rsidR="003B60D5">
        <w:t xml:space="preserve">justify anything.  </w:t>
      </w:r>
    </w:p>
    <w:p w14:paraId="4053BFD8" w14:textId="3A04DCE7" w:rsidR="004E5311" w:rsidRDefault="004E5311" w:rsidP="00FB36AA">
      <w:pPr>
        <w:spacing w:line="480" w:lineRule="auto"/>
      </w:pPr>
      <w:r>
        <w:tab/>
        <w:t xml:space="preserve">Furthermore, the debate over </w:t>
      </w:r>
      <w:r w:rsidR="00B74050">
        <w:t>history continues in Lakatos; Sigma argues that the only thing making inductive conjectures possible is historical accident</w:t>
      </w:r>
      <w:r w:rsidR="009B6F8C">
        <w:rPr>
          <w:rStyle w:val="FootnoteReference"/>
        </w:rPr>
        <w:footnoteReference w:id="19"/>
      </w:r>
      <w:r w:rsidR="00B74050">
        <w:t xml:space="preserve">; real chaos obliterates any preconceived notion of what, for instance a polyhedron is.  </w:t>
      </w:r>
      <w:r w:rsidR="00A0223C">
        <w:t xml:space="preserve">Because </w:t>
      </w:r>
      <w:r w:rsidR="00695A64">
        <w:t>there</w:t>
      </w:r>
      <w:r w:rsidR="00A0223C">
        <w:t xml:space="preserve"> is</w:t>
      </w:r>
      <w:r w:rsidR="00695A64">
        <w:t xml:space="preserve"> no inductive basis for </w:t>
      </w:r>
      <w:r w:rsidR="00F276B8">
        <w:t>naïve conjectures as Teacher says but rather trial and error through conjecture</w:t>
      </w:r>
      <w:r w:rsidR="00FF328C">
        <w:t>s</w:t>
      </w:r>
      <w:r w:rsidR="00F276B8">
        <w:t xml:space="preserve"> and refutations</w:t>
      </w:r>
      <w:r w:rsidR="00A0223C">
        <w:rPr>
          <w:rStyle w:val="FootnoteReference"/>
        </w:rPr>
        <w:footnoteReference w:id="20"/>
      </w:r>
      <w:r w:rsidR="00A0223C">
        <w:t xml:space="preserve">, </w:t>
      </w:r>
      <w:r w:rsidR="00A0223C">
        <w:t xml:space="preserve">Euler’s </w:t>
      </w:r>
      <w:r w:rsidR="00C90D92">
        <w:t>theorem</w:t>
      </w:r>
      <w:r w:rsidR="00A0223C">
        <w:t xml:space="preserve"> was thus based on a very biased pool of </w:t>
      </w:r>
      <w:proofErr w:type="spellStart"/>
      <w:r w:rsidR="00A0223C">
        <w:t>polyhedr</w:t>
      </w:r>
      <w:r w:rsidR="00A0223C">
        <w:t>a</w:t>
      </w:r>
      <w:proofErr w:type="spellEnd"/>
      <w:r w:rsidR="00F276B8">
        <w:t>.</w:t>
      </w:r>
      <w:r w:rsidR="00C90D92">
        <w:t xml:space="preserve">  </w:t>
      </w:r>
      <w:r w:rsidR="004F6B2F">
        <w:t xml:space="preserve">This of course is analogous to the scientific method wherein hypotheses are </w:t>
      </w:r>
      <w:proofErr w:type="gramStart"/>
      <w:r w:rsidR="004F6B2F">
        <w:t>formed</w:t>
      </w:r>
      <w:proofErr w:type="gramEnd"/>
      <w:r w:rsidR="004F6B2F">
        <w:t xml:space="preserve"> and we test and refute them.  </w:t>
      </w:r>
      <w:r w:rsidR="00F77FA5">
        <w:t xml:space="preserve">But even Lakatos’ deductive guessing </w:t>
      </w:r>
      <w:proofErr w:type="gramStart"/>
      <w:r w:rsidR="00F77FA5">
        <w:t>has to</w:t>
      </w:r>
      <w:proofErr w:type="gramEnd"/>
      <w:r w:rsidR="00F77FA5">
        <w:t xml:space="preserve"> start on some kind of basis, and it is clear that this basis is social.  </w:t>
      </w:r>
      <w:r w:rsidR="00B4091C">
        <w:t xml:space="preserve">The entirety of Euler’s polyhedral theorem </w:t>
      </w:r>
      <w:r w:rsidR="00A97439">
        <w:t>seemingly rests on the laurels of its historical context</w:t>
      </w:r>
      <w:r w:rsidR="000A1697">
        <w:t xml:space="preserve"> and Euler’s credibility</w:t>
      </w:r>
      <w:r w:rsidR="00A97439">
        <w:t xml:space="preserve">.  Lakatos </w:t>
      </w:r>
      <w:r w:rsidR="001411B5">
        <w:t>alludes to</w:t>
      </w:r>
      <w:r w:rsidR="007B53CC">
        <w:t xml:space="preserve"> ancient informal logic</w:t>
      </w:r>
      <w:r w:rsidR="001411B5">
        <w:t xml:space="preserve"> (</w:t>
      </w:r>
      <w:r w:rsidR="007B53CC">
        <w:t>this is the logic of construction or thought-experiment</w:t>
      </w:r>
      <w:r w:rsidR="001411B5">
        <w:t>);</w:t>
      </w:r>
      <w:r w:rsidR="007B53CC">
        <w:t xml:space="preserve"> </w:t>
      </w:r>
      <w:r w:rsidR="001411B5">
        <w:t>p</w:t>
      </w:r>
      <w:r w:rsidR="007B53CC">
        <w:t xml:space="preserve">hilosophers such as Descartes, Kant and </w:t>
      </w:r>
      <w:proofErr w:type="spellStart"/>
      <w:r w:rsidR="007B53CC">
        <w:t>Poincaré</w:t>
      </w:r>
      <w:proofErr w:type="spellEnd"/>
      <w:r w:rsidR="007B53CC">
        <w:t xml:space="preserve"> extolled the virtues of content-rich informal logic</w:t>
      </w:r>
      <w:r w:rsidR="00DF27B8">
        <w:t xml:space="preserve">.  The later changes in logical </w:t>
      </w:r>
      <w:r w:rsidR="00DF27B8">
        <w:lastRenderedPageBreak/>
        <w:t>theory come from changes in logical practice</w:t>
      </w:r>
      <w:r w:rsidR="007B53CC">
        <w:rPr>
          <w:rStyle w:val="FootnoteReference"/>
        </w:rPr>
        <w:footnoteReference w:id="21"/>
      </w:r>
      <w:r w:rsidR="00DF27B8">
        <w:t xml:space="preserve">.  What this means is that </w:t>
      </w:r>
      <w:r w:rsidR="009401B1">
        <w:t>originally, broad-sweeping claims such as Euler’s were viewed as very good and powerful by merit of their abilit</w:t>
      </w:r>
      <w:r w:rsidR="00377D82">
        <w:t xml:space="preserve">y to </w:t>
      </w:r>
      <w:r w:rsidR="00374631">
        <w:t>understand the world</w:t>
      </w:r>
      <w:r w:rsidR="002523B1">
        <w:t>.  T</w:t>
      </w:r>
      <w:r w:rsidR="007D5BCC">
        <w:t xml:space="preserve">hey were assumed to be true on little actual merit but </w:t>
      </w:r>
      <w:r w:rsidR="00EB2DF8">
        <w:t>merely</w:t>
      </w:r>
      <w:r w:rsidR="007D5BCC">
        <w:t xml:space="preserve"> as the simplest explanation of an occurrence.  </w:t>
      </w:r>
    </w:p>
    <w:p w14:paraId="086F1D86" w14:textId="03C19018" w:rsidR="004D173E" w:rsidRDefault="004D173E" w:rsidP="00FB36AA">
      <w:pPr>
        <w:spacing w:line="480" w:lineRule="auto"/>
      </w:pPr>
      <w:r>
        <w:tab/>
        <w:t>More specifically, the Descartes-Euler conjecture is subjectively tr</w:t>
      </w:r>
      <w:r w:rsidR="00F53061">
        <w:t>ue for its time; as Lakatos describes, their conception of polyhedron included all sorts of convex polyhedral and even concave ones</w:t>
      </w:r>
      <w:r w:rsidR="00F53061">
        <w:rPr>
          <w:rStyle w:val="FootnoteReference"/>
        </w:rPr>
        <w:footnoteReference w:id="22"/>
      </w:r>
      <w:r w:rsidR="00F53061">
        <w:t xml:space="preserve">.  </w:t>
      </w:r>
      <w:r w:rsidR="00EB74B7">
        <w:t xml:space="preserve">As we can see, mathematics evolves over time.  </w:t>
      </w:r>
      <w:r w:rsidR="008722BD">
        <w:t xml:space="preserve">The mathematician Reuben Hersh </w:t>
      </w:r>
      <w:r w:rsidR="009D25DC">
        <w:t xml:space="preserve">discussed </w:t>
      </w:r>
      <w:r w:rsidR="00C526ED">
        <w:t>why social constructivism provides a more accurate view of mathematics</w:t>
      </w:r>
      <w:r w:rsidR="00357A88">
        <w:t xml:space="preserve"> </w:t>
      </w:r>
      <w:r w:rsidR="00C526ED">
        <w:t xml:space="preserve">as opposed to the traditional Platonist view of math </w:t>
      </w:r>
      <w:r w:rsidR="00C66B04">
        <w:t>(</w:t>
      </w:r>
      <w:r w:rsidR="00C526ED">
        <w:t xml:space="preserve">in which </w:t>
      </w:r>
      <w:r w:rsidR="00381FE0">
        <w:t xml:space="preserve">pure entities exist in a different dimension or realm </w:t>
      </w:r>
      <w:r w:rsidR="00357A88">
        <w:t>independent from</w:t>
      </w:r>
      <w:r w:rsidR="00381FE0">
        <w:t xml:space="preserve"> our physically or psychologically perce</w:t>
      </w:r>
      <w:r w:rsidR="00357A88">
        <w:t>ived</w:t>
      </w:r>
      <w:r w:rsidR="00381FE0">
        <w:t xml:space="preserve"> reality</w:t>
      </w:r>
      <w:r w:rsidR="00C66B04">
        <w:t>)</w:t>
      </w:r>
      <w:r w:rsidR="00C768C1">
        <w:t xml:space="preserve">.  </w:t>
      </w:r>
      <w:r w:rsidR="00C66B04">
        <w:t>The flaw in Platonism</w:t>
      </w:r>
      <w:r w:rsidR="00C768C1">
        <w:t xml:space="preserve"> basically amounts to, how can we have knowledge of such a realm even if it exists</w:t>
      </w:r>
      <w:r w:rsidR="00C768C1">
        <w:rPr>
          <w:rStyle w:val="FootnoteReference"/>
        </w:rPr>
        <w:footnoteReference w:id="23"/>
      </w:r>
      <w:r w:rsidR="0008692B">
        <w:t>?</w:t>
      </w:r>
      <w:r w:rsidR="00FF50D9">
        <w:t xml:space="preserve">  As in Lakatos, we do</w:t>
      </w:r>
      <w:r w:rsidR="00431C1B">
        <w:t xml:space="preserve"> not have a concrete sense </w:t>
      </w:r>
      <w:r w:rsidR="00FF50D9">
        <w:t xml:space="preserve">of familiarity with what a polyhedron </w:t>
      </w:r>
      <w:r w:rsidR="00431C1B">
        <w:t>truly</w:t>
      </w:r>
      <w:r w:rsidR="00FF50D9">
        <w:t xml:space="preserve"> is.  </w:t>
      </w:r>
    </w:p>
    <w:p w14:paraId="3989ED7C" w14:textId="6A1295DF" w:rsidR="00F86BF6" w:rsidRDefault="00F86BF6" w:rsidP="00FB36AA">
      <w:pPr>
        <w:spacing w:line="480" w:lineRule="auto"/>
      </w:pPr>
      <w:r>
        <w:tab/>
        <w:t xml:space="preserve">For the social subjectivist Hersh, </w:t>
      </w:r>
      <w:r w:rsidR="004F3D8C">
        <w:t>an object is constructed by the mathematical community and then takes on a livelihood of its own</w:t>
      </w:r>
      <w:r w:rsidR="009D66BA">
        <w:t xml:space="preserve">.  For Ernest on the other hand, </w:t>
      </w:r>
    </w:p>
    <w:p w14:paraId="6A43F20B" w14:textId="27A4D7F3" w:rsidR="006D27AA" w:rsidRDefault="006D27AA" w:rsidP="00FB36AA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700F8" wp14:editId="10422F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0220" cy="1077150"/>
            <wp:effectExtent l="0" t="0" r="0" b="8890"/>
            <wp:wrapThrough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hrough>
            <wp:docPr id="1" name="Picture 1" descr="A picture containing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7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6BA">
        <w:t xml:space="preserve">functions like x^2 </w:t>
      </w:r>
      <w:r w:rsidR="0081196B">
        <w:t xml:space="preserve">could become odd at any time because oddness </w:t>
      </w:r>
      <w:r w:rsidR="006429A5">
        <w:t>(f(-x</w:t>
      </w:r>
      <w:proofErr w:type="gramStart"/>
      <w:r w:rsidR="006429A5">
        <w:t>) !</w:t>
      </w:r>
      <w:proofErr w:type="gramEnd"/>
      <w:r w:rsidR="006429A5">
        <w:t xml:space="preserve">= f(x)) is only true </w:t>
      </w:r>
      <w:r w:rsidR="007779E6">
        <w:t>for the present socially defined state of mathematics</w:t>
      </w:r>
      <w:r w:rsidR="007779E6">
        <w:rPr>
          <w:rStyle w:val="FootnoteReference"/>
        </w:rPr>
        <w:footnoteReference w:id="24"/>
      </w:r>
      <w:r w:rsidR="009D7F4D">
        <w:t xml:space="preserve">.  Of course, the cyclic subgroups </w:t>
      </w:r>
      <w:r w:rsidR="005556AC">
        <w:t xml:space="preserve">of Z/6Z </w:t>
      </w:r>
      <w:r w:rsidR="00901627">
        <w:t xml:space="preserve">all have even order as well – we have &lt;0&gt; = </w:t>
      </w:r>
      <w:r w:rsidR="006A454D">
        <w:t>{0}</w:t>
      </w:r>
      <w:r w:rsidR="00901627">
        <w:t>, &lt;1&gt; = {1,2,3,4,5,6mod</w:t>
      </w:r>
      <w:r w:rsidR="006500DF">
        <w:t xml:space="preserve">6 = 0}, &lt;2&gt; = </w:t>
      </w:r>
      <w:r w:rsidR="006500DF">
        <w:lastRenderedPageBreak/>
        <w:t>{2,4,0} and &lt;3&gt; = {3,0}.  Clearly, each order (</w:t>
      </w:r>
      <w:r w:rsidR="00691540">
        <w:t xml:space="preserve">1, 6, 3 and 2) </w:t>
      </w:r>
      <w:r w:rsidR="003E5E73">
        <w:t xml:space="preserve">is not equal to 5.  </w:t>
      </w:r>
      <w:r w:rsidR="005D29E4">
        <w:t>Yet</w:t>
      </w:r>
      <w:r w:rsidR="003E5E73">
        <w:t xml:space="preserve"> </w:t>
      </w:r>
      <w:r w:rsidR="00E06FC3">
        <w:t>Ernest’s point is equally valid in my opinion because it alludes to the fact that subgroup</w:t>
      </w:r>
      <w:r w:rsidR="001D38A1">
        <w:t>s</w:t>
      </w:r>
      <w:r w:rsidR="00E06FC3">
        <w:t xml:space="preserve"> (subsets which are also groups) </w:t>
      </w:r>
      <w:r w:rsidR="001D38A1">
        <w:t xml:space="preserve">and their generators </w:t>
      </w:r>
      <w:r w:rsidR="00E06FC3">
        <w:t xml:space="preserve">are defined socially by consensus of the mathematical community.  We could just as easily say that the cyclic subgroup 1 = {1,2,3,4,5} excluding 0 because </w:t>
      </w:r>
      <w:r w:rsidR="00220547">
        <w:t xml:space="preserve">6 mod 6 is a separate entity from 0 and is not logically equivalent.  </w:t>
      </w:r>
      <w:r w:rsidR="00F16F57">
        <w:t xml:space="preserve">It seems obvious to me that mathematics is a human invention designed to find patterns in the natural world but is not entirely perfect.  </w:t>
      </w:r>
      <w:r w:rsidR="00A148B8">
        <w:t xml:space="preserve">Intuition depends on </w:t>
      </w:r>
      <w:r w:rsidR="002F6274">
        <w:t xml:space="preserve">our historical interpretation of concepts.  </w:t>
      </w:r>
      <w:r w:rsidR="00A148B8">
        <w:t xml:space="preserve">  </w:t>
      </w:r>
    </w:p>
    <w:p w14:paraId="4CE938F5" w14:textId="77AF07C7" w:rsidR="00960D26" w:rsidRDefault="00BD4F7B" w:rsidP="00FB36AA">
      <w:pPr>
        <w:spacing w:line="480" w:lineRule="auto"/>
      </w:pPr>
      <w:r>
        <w:tab/>
        <w:t xml:space="preserve">Furthermore, </w:t>
      </w:r>
      <w:r w:rsidR="00B80BAA">
        <w:t xml:space="preserve">Gold concedes that mathematics is </w:t>
      </w:r>
      <w:r w:rsidR="00B80BAA" w:rsidRPr="00B80BAA">
        <w:rPr>
          <w:i/>
        </w:rPr>
        <w:t>discovered</w:t>
      </w:r>
      <w:r w:rsidR="00B80BAA">
        <w:rPr>
          <w:i/>
        </w:rPr>
        <w:t xml:space="preserve"> </w:t>
      </w:r>
      <w:r w:rsidR="00B80BAA">
        <w:t>by humans</w:t>
      </w:r>
      <w:r w:rsidR="00B80BAA">
        <w:rPr>
          <w:rStyle w:val="FootnoteReference"/>
        </w:rPr>
        <w:footnoteReference w:id="25"/>
      </w:r>
      <w:r w:rsidR="00B80BAA">
        <w:t>.  I</w:t>
      </w:r>
      <w:r w:rsidR="00497F8F">
        <w:t xml:space="preserve"> </w:t>
      </w:r>
      <w:r w:rsidR="00B80BAA">
        <w:t>disagree with this,</w:t>
      </w:r>
      <w:r w:rsidR="00497F8F">
        <w:t xml:space="preserve"> believing</w:t>
      </w:r>
      <w:r w:rsidR="00B80BAA">
        <w:t xml:space="preserve"> that it is entirely a human invention and that the rules of logic </w:t>
      </w:r>
      <w:proofErr w:type="spellStart"/>
      <w:r w:rsidR="00B80BAA">
        <w:t xml:space="preserve">change </w:t>
      </w:r>
      <w:proofErr w:type="spellEnd"/>
      <w:r w:rsidR="00B80BAA">
        <w:t xml:space="preserve">over time.  </w:t>
      </w:r>
      <w:r w:rsidR="00C12689">
        <w:t xml:space="preserve">Consider the classical logical principle wherein </w:t>
      </w:r>
      <w:r w:rsidR="00161614">
        <w:t>if P is false and Q is true, then the statement P</w:t>
      </w:r>
      <w:r w:rsidR="00355F32">
        <w:t xml:space="preserve"> </w:t>
      </w:r>
      <w:r w:rsidR="00355F32" w:rsidRPr="00355F32">
        <w:rPr>
          <w:rFonts w:hint="eastAsia"/>
        </w:rPr>
        <w:t>⇒</w:t>
      </w:r>
      <w:r w:rsidR="00355F32">
        <w:rPr>
          <w:rFonts w:hint="eastAsia"/>
        </w:rPr>
        <w:t xml:space="preserve"> </w:t>
      </w:r>
      <w:r w:rsidR="00355F32">
        <w:t xml:space="preserve">Q is always true.  </w:t>
      </w:r>
      <w:proofErr w:type="gramStart"/>
      <w:r w:rsidR="00355F32">
        <w:t>Certainly</w:t>
      </w:r>
      <w:proofErr w:type="gramEnd"/>
      <w:r w:rsidR="00355F32">
        <w:t xml:space="preserve"> this is true </w:t>
      </w:r>
      <w:r w:rsidR="00E7679C">
        <w:t>based on an overwhelming majority consensus</w:t>
      </w:r>
      <w:r w:rsidR="00355F32">
        <w:t xml:space="preserve">; I once spoke to </w:t>
      </w:r>
      <w:proofErr w:type="spellStart"/>
      <w:r w:rsidR="00355F32">
        <w:t>Krusemeyer</w:t>
      </w:r>
      <w:proofErr w:type="spellEnd"/>
      <w:r w:rsidR="00355F32">
        <w:t xml:space="preserve"> regarding this matter and he told me that I would be disagreeing with the entire mathematical community if I did not believe this statement.  </w:t>
      </w:r>
      <w:r w:rsidR="00584859">
        <w:t>G</w:t>
      </w:r>
      <w:r w:rsidR="00355F32">
        <w:t>iven P false, Q true we can say that P implies Q</w:t>
      </w:r>
      <w:r w:rsidR="00621532">
        <w:t xml:space="preserve">.  But what if when P is true, Q turns out to be false?  That is, Q being true depends explicitly on the truth value of P.  </w:t>
      </w:r>
      <w:r w:rsidR="00584859">
        <w:t xml:space="preserve">In that case, the truth value of P does matter and </w:t>
      </w:r>
      <w:r w:rsidR="00584859">
        <w:rPr>
          <w:rFonts w:hint="eastAsia"/>
        </w:rPr>
        <w:t>P</w:t>
      </w:r>
      <w:r w:rsidR="004A4339">
        <w:rPr>
          <w:rFonts w:hint="eastAsia"/>
        </w:rPr>
        <w:t xml:space="preserve"> </w:t>
      </w:r>
      <w:r w:rsidR="004A4339" w:rsidRPr="004A4339">
        <w:rPr>
          <w:rFonts w:hint="eastAsia"/>
        </w:rPr>
        <w:t>⇒</w:t>
      </w:r>
      <w:r w:rsidR="004A4339">
        <w:rPr>
          <w:rFonts w:hint="eastAsia"/>
        </w:rPr>
        <w:t xml:space="preserve"> </w:t>
      </w:r>
      <w:r w:rsidR="004A4339">
        <w:t>Q is not always true whenever Q is true</w:t>
      </w:r>
      <w:r w:rsidR="004E1C22">
        <w:t xml:space="preserve">.  Similar questions arise for another statement (P false, Q false implies P </w:t>
      </w:r>
      <w:r w:rsidR="004E1C22" w:rsidRPr="004E1C22">
        <w:rPr>
          <w:rFonts w:hint="eastAsia"/>
        </w:rPr>
        <w:t>⇒</w:t>
      </w:r>
      <w:r w:rsidR="004E1C22">
        <w:t xml:space="preserve"> Q).  </w:t>
      </w:r>
    </w:p>
    <w:p w14:paraId="20CABE06" w14:textId="1D61F92C" w:rsidR="006B19A5" w:rsidRDefault="00524E41" w:rsidP="00FB36AA">
      <w:pPr>
        <w:spacing w:line="480" w:lineRule="auto"/>
      </w:pPr>
      <w:r>
        <w:tab/>
        <w:t xml:space="preserve">Essentially, there are several leaps of faith that one </w:t>
      </w:r>
      <w:proofErr w:type="gramStart"/>
      <w:r>
        <w:t>has to</w:t>
      </w:r>
      <w:proofErr w:type="gramEnd"/>
      <w:r>
        <w:t xml:space="preserve"> make when studying logic.  For instance, another topic in set theory would be induction.  Certainly, numerical </w:t>
      </w:r>
      <w:r>
        <w:lastRenderedPageBreak/>
        <w:t xml:space="preserve">induction is valid yet </w:t>
      </w:r>
      <w:r w:rsidR="000B6280">
        <w:t xml:space="preserve">still requires us to assume that because it is true for the base case that it is true for all n.  </w:t>
      </w:r>
      <w:r w:rsidR="00F40BE0">
        <w:t xml:space="preserve">Experimental induction as in the case of Lakatos’ </w:t>
      </w:r>
      <w:proofErr w:type="spellStart"/>
      <w:r w:rsidR="00F40BE0">
        <w:t>polyhedra</w:t>
      </w:r>
      <w:proofErr w:type="spellEnd"/>
      <w:r w:rsidR="00F40BE0">
        <w:t xml:space="preserve"> proves to be nigh impossible </w:t>
      </w:r>
      <w:r w:rsidR="003F4126">
        <w:t xml:space="preserve">and demonstrates that our vague historical conception of </w:t>
      </w:r>
      <w:proofErr w:type="spellStart"/>
      <w:r w:rsidR="003F4126">
        <w:t>polyhedra</w:t>
      </w:r>
      <w:proofErr w:type="spellEnd"/>
      <w:r w:rsidR="003F4126">
        <w:t xml:space="preserve"> </w:t>
      </w:r>
      <w:r w:rsidR="00E1631B">
        <w:t>i</w:t>
      </w:r>
      <w:r w:rsidR="003F4126">
        <w:t xml:space="preserve">s rooted in its applicability to the world rather than in its truth.  As I discussed earlier, </w:t>
      </w:r>
      <w:r w:rsidR="00411552">
        <w:t xml:space="preserve">the extent to which we are willing to draw inferences from a handful of socially-biased examples </w:t>
      </w:r>
      <w:proofErr w:type="gramStart"/>
      <w:r w:rsidR="00411552">
        <w:t>is</w:t>
      </w:r>
      <w:proofErr w:type="gramEnd"/>
      <w:r w:rsidR="00411552">
        <w:t xml:space="preserve"> highly dependent on historical circumstances.  </w:t>
      </w:r>
    </w:p>
    <w:p w14:paraId="4E6AF0AE" w14:textId="086FE61F" w:rsidR="00A148B8" w:rsidRDefault="006B19A5" w:rsidP="00FB36AA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47345" wp14:editId="0F48652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76500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434" y="21447"/>
                <wp:lineTo x="21434" y="0"/>
                <wp:lineTo x="0" y="0"/>
              </wp:wrapPolygon>
            </wp:wrapThrough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tor fun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486" cy="16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30">
        <w:t xml:space="preserve">For one final example, consider the Cantor </w:t>
      </w:r>
      <w:r w:rsidR="001E55BD">
        <w:t>function (</w:t>
      </w:r>
      <w:r w:rsidR="003F377C">
        <w:t>graphically representing the</w:t>
      </w:r>
      <w:r w:rsidR="001E55BD">
        <w:t xml:space="preserve"> Cantor set constructed by recursively removing middle thirds; flat portions on the function represent removals)</w:t>
      </w:r>
      <w:r w:rsidR="00745554">
        <w:t xml:space="preserve">.  It’s clear that somewhere within the </w:t>
      </w:r>
      <w:r w:rsidR="003F377C">
        <w:t>remaining dust</w:t>
      </w:r>
      <w:r w:rsidR="00745554">
        <w:t xml:space="preserve"> we achieve</w:t>
      </w:r>
      <w:r w:rsidR="003F377C">
        <w:t xml:space="preserve"> </w:t>
      </w:r>
      <w:r w:rsidR="00967034">
        <w:t>non-absolute</w:t>
      </w:r>
      <w:r w:rsidR="003F377C">
        <w:t xml:space="preserve"> continuity</w:t>
      </w:r>
      <w:r w:rsidR="003F377C">
        <w:rPr>
          <w:rStyle w:val="FootnoteReference"/>
        </w:rPr>
        <w:footnoteReference w:id="26"/>
      </w:r>
      <w:r w:rsidR="0081330D">
        <w:t xml:space="preserve">; </w:t>
      </w:r>
      <w:r w:rsidR="00A148B8">
        <w:t>the function’s</w:t>
      </w:r>
      <w:r w:rsidR="0081330D">
        <w:t xml:space="preserve"> derivative is always 0</w:t>
      </w:r>
      <w:r w:rsidR="00A148B8">
        <w:t xml:space="preserve"> </w:t>
      </w:r>
      <w:r w:rsidR="00A148B8">
        <w:t xml:space="preserve">but </w:t>
      </w:r>
      <w:r w:rsidR="00A148B8">
        <w:t>it</w:t>
      </w:r>
      <w:r w:rsidR="00A148B8">
        <w:t xml:space="preserve"> continues to increase</w:t>
      </w:r>
      <w:r w:rsidR="00A148B8">
        <w:t xml:space="preserve"> and so demonstrates</w:t>
      </w:r>
      <w:r w:rsidR="00A148B8">
        <w:t xml:space="preserve"> our limited knowledge</w:t>
      </w:r>
      <w:r w:rsidR="00A148B8">
        <w:t xml:space="preserve"> of in</w:t>
      </w:r>
      <w:r w:rsidR="00135DDC">
        <w:t>tegra</w:t>
      </w:r>
      <w:r w:rsidR="00367022">
        <w:t>ls against Cantorian infinity</w:t>
      </w:r>
      <w:r w:rsidR="00A148B8">
        <w:t>.</w:t>
      </w:r>
      <w:r w:rsidR="002D711B">
        <w:t xml:space="preserve">  I</w:t>
      </w:r>
      <w:r w:rsidR="00972CBD">
        <w:t xml:space="preserve">n order to maintain depth and progression in mathematics, it is crucial that we </w:t>
      </w:r>
      <w:r w:rsidR="00D44B3C">
        <w:t xml:space="preserve">do not let </w:t>
      </w:r>
      <w:r w:rsidR="008C320E">
        <w:t>ideas</w:t>
      </w:r>
      <w:r w:rsidR="00D44B3C">
        <w:t xml:space="preserve"> be certain</w:t>
      </w:r>
      <w:r w:rsidR="00DF0BAE">
        <w:t xml:space="preserve">.  </w:t>
      </w:r>
      <w:r w:rsidR="007F3991">
        <w:t>M</w:t>
      </w:r>
      <w:r w:rsidR="00DF0BAE">
        <w:t xml:space="preserve">ath as a human invention is an excellent </w:t>
      </w:r>
      <w:r w:rsidR="007F3991">
        <w:t xml:space="preserve">but fallible, socially-constructed </w:t>
      </w:r>
      <w:r w:rsidR="00DF0BAE">
        <w:t>system for understanding the world</w:t>
      </w:r>
      <w:r w:rsidR="007F3991">
        <w:t xml:space="preserve">.  </w:t>
      </w:r>
    </w:p>
    <w:p w14:paraId="57478DB5" w14:textId="77777777" w:rsidR="00A148B8" w:rsidRDefault="00A148B8">
      <w:r>
        <w:br w:type="page"/>
      </w:r>
    </w:p>
    <w:p w14:paraId="700EE38C" w14:textId="52E4698A" w:rsidR="00FB36AA" w:rsidRDefault="00FB36AA" w:rsidP="00FB36AA">
      <w:pPr>
        <w:spacing w:line="480" w:lineRule="auto"/>
      </w:pPr>
      <w:r>
        <w:t>Work</w:t>
      </w:r>
      <w:r w:rsidR="0017459C">
        <w:t>s Cited</w:t>
      </w:r>
      <w:r>
        <w:t>:</w:t>
      </w:r>
      <w:r w:rsidR="00925A1C">
        <w:t xml:space="preserve">  </w:t>
      </w:r>
    </w:p>
    <w:p w14:paraId="2899A91D" w14:textId="34708AE6" w:rsidR="00E71CE8" w:rsidRDefault="00E71CE8" w:rsidP="00FB36AA">
      <w:pPr>
        <w:spacing w:line="480" w:lineRule="auto"/>
      </w:pPr>
    </w:p>
    <w:p w14:paraId="5C8D5845" w14:textId="50EC9B94" w:rsidR="00511BE6" w:rsidRDefault="00511BE6" w:rsidP="00511BE6">
      <w:pPr>
        <w:spacing w:line="480" w:lineRule="auto"/>
        <w:ind w:left="720" w:hanging="720"/>
      </w:pPr>
      <w:r w:rsidRPr="0074651F">
        <w:t>Benacerraf, P. and Putnam, H. (1983).</w:t>
      </w:r>
      <w:r>
        <w:t xml:space="preserve"> </w:t>
      </w:r>
      <w:r w:rsidRPr="0074651F">
        <w:t> </w:t>
      </w:r>
      <w:r w:rsidRPr="0074651F">
        <w:rPr>
          <w:i/>
          <w:iCs/>
        </w:rPr>
        <w:t xml:space="preserve">Philosophy of </w:t>
      </w:r>
      <w:r>
        <w:rPr>
          <w:i/>
          <w:iCs/>
        </w:rPr>
        <w:t>M</w:t>
      </w:r>
      <w:r w:rsidRPr="0074651F">
        <w:rPr>
          <w:i/>
          <w:iCs/>
        </w:rPr>
        <w:t>athematics: Selected Readings</w:t>
      </w:r>
      <w:r w:rsidRPr="0074651F">
        <w:t>.</w:t>
      </w:r>
      <w:r>
        <w:t xml:space="preserve">  </w:t>
      </w:r>
      <w:r w:rsidRPr="0074651F">
        <w:t>New York: Cambridge University Press, p.</w:t>
      </w:r>
      <w:r>
        <w:t xml:space="preserve"> </w:t>
      </w:r>
      <w:r w:rsidRPr="0074651F">
        <w:t>90-97.</w:t>
      </w:r>
      <w:r>
        <w:t xml:space="preserve">  </w:t>
      </w:r>
    </w:p>
    <w:p w14:paraId="3B269B1E" w14:textId="77777777" w:rsidR="000B6280" w:rsidRDefault="00293C86" w:rsidP="000B6280">
      <w:pPr>
        <w:spacing w:line="480" w:lineRule="auto"/>
        <w:ind w:left="720" w:hanging="720"/>
      </w:pPr>
      <w:r w:rsidRPr="00293C86">
        <w:t>Ernest, P. (2016).</w:t>
      </w:r>
      <w:r>
        <w:t xml:space="preserve">  </w:t>
      </w:r>
      <w:r w:rsidRPr="00293C86">
        <w:t>The problem of certainty in mathematics.</w:t>
      </w:r>
      <w:r>
        <w:t xml:space="preserve">  </w:t>
      </w:r>
      <w:r w:rsidRPr="00293C86">
        <w:rPr>
          <w:i/>
          <w:iCs/>
        </w:rPr>
        <w:t>Educational Studies in Mathematics</w:t>
      </w:r>
      <w:r w:rsidRPr="00293C86">
        <w:t>, 92</w:t>
      </w:r>
      <w:r>
        <w:t xml:space="preserve"> </w:t>
      </w:r>
      <w:r w:rsidRPr="00293C86">
        <w:t>(3), p.</w:t>
      </w:r>
      <w:r>
        <w:t xml:space="preserve"> </w:t>
      </w:r>
      <w:r w:rsidRPr="00293C86">
        <w:t>379-393.</w:t>
      </w:r>
      <w:r>
        <w:t xml:space="preserve">  </w:t>
      </w:r>
      <w:r w:rsidRPr="00293C86">
        <w:t>https://link.springer.com/article/10.1007/s10649-015-9651-x</w:t>
      </w:r>
      <w:r>
        <w:t xml:space="preserve">.  </w:t>
      </w:r>
    </w:p>
    <w:p w14:paraId="1F0DC812" w14:textId="4F243589" w:rsidR="00696C6B" w:rsidRDefault="00696C6B" w:rsidP="000B6280">
      <w:pPr>
        <w:spacing w:line="480" w:lineRule="auto"/>
        <w:ind w:left="720" w:hanging="720"/>
      </w:pPr>
      <w:r w:rsidRPr="00696C6B">
        <w:t xml:space="preserve">Gold, B. (1999). Social Constructivism as a Philosophy of Mathematics. </w:t>
      </w:r>
      <w:r>
        <w:t xml:space="preserve"> </w:t>
      </w:r>
      <w:r w:rsidRPr="00696C6B">
        <w:t xml:space="preserve">By Paul Ernest, </w:t>
      </w:r>
      <w:proofErr w:type="gramStart"/>
      <w:r w:rsidRPr="00696C6B">
        <w:t>What</w:t>
      </w:r>
      <w:proofErr w:type="gramEnd"/>
      <w:r w:rsidRPr="00696C6B">
        <w:t xml:space="preserve"> is Mathematics, Really? </w:t>
      </w:r>
      <w:r>
        <w:t xml:space="preserve"> </w:t>
      </w:r>
      <w:r w:rsidRPr="00696C6B">
        <w:t>By Reuben Hersh. </w:t>
      </w:r>
      <w:r>
        <w:t xml:space="preserve"> </w:t>
      </w:r>
      <w:r w:rsidRPr="00696C6B">
        <w:rPr>
          <w:i/>
          <w:iCs/>
        </w:rPr>
        <w:t>The American Mathematical Monthly</w:t>
      </w:r>
      <w:r w:rsidRPr="00696C6B">
        <w:t>,</w:t>
      </w:r>
      <w:r>
        <w:t xml:space="preserve"> </w:t>
      </w:r>
      <w:r w:rsidRPr="00696C6B">
        <w:t>106</w:t>
      </w:r>
      <w:r>
        <w:t xml:space="preserve"> </w:t>
      </w:r>
      <w:r w:rsidRPr="00696C6B">
        <w:t>(4), p.</w:t>
      </w:r>
      <w:r>
        <w:t xml:space="preserve"> </w:t>
      </w:r>
      <w:r w:rsidRPr="00696C6B">
        <w:t>373-80</w:t>
      </w:r>
      <w:r>
        <w:t xml:space="preserve">.  </w:t>
      </w:r>
      <w:r w:rsidRPr="00696C6B">
        <w:t xml:space="preserve"> https://www.tandfonline.com/doi/pdf/10.1080/00029890.1999.12005058.</w:t>
      </w:r>
      <w:r>
        <w:t xml:space="preserve">  </w:t>
      </w:r>
    </w:p>
    <w:p w14:paraId="408BF1BF" w14:textId="2C0F6C34" w:rsidR="00FB36AA" w:rsidRDefault="0000517D" w:rsidP="00925A1C">
      <w:pPr>
        <w:spacing w:line="480" w:lineRule="auto"/>
        <w:ind w:left="720" w:hanging="720"/>
      </w:pPr>
      <w:r w:rsidRPr="0000517D">
        <w:t>Lakatos, I.</w:t>
      </w:r>
      <w:r w:rsidR="00925A1C">
        <w:t xml:space="preserve">  </w:t>
      </w:r>
      <w:r w:rsidR="00925A1C" w:rsidRPr="00925A1C">
        <w:t xml:space="preserve">(John Worrall &amp; Elie </w:t>
      </w:r>
      <w:proofErr w:type="spellStart"/>
      <w:r w:rsidR="00925A1C" w:rsidRPr="00925A1C">
        <w:t>Zahar</w:t>
      </w:r>
      <w:proofErr w:type="spellEnd"/>
      <w:r w:rsidR="00925A1C" w:rsidRPr="00925A1C">
        <w:t>, Eds.)</w:t>
      </w:r>
      <w:r w:rsidR="00925A1C">
        <w:t xml:space="preserve">  </w:t>
      </w:r>
      <w:r w:rsidRPr="0000517D">
        <w:rPr>
          <w:i/>
          <w:iCs/>
        </w:rPr>
        <w:t>Proofs and Refutations</w:t>
      </w:r>
      <w:r w:rsidRPr="0000517D">
        <w:t xml:space="preserve">. </w:t>
      </w:r>
      <w:r>
        <w:t xml:space="preserve"> </w:t>
      </w:r>
      <w:r w:rsidRPr="0000517D">
        <w:t>Cambridge: Cambridge University Press</w:t>
      </w:r>
      <w:r w:rsidR="00925A1C">
        <w:t xml:space="preserve">, 1976.  </w:t>
      </w:r>
    </w:p>
    <w:p w14:paraId="4CCCA59C" w14:textId="2C30E2A2" w:rsidR="00925A1C" w:rsidRDefault="005928A9" w:rsidP="00C143CE">
      <w:pPr>
        <w:spacing w:line="480" w:lineRule="auto"/>
        <w:ind w:left="720" w:hanging="720"/>
      </w:pPr>
      <w:proofErr w:type="spellStart"/>
      <w:r w:rsidRPr="005928A9">
        <w:lastRenderedPageBreak/>
        <w:t>Skovsmose</w:t>
      </w:r>
      <w:proofErr w:type="spellEnd"/>
      <w:r w:rsidRPr="005928A9">
        <w:t xml:space="preserve">, O. (2000). </w:t>
      </w:r>
      <w:r>
        <w:t xml:space="preserve"> </w:t>
      </w:r>
      <w:proofErr w:type="spellStart"/>
      <w:r w:rsidRPr="005928A9">
        <w:t>Aporism</w:t>
      </w:r>
      <w:proofErr w:type="spellEnd"/>
      <w:r w:rsidRPr="005928A9">
        <w:t xml:space="preserve"> and Critical Mathematics Education. </w:t>
      </w:r>
      <w:r>
        <w:t xml:space="preserve"> </w:t>
      </w:r>
      <w:r w:rsidRPr="005928A9">
        <w:rPr>
          <w:i/>
          <w:iCs/>
        </w:rPr>
        <w:t>For the Learning of Mathematics</w:t>
      </w:r>
      <w:r w:rsidRPr="005928A9">
        <w:t>,</w:t>
      </w:r>
      <w:r>
        <w:t xml:space="preserve"> </w:t>
      </w:r>
      <w:r w:rsidRPr="005928A9">
        <w:t>20</w:t>
      </w:r>
      <w:r>
        <w:t xml:space="preserve"> </w:t>
      </w:r>
      <w:r w:rsidRPr="005928A9">
        <w:t>(1), p.</w:t>
      </w:r>
      <w:r w:rsidR="00921036">
        <w:t xml:space="preserve"> </w:t>
      </w:r>
      <w:r w:rsidRPr="005928A9">
        <w:t>2-8</w:t>
      </w:r>
      <w:r>
        <w:t xml:space="preserve">.  </w:t>
      </w:r>
      <w:r w:rsidRPr="005928A9">
        <w:t xml:space="preserve">https://www.jstor.org/stable/40248312 </w:t>
      </w:r>
    </w:p>
    <w:p w14:paraId="5E11E14D" w14:textId="1C92A9FF" w:rsidR="00C143CE" w:rsidRDefault="00C143CE" w:rsidP="00C143CE">
      <w:pPr>
        <w:spacing w:line="480" w:lineRule="auto"/>
        <w:ind w:left="720" w:hanging="720"/>
      </w:pPr>
      <w:proofErr w:type="spellStart"/>
      <w:r w:rsidRPr="00C143CE">
        <w:t>Sriraman</w:t>
      </w:r>
      <w:proofErr w:type="spellEnd"/>
      <w:r w:rsidRPr="00C143CE">
        <w:t xml:space="preserve">, B. and </w:t>
      </w:r>
      <w:proofErr w:type="spellStart"/>
      <w:r w:rsidRPr="00C143CE">
        <w:t>Haverhals</w:t>
      </w:r>
      <w:proofErr w:type="spellEnd"/>
      <w:r w:rsidRPr="00C143CE">
        <w:t>, N. (2009).</w:t>
      </w:r>
      <w:r>
        <w:t xml:space="preserve">  </w:t>
      </w:r>
      <w:r w:rsidRPr="00C143CE">
        <w:t>Preface to Part II Ernest’s Reflections on Theories of Learning.</w:t>
      </w:r>
      <w:r>
        <w:t xml:space="preserve">  </w:t>
      </w:r>
      <w:r w:rsidRPr="00C143CE">
        <w:rPr>
          <w:i/>
          <w:iCs/>
        </w:rPr>
        <w:t>Theories of Mathematics Education</w:t>
      </w:r>
      <w:r w:rsidRPr="00C143CE">
        <w:t>, p.</w:t>
      </w:r>
      <w:r>
        <w:t xml:space="preserve"> </w:t>
      </w:r>
      <w:r w:rsidRPr="00C143CE">
        <w:t>35-38.</w:t>
      </w:r>
      <w:r>
        <w:t xml:space="preserve">  </w:t>
      </w:r>
    </w:p>
    <w:p w14:paraId="419056E8" w14:textId="397308BE" w:rsidR="001E55BD" w:rsidRDefault="001E55BD" w:rsidP="00C143CE">
      <w:pPr>
        <w:spacing w:line="480" w:lineRule="auto"/>
        <w:ind w:left="720" w:hanging="720"/>
      </w:pPr>
      <w:proofErr w:type="spellStart"/>
      <w:r w:rsidRPr="001E55BD">
        <w:t>Weisstein</w:t>
      </w:r>
      <w:proofErr w:type="spellEnd"/>
      <w:r w:rsidRPr="001E55BD">
        <w:t>, E. (2019).</w:t>
      </w:r>
      <w:r>
        <w:t xml:space="preserve">  </w:t>
      </w:r>
      <w:r w:rsidRPr="001E55BD">
        <w:rPr>
          <w:i/>
          <w:iCs/>
        </w:rPr>
        <w:t>"Cantor Function"</w:t>
      </w:r>
      <w:r w:rsidRPr="001E55BD">
        <w:t>.</w:t>
      </w:r>
      <w:r>
        <w:t xml:space="preserve">  </w:t>
      </w:r>
      <w:r w:rsidRPr="001E55BD">
        <w:t>Mathworld.wolfram.com.</w:t>
      </w:r>
      <w:r>
        <w:t xml:space="preserve">  </w:t>
      </w:r>
      <w:r w:rsidRPr="001E55BD">
        <w:t>http://mathworld.wolfram.com/CantorFunction.html</w:t>
      </w:r>
      <w:r>
        <w:t xml:space="preserve">.  </w:t>
      </w:r>
      <w:bookmarkStart w:id="0" w:name="_GoBack"/>
      <w:bookmarkEnd w:id="0"/>
    </w:p>
    <w:p w14:paraId="4523D8AC" w14:textId="77777777" w:rsidR="00C143CE" w:rsidRDefault="00C143CE" w:rsidP="00C143CE">
      <w:pPr>
        <w:spacing w:line="480" w:lineRule="auto"/>
        <w:ind w:left="720" w:hanging="720"/>
      </w:pPr>
    </w:p>
    <w:sectPr w:rsidR="00C143CE" w:rsidSect="0034081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A713" w14:textId="77777777" w:rsidR="00FE20AD" w:rsidRDefault="00FE20AD" w:rsidP="00340811">
      <w:r>
        <w:separator/>
      </w:r>
    </w:p>
  </w:endnote>
  <w:endnote w:type="continuationSeparator" w:id="0">
    <w:p w14:paraId="5A21D267" w14:textId="77777777" w:rsidR="00FE20AD" w:rsidRDefault="00FE20AD" w:rsidP="0034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40DCC" w14:textId="77777777" w:rsidR="00FE20AD" w:rsidRDefault="00FE20AD" w:rsidP="00340811">
      <w:r>
        <w:separator/>
      </w:r>
    </w:p>
  </w:footnote>
  <w:footnote w:type="continuationSeparator" w:id="0">
    <w:p w14:paraId="18E59350" w14:textId="77777777" w:rsidR="00FE20AD" w:rsidRDefault="00FE20AD" w:rsidP="00340811">
      <w:r>
        <w:continuationSeparator/>
      </w:r>
    </w:p>
  </w:footnote>
  <w:footnote w:id="1">
    <w:p w14:paraId="44EB6EE4" w14:textId="1DFD6AFB" w:rsidR="00A33450" w:rsidRDefault="00A334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Skovsmose</w:t>
      </w:r>
      <w:proofErr w:type="spellEnd"/>
      <w:r>
        <w:t xml:space="preserve">, </w:t>
      </w:r>
      <w:r w:rsidRPr="00F42D70">
        <w:rPr>
          <w:i/>
        </w:rPr>
        <w:t>Aphorism and Critical Mathematics Education,</w:t>
      </w:r>
      <w:r>
        <w:t xml:space="preserve"> p</w:t>
      </w:r>
      <w:r w:rsidR="00612EE2">
        <w:t xml:space="preserve">. </w:t>
      </w:r>
      <w:r w:rsidR="00365C1C">
        <w:t>7</w:t>
      </w:r>
      <w:r w:rsidR="00B74B20">
        <w:t xml:space="preserve">.  </w:t>
      </w:r>
    </w:p>
  </w:footnote>
  <w:footnote w:id="2">
    <w:p w14:paraId="36EA5F58" w14:textId="09664A0F" w:rsidR="00D74651" w:rsidRDefault="00D746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7.  </w:t>
      </w:r>
    </w:p>
  </w:footnote>
  <w:footnote w:id="3">
    <w:p w14:paraId="115F6856" w14:textId="542D101D" w:rsidR="002B4B1D" w:rsidRDefault="002B4B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7.  </w:t>
      </w:r>
    </w:p>
  </w:footnote>
  <w:footnote w:id="4">
    <w:p w14:paraId="6158E9B0" w14:textId="7E569900" w:rsidR="003274A6" w:rsidRDefault="003274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Sriraman</w:t>
      </w:r>
      <w:proofErr w:type="spellEnd"/>
      <w:r w:rsidR="002A6D35">
        <w:t>,</w:t>
      </w:r>
      <w:r w:rsidR="008F4F7A">
        <w:t xml:space="preserve"> </w:t>
      </w:r>
      <w:r w:rsidR="002A6D35" w:rsidRPr="00F42D70">
        <w:rPr>
          <w:i/>
        </w:rPr>
        <w:t>Preface to Part II Ernest’s Reflections on Theories of Learning,</w:t>
      </w:r>
      <w:r w:rsidR="002A6D35" w:rsidRPr="002A6D35">
        <w:t xml:space="preserve"> </w:t>
      </w:r>
      <w:r w:rsidR="008F4F7A">
        <w:t xml:space="preserve">p. 36.  </w:t>
      </w:r>
    </w:p>
  </w:footnote>
  <w:footnote w:id="5">
    <w:p w14:paraId="3FC0ED77" w14:textId="515AF566" w:rsidR="009D3F97" w:rsidRDefault="009D3F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Srir</w:t>
      </w:r>
      <w:r w:rsidR="00A50B72">
        <w:t>aman</w:t>
      </w:r>
      <w:proofErr w:type="spellEnd"/>
      <w:r w:rsidR="00A50B72">
        <w:t xml:space="preserve">, p. 36.  </w:t>
      </w:r>
    </w:p>
  </w:footnote>
  <w:footnote w:id="6">
    <w:p w14:paraId="34B16647" w14:textId="5BCB6446" w:rsidR="00C85D50" w:rsidRPr="00C85D50" w:rsidRDefault="00C85D50">
      <w:pPr>
        <w:pStyle w:val="FootnoteText"/>
        <w:rPr>
          <w:lang w:val="en"/>
        </w:rPr>
      </w:pPr>
      <w:r>
        <w:rPr>
          <w:rStyle w:val="FootnoteReference"/>
        </w:rPr>
        <w:footnoteRef/>
      </w:r>
      <w:r>
        <w:t xml:space="preserve"> Ernest, </w:t>
      </w:r>
      <w:r w:rsidRPr="00F42D70">
        <w:rPr>
          <w:i/>
        </w:rPr>
        <w:t>The problem of certainty in mathematics,</w:t>
      </w:r>
      <w:r>
        <w:t xml:space="preserve"> p. </w:t>
      </w:r>
      <w:r w:rsidR="00990F49">
        <w:t xml:space="preserve">391.  </w:t>
      </w:r>
    </w:p>
  </w:footnote>
  <w:footnote w:id="7">
    <w:p w14:paraId="7B79BCA1" w14:textId="1375C0C4" w:rsidR="00CD4C59" w:rsidRDefault="00CD4C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391.  </w:t>
      </w:r>
    </w:p>
  </w:footnote>
  <w:footnote w:id="8">
    <w:p w14:paraId="731D65D7" w14:textId="01BB0921" w:rsidR="00D456B1" w:rsidRDefault="00D456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F541E">
        <w:t xml:space="preserve">Ernest, p. 389.  </w:t>
      </w:r>
    </w:p>
  </w:footnote>
  <w:footnote w:id="9">
    <w:p w14:paraId="67894048" w14:textId="10332D53" w:rsidR="00E937ED" w:rsidRPr="00E937ED" w:rsidRDefault="00E937ED">
      <w:pPr>
        <w:pStyle w:val="FootnoteText"/>
      </w:pPr>
      <w:r>
        <w:rPr>
          <w:rStyle w:val="FootnoteReference"/>
        </w:rPr>
        <w:footnoteRef/>
      </w:r>
      <w:r>
        <w:t xml:space="preserve"> Lakatos, </w:t>
      </w:r>
      <w:r>
        <w:rPr>
          <w:i/>
        </w:rPr>
        <w:t>Proofs and Refutations,</w:t>
      </w:r>
      <w:r>
        <w:t xml:space="preserve"> p. 3.  </w:t>
      </w:r>
    </w:p>
  </w:footnote>
  <w:footnote w:id="10">
    <w:p w14:paraId="3DD17FA9" w14:textId="28E506FB" w:rsidR="004D1129" w:rsidRDefault="004D11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>, p</w:t>
      </w:r>
      <w:r w:rsidR="00613802">
        <w:t>. 4</w:t>
      </w:r>
      <w:r w:rsidR="00190083">
        <w:t>-5</w:t>
      </w:r>
      <w:r w:rsidR="00613802">
        <w:t xml:space="preserve">.  </w:t>
      </w:r>
    </w:p>
  </w:footnote>
  <w:footnote w:id="11">
    <w:p w14:paraId="3243CD90" w14:textId="61B81CB2" w:rsidR="00D1095E" w:rsidRPr="00AC23F1" w:rsidRDefault="00D1095E">
      <w:pPr>
        <w:pStyle w:val="FootnoteText"/>
      </w:pPr>
      <w:r>
        <w:rPr>
          <w:rStyle w:val="FootnoteReference"/>
        </w:rPr>
        <w:footnoteRef/>
      </w:r>
      <w:r>
        <w:t xml:space="preserve"> Brouwer, </w:t>
      </w:r>
      <w:r>
        <w:rPr>
          <w:i/>
        </w:rPr>
        <w:t xml:space="preserve">Consciousness, philosophy, and mathematics, </w:t>
      </w:r>
      <w:r w:rsidR="00AC23F1">
        <w:t xml:space="preserve">p. 93.  </w:t>
      </w:r>
    </w:p>
  </w:footnote>
  <w:footnote w:id="12">
    <w:p w14:paraId="0C88C514" w14:textId="4E99AF6B" w:rsidR="008E25D4" w:rsidRDefault="008E25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>, p. 9</w:t>
      </w:r>
      <w:r w:rsidR="005A1922">
        <w:t>4</w:t>
      </w:r>
      <w:r>
        <w:t xml:space="preserve">.  </w:t>
      </w:r>
    </w:p>
  </w:footnote>
  <w:footnote w:id="13">
    <w:p w14:paraId="3AE2BC53" w14:textId="418E04E5" w:rsidR="001E62BD" w:rsidRDefault="001E62BD">
      <w:pPr>
        <w:pStyle w:val="FootnoteText"/>
      </w:pPr>
      <w:r>
        <w:rPr>
          <w:rStyle w:val="FootnoteReference"/>
        </w:rPr>
        <w:footnoteRef/>
      </w:r>
      <w:r>
        <w:t xml:space="preserve"> Lakatos, p. 6.  </w:t>
      </w:r>
    </w:p>
  </w:footnote>
  <w:footnote w:id="14">
    <w:p w14:paraId="629A158C" w14:textId="18CB327C" w:rsidR="001E62BD" w:rsidRDefault="001E62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6.  </w:t>
      </w:r>
    </w:p>
  </w:footnote>
  <w:footnote w:id="15">
    <w:p w14:paraId="05B25C34" w14:textId="4996FD98" w:rsidR="002C26FB" w:rsidRDefault="002C26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10.  </w:t>
      </w:r>
    </w:p>
  </w:footnote>
  <w:footnote w:id="16">
    <w:p w14:paraId="086B81EC" w14:textId="3266CAC9" w:rsidR="000471EF" w:rsidRDefault="000471EF">
      <w:pPr>
        <w:pStyle w:val="FootnoteText"/>
      </w:pPr>
      <w:r>
        <w:rPr>
          <w:rStyle w:val="FootnoteReference"/>
        </w:rPr>
        <w:footnoteRef/>
      </w:r>
      <w:r>
        <w:t xml:space="preserve"> Lakatos, p. 23.  </w:t>
      </w:r>
    </w:p>
  </w:footnote>
  <w:footnote w:id="17">
    <w:p w14:paraId="36811B23" w14:textId="1F5E41B9" w:rsidR="004214E5" w:rsidRDefault="004214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Ibid.,</w:t>
      </w:r>
      <w:r>
        <w:t xml:space="preserve"> p. 25.  </w:t>
      </w:r>
    </w:p>
  </w:footnote>
  <w:footnote w:id="18">
    <w:p w14:paraId="48F3BCB1" w14:textId="34185310" w:rsidR="00A41DEE" w:rsidRDefault="00A41D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53.  </w:t>
      </w:r>
    </w:p>
  </w:footnote>
  <w:footnote w:id="19">
    <w:p w14:paraId="2DE6B3B7" w14:textId="6A0A285A" w:rsidR="009B6F8C" w:rsidRDefault="009B6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77.  </w:t>
      </w:r>
    </w:p>
  </w:footnote>
  <w:footnote w:id="20">
    <w:p w14:paraId="0E173940" w14:textId="77777777" w:rsidR="00A0223C" w:rsidRDefault="00A0223C" w:rsidP="00A0223C">
      <w:pPr>
        <w:pStyle w:val="FootnoteText"/>
      </w:pPr>
      <w:r>
        <w:rPr>
          <w:rStyle w:val="FootnoteReference"/>
        </w:rPr>
        <w:footnoteRef/>
      </w:r>
      <w:r>
        <w:t xml:space="preserve"> Lakatos, p. 78.  </w:t>
      </w:r>
    </w:p>
  </w:footnote>
  <w:footnote w:id="21">
    <w:p w14:paraId="3FE7DF99" w14:textId="6087E34B" w:rsidR="007B53CC" w:rsidRDefault="007B53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87.  </w:t>
      </w:r>
    </w:p>
  </w:footnote>
  <w:footnote w:id="22">
    <w:p w14:paraId="2F1B8210" w14:textId="153C0E13" w:rsidR="00F53061" w:rsidRDefault="00F530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D70">
        <w:t>Ibid.</w:t>
      </w:r>
      <w:r>
        <w:t xml:space="preserve">, p. 89.  </w:t>
      </w:r>
    </w:p>
  </w:footnote>
  <w:footnote w:id="23">
    <w:p w14:paraId="49CC52EA" w14:textId="02F19460" w:rsidR="00C768C1" w:rsidRDefault="00C768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0BAA">
        <w:t>Gold</w:t>
      </w:r>
      <w:r w:rsidR="00FC3F40">
        <w:t xml:space="preserve">, </w:t>
      </w:r>
      <w:r w:rsidR="0000255E" w:rsidRPr="001D2C83">
        <w:rPr>
          <w:i/>
        </w:rPr>
        <w:t>Social Constructivism as a Philosophy of Mathematics</w:t>
      </w:r>
      <w:r w:rsidR="0000255E" w:rsidRPr="001D2C83">
        <w:rPr>
          <w:i/>
        </w:rPr>
        <w:t>,</w:t>
      </w:r>
      <w:r w:rsidR="0000255E">
        <w:t xml:space="preserve"> </w:t>
      </w:r>
      <w:r w:rsidR="00FC3F40">
        <w:t xml:space="preserve">p. 376.  </w:t>
      </w:r>
    </w:p>
  </w:footnote>
  <w:footnote w:id="24">
    <w:p w14:paraId="5E34709A" w14:textId="76FDEAAE" w:rsidR="007779E6" w:rsidRDefault="007779E6">
      <w:pPr>
        <w:pStyle w:val="FootnoteText"/>
      </w:pPr>
      <w:r>
        <w:rPr>
          <w:rStyle w:val="FootnoteReference"/>
        </w:rPr>
        <w:footnoteRef/>
      </w:r>
      <w:r w:rsidR="001D2C83">
        <w:t xml:space="preserve"> Ibid.</w:t>
      </w:r>
      <w:r>
        <w:t xml:space="preserve">, p. 377.  </w:t>
      </w:r>
    </w:p>
  </w:footnote>
  <w:footnote w:id="25">
    <w:p w14:paraId="06FAD1E4" w14:textId="69709CDF" w:rsidR="00B80BAA" w:rsidRDefault="00B80B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D2C83">
        <w:t>Ibid.</w:t>
      </w:r>
      <w:r>
        <w:t xml:space="preserve">, </w:t>
      </w:r>
      <w:r w:rsidR="001D2C83">
        <w:t xml:space="preserve">p. 380.  </w:t>
      </w:r>
    </w:p>
  </w:footnote>
  <w:footnote w:id="26">
    <w:p w14:paraId="691BD142" w14:textId="060ED2AE" w:rsidR="003F377C" w:rsidRDefault="003F377C" w:rsidP="003F3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A148B8" w:rsidRPr="00A148B8">
        <w:t>Weisstein</w:t>
      </w:r>
      <w:proofErr w:type="spellEnd"/>
      <w:r w:rsidR="00A148B8" w:rsidRPr="00A148B8">
        <w:t>, Eric W.</w:t>
      </w:r>
      <w:r w:rsidR="00A148B8">
        <w:t xml:space="preserve"> </w:t>
      </w:r>
      <w:r w:rsidR="00A148B8" w:rsidRPr="00A148B8">
        <w:t> "Cantor Function</w:t>
      </w:r>
      <w:r w:rsidR="00A148B8">
        <w:t>.</w:t>
      </w:r>
      <w:r w:rsidR="00A148B8" w:rsidRPr="00A148B8">
        <w:t>"</w:t>
      </w:r>
      <w:r w:rsidR="00A148B8">
        <w:t xml:space="preserve">  From </w:t>
      </w:r>
      <w:proofErr w:type="spellStart"/>
      <w:r w:rsidR="00A148B8">
        <w:t>MathWorld</w:t>
      </w:r>
      <w:proofErr w:type="spellEnd"/>
      <w:r w:rsidR="00A148B8"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A07E" w14:textId="77777777" w:rsidR="00FB36AA" w:rsidRDefault="00FB36AA" w:rsidP="003408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B165C9" w14:textId="77777777" w:rsidR="00FB36AA" w:rsidRDefault="00FB36AA" w:rsidP="003408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7438D" w14:textId="77777777" w:rsidR="00FB36AA" w:rsidRDefault="00FB36AA" w:rsidP="003408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7BE">
      <w:rPr>
        <w:rStyle w:val="PageNumber"/>
        <w:noProof/>
      </w:rPr>
      <w:t>5</w:t>
    </w:r>
    <w:r>
      <w:rPr>
        <w:rStyle w:val="PageNumber"/>
      </w:rPr>
      <w:fldChar w:fldCharType="end"/>
    </w:r>
  </w:p>
  <w:p w14:paraId="706DA246" w14:textId="77777777" w:rsidR="00FB36AA" w:rsidRDefault="00FB36AA" w:rsidP="0034081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C1"/>
    <w:rsid w:val="0000255E"/>
    <w:rsid w:val="0000517D"/>
    <w:rsid w:val="00011DDD"/>
    <w:rsid w:val="00022435"/>
    <w:rsid w:val="00025DC5"/>
    <w:rsid w:val="00036FA8"/>
    <w:rsid w:val="000406D6"/>
    <w:rsid w:val="00040A98"/>
    <w:rsid w:val="00041ED7"/>
    <w:rsid w:val="00041EE9"/>
    <w:rsid w:val="000471EF"/>
    <w:rsid w:val="0005528F"/>
    <w:rsid w:val="00076D73"/>
    <w:rsid w:val="00082638"/>
    <w:rsid w:val="00084857"/>
    <w:rsid w:val="0008692B"/>
    <w:rsid w:val="000A1697"/>
    <w:rsid w:val="000B6280"/>
    <w:rsid w:val="000C75BB"/>
    <w:rsid w:val="000D7744"/>
    <w:rsid w:val="000E3052"/>
    <w:rsid w:val="0010613A"/>
    <w:rsid w:val="00107841"/>
    <w:rsid w:val="00126450"/>
    <w:rsid w:val="00131451"/>
    <w:rsid w:val="00133D8D"/>
    <w:rsid w:val="00135DDC"/>
    <w:rsid w:val="001411B5"/>
    <w:rsid w:val="00145528"/>
    <w:rsid w:val="00153EAD"/>
    <w:rsid w:val="00155EB3"/>
    <w:rsid w:val="00161614"/>
    <w:rsid w:val="0017459C"/>
    <w:rsid w:val="00190083"/>
    <w:rsid w:val="001D0854"/>
    <w:rsid w:val="001D2C83"/>
    <w:rsid w:val="001D38A1"/>
    <w:rsid w:val="001D5C31"/>
    <w:rsid w:val="001E55BD"/>
    <w:rsid w:val="001E62BD"/>
    <w:rsid w:val="001F2685"/>
    <w:rsid w:val="001F3949"/>
    <w:rsid w:val="001F5F3A"/>
    <w:rsid w:val="0020556D"/>
    <w:rsid w:val="0021138D"/>
    <w:rsid w:val="00214211"/>
    <w:rsid w:val="00214B0B"/>
    <w:rsid w:val="00220547"/>
    <w:rsid w:val="00222432"/>
    <w:rsid w:val="002311B5"/>
    <w:rsid w:val="00243B54"/>
    <w:rsid w:val="002523B1"/>
    <w:rsid w:val="002627F9"/>
    <w:rsid w:val="00263FCA"/>
    <w:rsid w:val="00282310"/>
    <w:rsid w:val="00286445"/>
    <w:rsid w:val="00292B6C"/>
    <w:rsid w:val="00293C86"/>
    <w:rsid w:val="002A6D35"/>
    <w:rsid w:val="002B4B1D"/>
    <w:rsid w:val="002B4DED"/>
    <w:rsid w:val="002C26FB"/>
    <w:rsid w:val="002C4525"/>
    <w:rsid w:val="002C7141"/>
    <w:rsid w:val="002D711B"/>
    <w:rsid w:val="002E0E19"/>
    <w:rsid w:val="002F0928"/>
    <w:rsid w:val="002F6274"/>
    <w:rsid w:val="002F7694"/>
    <w:rsid w:val="00321644"/>
    <w:rsid w:val="00321D08"/>
    <w:rsid w:val="003274A6"/>
    <w:rsid w:val="00333DB1"/>
    <w:rsid w:val="00340811"/>
    <w:rsid w:val="00351B7A"/>
    <w:rsid w:val="00355F32"/>
    <w:rsid w:val="00357A88"/>
    <w:rsid w:val="00365C1C"/>
    <w:rsid w:val="00367022"/>
    <w:rsid w:val="00374631"/>
    <w:rsid w:val="0037511B"/>
    <w:rsid w:val="00377D82"/>
    <w:rsid w:val="00381FE0"/>
    <w:rsid w:val="003933F2"/>
    <w:rsid w:val="00396E22"/>
    <w:rsid w:val="003B60D5"/>
    <w:rsid w:val="003D4707"/>
    <w:rsid w:val="003E5E73"/>
    <w:rsid w:val="003F0019"/>
    <w:rsid w:val="003F377C"/>
    <w:rsid w:val="003F4126"/>
    <w:rsid w:val="003F4FC5"/>
    <w:rsid w:val="004028C1"/>
    <w:rsid w:val="00411552"/>
    <w:rsid w:val="004169BE"/>
    <w:rsid w:val="004214E5"/>
    <w:rsid w:val="00426241"/>
    <w:rsid w:val="00431C1B"/>
    <w:rsid w:val="004467EC"/>
    <w:rsid w:val="00450E05"/>
    <w:rsid w:val="00481807"/>
    <w:rsid w:val="00484078"/>
    <w:rsid w:val="00497F8F"/>
    <w:rsid w:val="004A3314"/>
    <w:rsid w:val="004A4339"/>
    <w:rsid w:val="004B2CB3"/>
    <w:rsid w:val="004B3759"/>
    <w:rsid w:val="004B39B7"/>
    <w:rsid w:val="004B3B7B"/>
    <w:rsid w:val="004C010D"/>
    <w:rsid w:val="004C3884"/>
    <w:rsid w:val="004D1129"/>
    <w:rsid w:val="004D173E"/>
    <w:rsid w:val="004D5CFF"/>
    <w:rsid w:val="004E1C22"/>
    <w:rsid w:val="004E5311"/>
    <w:rsid w:val="004F3D8C"/>
    <w:rsid w:val="004F6B2F"/>
    <w:rsid w:val="005002B7"/>
    <w:rsid w:val="005004BD"/>
    <w:rsid w:val="00507F03"/>
    <w:rsid w:val="00511BE6"/>
    <w:rsid w:val="00522007"/>
    <w:rsid w:val="00524E41"/>
    <w:rsid w:val="005445DB"/>
    <w:rsid w:val="005556AC"/>
    <w:rsid w:val="005575DA"/>
    <w:rsid w:val="00566974"/>
    <w:rsid w:val="0057502D"/>
    <w:rsid w:val="00584832"/>
    <w:rsid w:val="00584859"/>
    <w:rsid w:val="005928A9"/>
    <w:rsid w:val="00597F84"/>
    <w:rsid w:val="005A1922"/>
    <w:rsid w:val="005A33D4"/>
    <w:rsid w:val="005D29E4"/>
    <w:rsid w:val="005E1230"/>
    <w:rsid w:val="005F1FAD"/>
    <w:rsid w:val="005F7B48"/>
    <w:rsid w:val="00605EDF"/>
    <w:rsid w:val="00612EE2"/>
    <w:rsid w:val="00613802"/>
    <w:rsid w:val="00621532"/>
    <w:rsid w:val="00627D5E"/>
    <w:rsid w:val="006335A2"/>
    <w:rsid w:val="006429A5"/>
    <w:rsid w:val="0064642F"/>
    <w:rsid w:val="006500DF"/>
    <w:rsid w:val="006564D1"/>
    <w:rsid w:val="006603DF"/>
    <w:rsid w:val="00673752"/>
    <w:rsid w:val="006847C8"/>
    <w:rsid w:val="00691540"/>
    <w:rsid w:val="00692A7A"/>
    <w:rsid w:val="00695197"/>
    <w:rsid w:val="00695A64"/>
    <w:rsid w:val="00696C6B"/>
    <w:rsid w:val="006A2482"/>
    <w:rsid w:val="006A454D"/>
    <w:rsid w:val="006B19A5"/>
    <w:rsid w:val="006C454B"/>
    <w:rsid w:val="006C6493"/>
    <w:rsid w:val="006D00E0"/>
    <w:rsid w:val="006D27AA"/>
    <w:rsid w:val="006E37E4"/>
    <w:rsid w:val="006E7F01"/>
    <w:rsid w:val="006F136A"/>
    <w:rsid w:val="00703DFE"/>
    <w:rsid w:val="007123EC"/>
    <w:rsid w:val="00745554"/>
    <w:rsid w:val="0074651F"/>
    <w:rsid w:val="00755C8B"/>
    <w:rsid w:val="007779E6"/>
    <w:rsid w:val="007935FD"/>
    <w:rsid w:val="007A6793"/>
    <w:rsid w:val="007B3602"/>
    <w:rsid w:val="007B53CC"/>
    <w:rsid w:val="007C58C9"/>
    <w:rsid w:val="007C7376"/>
    <w:rsid w:val="007C794B"/>
    <w:rsid w:val="007D360B"/>
    <w:rsid w:val="007D3C4E"/>
    <w:rsid w:val="007D5BCC"/>
    <w:rsid w:val="007F3991"/>
    <w:rsid w:val="007F45B9"/>
    <w:rsid w:val="007F48E5"/>
    <w:rsid w:val="008037BE"/>
    <w:rsid w:val="008047CF"/>
    <w:rsid w:val="0081196B"/>
    <w:rsid w:val="0081330D"/>
    <w:rsid w:val="00817C43"/>
    <w:rsid w:val="00817F0D"/>
    <w:rsid w:val="00820EE9"/>
    <w:rsid w:val="00826725"/>
    <w:rsid w:val="008360D2"/>
    <w:rsid w:val="008444AF"/>
    <w:rsid w:val="00856885"/>
    <w:rsid w:val="0086617F"/>
    <w:rsid w:val="008722BD"/>
    <w:rsid w:val="008A1206"/>
    <w:rsid w:val="008A36BB"/>
    <w:rsid w:val="008A66AB"/>
    <w:rsid w:val="008C320E"/>
    <w:rsid w:val="008C4078"/>
    <w:rsid w:val="008D1F45"/>
    <w:rsid w:val="008E1502"/>
    <w:rsid w:val="008E25D4"/>
    <w:rsid w:val="008E32C8"/>
    <w:rsid w:val="008E45AD"/>
    <w:rsid w:val="008F4F7A"/>
    <w:rsid w:val="00901627"/>
    <w:rsid w:val="0091045F"/>
    <w:rsid w:val="0091453C"/>
    <w:rsid w:val="00921036"/>
    <w:rsid w:val="009219DF"/>
    <w:rsid w:val="00925A1C"/>
    <w:rsid w:val="0093783A"/>
    <w:rsid w:val="009401B1"/>
    <w:rsid w:val="00960D26"/>
    <w:rsid w:val="009649AF"/>
    <w:rsid w:val="009662E5"/>
    <w:rsid w:val="00967034"/>
    <w:rsid w:val="00972CBD"/>
    <w:rsid w:val="00990F49"/>
    <w:rsid w:val="00992364"/>
    <w:rsid w:val="00994A85"/>
    <w:rsid w:val="009A6E0B"/>
    <w:rsid w:val="009A7CF5"/>
    <w:rsid w:val="009B6F8C"/>
    <w:rsid w:val="009B7018"/>
    <w:rsid w:val="009C661D"/>
    <w:rsid w:val="009D25DC"/>
    <w:rsid w:val="009D2628"/>
    <w:rsid w:val="009D3F97"/>
    <w:rsid w:val="009D66BA"/>
    <w:rsid w:val="009D7256"/>
    <w:rsid w:val="009D7F4D"/>
    <w:rsid w:val="009E52D9"/>
    <w:rsid w:val="009E6FAF"/>
    <w:rsid w:val="009F2332"/>
    <w:rsid w:val="00A00278"/>
    <w:rsid w:val="00A0223C"/>
    <w:rsid w:val="00A05EF2"/>
    <w:rsid w:val="00A11719"/>
    <w:rsid w:val="00A148B8"/>
    <w:rsid w:val="00A16674"/>
    <w:rsid w:val="00A33450"/>
    <w:rsid w:val="00A41DEE"/>
    <w:rsid w:val="00A50B72"/>
    <w:rsid w:val="00A542C1"/>
    <w:rsid w:val="00A80C9B"/>
    <w:rsid w:val="00A829F9"/>
    <w:rsid w:val="00A86F13"/>
    <w:rsid w:val="00A93258"/>
    <w:rsid w:val="00A97439"/>
    <w:rsid w:val="00AA0303"/>
    <w:rsid w:val="00AA3E94"/>
    <w:rsid w:val="00AA42AA"/>
    <w:rsid w:val="00AC23F1"/>
    <w:rsid w:val="00AC36E4"/>
    <w:rsid w:val="00B14174"/>
    <w:rsid w:val="00B4091C"/>
    <w:rsid w:val="00B51635"/>
    <w:rsid w:val="00B52CA5"/>
    <w:rsid w:val="00B54766"/>
    <w:rsid w:val="00B557B1"/>
    <w:rsid w:val="00B60875"/>
    <w:rsid w:val="00B614C0"/>
    <w:rsid w:val="00B727B9"/>
    <w:rsid w:val="00B74050"/>
    <w:rsid w:val="00B74105"/>
    <w:rsid w:val="00B74B20"/>
    <w:rsid w:val="00B75064"/>
    <w:rsid w:val="00B80BAA"/>
    <w:rsid w:val="00B83558"/>
    <w:rsid w:val="00B8366C"/>
    <w:rsid w:val="00BC200A"/>
    <w:rsid w:val="00BC4AC1"/>
    <w:rsid w:val="00BD4F7B"/>
    <w:rsid w:val="00BD70CB"/>
    <w:rsid w:val="00BE35BC"/>
    <w:rsid w:val="00BF4B30"/>
    <w:rsid w:val="00C027C5"/>
    <w:rsid w:val="00C1173D"/>
    <w:rsid w:val="00C12689"/>
    <w:rsid w:val="00C143CE"/>
    <w:rsid w:val="00C21B9E"/>
    <w:rsid w:val="00C258C5"/>
    <w:rsid w:val="00C275BC"/>
    <w:rsid w:val="00C40681"/>
    <w:rsid w:val="00C41564"/>
    <w:rsid w:val="00C526ED"/>
    <w:rsid w:val="00C55BAA"/>
    <w:rsid w:val="00C65B0A"/>
    <w:rsid w:val="00C66B04"/>
    <w:rsid w:val="00C768C1"/>
    <w:rsid w:val="00C81169"/>
    <w:rsid w:val="00C85D50"/>
    <w:rsid w:val="00C90D92"/>
    <w:rsid w:val="00C9163F"/>
    <w:rsid w:val="00CA55AD"/>
    <w:rsid w:val="00CC43B3"/>
    <w:rsid w:val="00CC52F2"/>
    <w:rsid w:val="00CD2331"/>
    <w:rsid w:val="00CD4C59"/>
    <w:rsid w:val="00CE0BB5"/>
    <w:rsid w:val="00CE45DB"/>
    <w:rsid w:val="00CE479C"/>
    <w:rsid w:val="00CF3E2A"/>
    <w:rsid w:val="00D1095E"/>
    <w:rsid w:val="00D12E2F"/>
    <w:rsid w:val="00D36E46"/>
    <w:rsid w:val="00D40C57"/>
    <w:rsid w:val="00D44B3C"/>
    <w:rsid w:val="00D456B1"/>
    <w:rsid w:val="00D5182D"/>
    <w:rsid w:val="00D57C9B"/>
    <w:rsid w:val="00D62325"/>
    <w:rsid w:val="00D624D3"/>
    <w:rsid w:val="00D71ADA"/>
    <w:rsid w:val="00D74651"/>
    <w:rsid w:val="00D80FF8"/>
    <w:rsid w:val="00D87B61"/>
    <w:rsid w:val="00DF0BAE"/>
    <w:rsid w:val="00DF27B8"/>
    <w:rsid w:val="00DF49EB"/>
    <w:rsid w:val="00DF541E"/>
    <w:rsid w:val="00E024B9"/>
    <w:rsid w:val="00E06FC3"/>
    <w:rsid w:val="00E07B9C"/>
    <w:rsid w:val="00E1342A"/>
    <w:rsid w:val="00E1631B"/>
    <w:rsid w:val="00E228E2"/>
    <w:rsid w:val="00E25BFF"/>
    <w:rsid w:val="00E42AB1"/>
    <w:rsid w:val="00E71CE8"/>
    <w:rsid w:val="00E7679C"/>
    <w:rsid w:val="00E937ED"/>
    <w:rsid w:val="00EA1992"/>
    <w:rsid w:val="00EA5FF4"/>
    <w:rsid w:val="00EA65B1"/>
    <w:rsid w:val="00EA7968"/>
    <w:rsid w:val="00EB1E96"/>
    <w:rsid w:val="00EB2DF8"/>
    <w:rsid w:val="00EB6DDF"/>
    <w:rsid w:val="00EB74B7"/>
    <w:rsid w:val="00EC15E5"/>
    <w:rsid w:val="00EC2E0D"/>
    <w:rsid w:val="00EC6B52"/>
    <w:rsid w:val="00EE4744"/>
    <w:rsid w:val="00F14A83"/>
    <w:rsid w:val="00F16F57"/>
    <w:rsid w:val="00F22C21"/>
    <w:rsid w:val="00F276B8"/>
    <w:rsid w:val="00F35CF1"/>
    <w:rsid w:val="00F40BE0"/>
    <w:rsid w:val="00F42D70"/>
    <w:rsid w:val="00F53061"/>
    <w:rsid w:val="00F66DAC"/>
    <w:rsid w:val="00F75995"/>
    <w:rsid w:val="00F77FA5"/>
    <w:rsid w:val="00F8117B"/>
    <w:rsid w:val="00F86BF6"/>
    <w:rsid w:val="00FA1D31"/>
    <w:rsid w:val="00FA3038"/>
    <w:rsid w:val="00FA704B"/>
    <w:rsid w:val="00FB186A"/>
    <w:rsid w:val="00FB36AA"/>
    <w:rsid w:val="00FC3F40"/>
    <w:rsid w:val="00FC7378"/>
    <w:rsid w:val="00FE20AD"/>
    <w:rsid w:val="00FF328C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C0BA1"/>
  <w14:defaultImageDpi w14:val="300"/>
  <w15:docId w15:val="{5D83012A-31A3-408A-8EDC-097C6ADC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811"/>
  </w:style>
  <w:style w:type="character" w:styleId="PageNumber">
    <w:name w:val="page number"/>
    <w:basedOn w:val="DefaultParagraphFont"/>
    <w:uiPriority w:val="99"/>
    <w:semiHidden/>
    <w:unhideWhenUsed/>
    <w:rsid w:val="00340811"/>
  </w:style>
  <w:style w:type="character" w:styleId="Hyperlink">
    <w:name w:val="Hyperlink"/>
    <w:basedOn w:val="DefaultParagraphFont"/>
    <w:uiPriority w:val="99"/>
    <w:unhideWhenUsed/>
    <w:rsid w:val="00592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8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4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4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8BD3EBF-FA53-4506-8ABE-615ED353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9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Perkins</dc:creator>
  <cp:keywords/>
  <dc:description/>
  <cp:lastModifiedBy>Dean Gladish</cp:lastModifiedBy>
  <cp:revision>329</cp:revision>
  <dcterms:created xsi:type="dcterms:W3CDTF">2017-01-12T21:00:00Z</dcterms:created>
  <dcterms:modified xsi:type="dcterms:W3CDTF">2019-05-06T07:45:00Z</dcterms:modified>
</cp:coreProperties>
</file>