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right"/>
      </w:pPr>
      <w:r w:rsidDel="00000000" w:rsidR="00000000" w:rsidRPr="00000000">
        <w:rPr>
          <w:rFonts w:ascii="Calibri" w:cs="Calibri" w:eastAsia="Calibri" w:hAnsi="Calibri"/>
          <w:sz w:val="24"/>
          <w:szCs w:val="24"/>
          <w:rtl w:val="0"/>
        </w:rPr>
        <w:t xml:space="preserve">Dean Gladish</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Calibri" w:cs="Calibri" w:eastAsia="Calibri" w:hAnsi="Calibri"/>
          <w:sz w:val="24"/>
          <w:szCs w:val="24"/>
          <w:rtl w:val="0"/>
        </w:rPr>
        <w:t xml:space="preserve">The Word Within the Word #33</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1. His life is a logical result of his opinions, and mine is a complete cacophony.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2. The judge’s smile seemed to operate on her translucence of heart like sunshine upon vinega.</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3. With closed eyes... John was softly perambulating to vacancy.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4. They suddenly saw the perfidious pirates bearing down upon them.</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5. They were loquacious skeletons.</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STANDING BEFORE the translucent stained glass window, the loquacious conductor, knowing that sotto voce remarks were not his forte, declaimed with acerbity against the cacophony of the orchestra’s fortissimo passage, impugning the musicians’ integrity, accusing them of egocentric perfidy because of their performance of the sacrosanct Fifth Symphony. With ironic sangfroid, the neophyte bassoon player noted that this was a non sequitur and that the players had not wished to contravene the omniscient conductor’s directions. She also remarked that musicians do not play for the tangible rewards, but for the imponderable glories of the musical experience. Unilaterally, the incredulous bassoon player decided to resign, and rising from her stool, began to wander through the orchestra on her way to the exit.</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Calibri" w:cs="Calibri" w:eastAsia="Calibri" w:hAnsi="Calibri"/>
          <w:sz w:val="24"/>
          <w:szCs w:val="24"/>
          <w:rtl w:val="0"/>
        </w:rPr>
        <w:t xml:space="preserve">SYNTHESIS: We can use perambulate in a metaphorical sense such as when we experience</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Calibri" w:cs="Calibri" w:eastAsia="Calibri" w:hAnsi="Calibri"/>
          <w:sz w:val="24"/>
          <w:szCs w:val="24"/>
          <w:rtl w:val="0"/>
        </w:rPr>
        <w:t xml:space="preserve">DIVERGENCE AND CONVERGENCE: Acts of perfidy might include people like Iago’s deliberate destruction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