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</w:rPr>
        <w:t>Bibliography</w:t>
      </w:r>
    </w:p>
    <w:p w:rsidR="00A77427" w:rsidRDefault="007F1D13">
      <w:pPr>
        <w:spacing w:after="240" w:line="240" w:lineRule="auto"/>
        <w:ind w:left="0" w:hanging="0"/>
      </w:pPr>
      <w:r>
        <w:t xml:space="preserve">The Associated Press. “French Court Upholds Stripping Citizenship in Terror Case.” </w:t>
      </w:r>
      <w:r>
        <w:rPr>
          <w:i/>
          <w:iCs/>
        </w:rPr>
        <w:t>Haaretz</w:t>
      </w:r>
      <w:r>
        <w:t>, January 23, 2015.</w:t>
      </w:r>
    </w:p>
    <w:p w:rsidR="00A77427" w:rsidRDefault="007F1D13">
      <w:pPr>
        <w:spacing w:after="240" w:line="240" w:lineRule="auto"/>
        <w:ind w:left="0" w:hanging="0"/>
      </w:pPr>
      <w:r>
        <w:t xml:space="preserve">Alfon, Dov. “France’s War on Terror Revives Dreyfus-Affair Debate - Europe.” </w:t>
      </w:r>
      <w:r>
        <w:rPr>
          <w:i/>
          <w:iCs/>
        </w:rPr>
        <w:t>Haaretz</w:t>
      </w:r>
      <w:r>
        <w:t>, October 17, 2016. http://www.haaretz.com/world-news/europe/.premium-1.747772.</w:t>
      </w:r>
    </w:p>
    <w:p w:rsidR="00A77427" w:rsidRDefault="007F1D13">
      <w:pPr>
        <w:spacing w:after="240" w:line="240" w:lineRule="auto"/>
        <w:ind w:left="0" w:hanging="0"/>
      </w:pPr>
      <w:r>
        <w:t xml:space="preserve">Brubaker, Rogers. </w:t>
      </w:r>
      <w:r>
        <w:rPr>
          <w:i/>
          <w:iCs/>
        </w:rPr>
        <w:t>Citizenship and Nationhood in France and Germany</w:t>
      </w:r>
      <w:r>
        <w:t>. Cambridge, Massachusetts; London, England: Harvard University Press, 1992.</w:t>
      </w:r>
    </w:p>
    <w:p w:rsidR="00A77427" w:rsidRDefault="007F1D13">
      <w:pPr>
        <w:spacing w:after="240" w:line="240" w:lineRule="auto"/>
        <w:ind w:left="0" w:hanging="0"/>
      </w:pPr>
      <w:r>
        <w:t xml:space="preserve">Cowell, Alan. “France Tries to Define Frenchness.” </w:t>
      </w:r>
      <w:r>
        <w:rPr>
          <w:i/>
          <w:iCs/>
        </w:rPr>
        <w:t>The New York Times</w:t>
      </w:r>
      <w:r>
        <w:t xml:space="preserve"> (International Herald Tribune), November 14, 2014. http://www.nytimes.com/2009/11/14/world/europe/14iht-letter.html.</w:t>
      </w:r>
    </w:p>
    <w:p w:rsidR="00A77427" w:rsidRDefault="007F1D13">
      <w:pPr>
        <w:spacing w:after="240" w:line="240" w:lineRule="auto"/>
        <w:ind w:left="0" w:hanging="0"/>
      </w:pPr>
      <w:r>
        <w:t xml:space="preserve">Fellag, Nora. “The Muslim Label: How French North Africans Have Become ‘Muslims’ and Not ‘Citizens.’” </w:t>
      </w:r>
      <w:r>
        <w:rPr>
          <w:i/>
          <w:iCs/>
        </w:rPr>
        <w:t>Journal on Ethnopolitics and Minority Issues in Europe</w:t>
      </w:r>
      <w:r>
        <w:t xml:space="preserve"> 13, no. 4 (2014): 1–25.</w:t>
      </w:r>
    </w:p>
    <w:p w:rsidR="00A77427" w:rsidRDefault="007F1D13">
      <w:pPr>
        <w:spacing w:after="240" w:line="240" w:lineRule="auto"/>
        <w:ind w:left="0" w:hanging="0"/>
      </w:pPr>
      <w:r>
        <w:t xml:space="preserve">Lacroix, Thomas. </w:t>
      </w:r>
      <w:r>
        <w:rPr>
          <w:i/>
          <w:iCs/>
        </w:rPr>
        <w:t>Moroccan in France: Their Organizations and Activities Back Home</w:t>
      </w:r>
      <w:r>
        <w:t>. University of Poitiers, 2013. https://www.princeton.edu/cmd/working-papers/2012TransnationalMeeting/2012-France.pdf.</w:t>
      </w:r>
    </w:p>
    <w:p w:rsidR="00A77427" w:rsidRDefault="007F1D13">
      <w:pPr>
        <w:spacing w:after="240" w:line="240" w:lineRule="auto"/>
        <w:ind w:left="0" w:hanging="0"/>
      </w:pPr>
      <w:r>
        <w:t xml:space="preserve">Maxwell, Rahsaan. “Political Participation in France Among Non-European-Origin Migrants: Segregation or Integration?” </w:t>
      </w:r>
      <w:r>
        <w:rPr>
          <w:i/>
          <w:iCs/>
        </w:rPr>
        <w:t>Journal of Ethnic and Migration Studies</w:t>
      </w:r>
      <w:r>
        <w:t xml:space="preserve"> 36, no. 3 (December 17, 2009): 425–43.</w:t>
      </w:r>
    </w:p>
    <w:p w:rsidR="00A77427" w:rsidRDefault="007F1D13">
      <w:pPr>
        <w:spacing w:after="240" w:line="240" w:lineRule="auto"/>
        <w:ind w:left="0" w:hanging="0"/>
      </w:pPr>
      <w:r>
        <w:t xml:space="preserve">Sahlins, Peter. </w:t>
      </w:r>
      <w:r>
        <w:rPr>
          <w:i/>
          <w:iCs/>
        </w:rPr>
        <w:t>Unnaturally French: Foreign Citizens in the Old Regime and After</w:t>
      </w:r>
      <w:r>
        <w:t>. United States of America: Cornell University Press, 2004.</w:t>
      </w:r>
    </w:p>
    <w:p w:rsidR="00A77427" w:rsidRDefault="007F1D13">
      <w:pPr>
        <w:spacing w:after="240" w:line="240" w:lineRule="auto"/>
        <w:ind w:left="0" w:hanging="0"/>
      </w:pPr>
      <w:r>
        <w:t xml:space="preserve">Sieyès, Emmanuel Joseph. </w:t>
      </w:r>
      <w:r>
        <w:rPr>
          <w:i/>
          <w:iCs/>
        </w:rPr>
        <w:t>What Is the Third Estate?</w:t>
      </w:r>
      <w:r>
        <w:t xml:space="preserve"> n.p., 1789.</w:t>
      </w:r>
    </w:p>
    <w:p w:rsidR="00A77427" w:rsidRDefault="007F1D13">
      <w:pPr>
        <w:spacing w:after="240" w:line="240" w:lineRule="auto"/>
        <w:ind w:left="0" w:hanging="0"/>
      </w:pPr>
      <w:r>
        <w:t xml:space="preserve">Vichniac, Judith E. “French Socialists and ‘Droit à la Différence’: A Changing Dynamic.” </w:t>
      </w:r>
      <w:r>
        <w:rPr>
          <w:i/>
          <w:iCs/>
        </w:rPr>
        <w:t>French Politics and Society</w:t>
      </w:r>
      <w:r>
        <w:t xml:space="preserve"> 9, no. 1 (1991): 40–56.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2017-02-04T01:37:50Z</dcterms:created>
  <dcterms:modified xsi:type="dcterms:W3CDTF">2017-02-04T01:37:50Z</dcterms:modified>
</cp:coreProperties>
</file>