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C1622" w14:textId="77777777" w:rsidR="005779E5" w:rsidRDefault="001614E1" w:rsidP="003C67BE">
      <w:pPr>
        <w:pStyle w:val="NormalWeb"/>
        <w:spacing w:before="0" w:beforeAutospacing="0" w:after="0" w:afterAutospacing="0"/>
        <w:rPr>
          <w:color w:val="000000"/>
        </w:rPr>
      </w:pPr>
      <w:r w:rsidRPr="001614E1">
        <w:rPr>
          <w:color w:val="000000"/>
        </w:rPr>
        <w:t>Dean Gladish</w:t>
      </w:r>
      <w:r w:rsidR="005779E5">
        <w:rPr>
          <w:color w:val="000000"/>
        </w:rPr>
        <w:t xml:space="preserve"> </w:t>
      </w:r>
    </w:p>
    <w:p w14:paraId="3CA26C96" w14:textId="77777777" w:rsidR="005779E5" w:rsidRDefault="001614E1" w:rsidP="003C67BE">
      <w:pPr>
        <w:pStyle w:val="NormalWeb"/>
        <w:spacing w:before="0" w:beforeAutospacing="0" w:after="0" w:afterAutospacing="0"/>
        <w:rPr>
          <w:color w:val="000000"/>
        </w:rPr>
      </w:pPr>
      <w:r w:rsidRPr="001614E1">
        <w:rPr>
          <w:color w:val="000000"/>
        </w:rPr>
        <w:t>History 220</w:t>
      </w:r>
      <w:r w:rsidR="005779E5">
        <w:rPr>
          <w:color w:val="000000"/>
        </w:rPr>
        <w:t xml:space="preserve"> – North of Jim Crow, South of Freedom</w:t>
      </w:r>
    </w:p>
    <w:p w14:paraId="0CBE7486" w14:textId="317A51D7" w:rsidR="001614E1" w:rsidRPr="001614E1" w:rsidRDefault="001614E1" w:rsidP="003C67BE">
      <w:pPr>
        <w:pStyle w:val="NormalWeb"/>
        <w:spacing w:before="0" w:beforeAutospacing="0" w:after="0" w:afterAutospacing="0"/>
      </w:pPr>
      <w:r w:rsidRPr="001614E1">
        <w:rPr>
          <w:color w:val="000000"/>
        </w:rPr>
        <w:t xml:space="preserve">Professor </w:t>
      </w:r>
      <w:proofErr w:type="spellStart"/>
      <w:r w:rsidRPr="001614E1">
        <w:rPr>
          <w:color w:val="000000"/>
        </w:rPr>
        <w:t>Tyran</w:t>
      </w:r>
      <w:proofErr w:type="spellEnd"/>
      <w:r w:rsidRPr="001614E1">
        <w:rPr>
          <w:color w:val="000000"/>
        </w:rPr>
        <w:t xml:space="preserve"> Steward</w:t>
      </w:r>
    </w:p>
    <w:p w14:paraId="74622579" w14:textId="5CD589F2" w:rsidR="00C77F4D" w:rsidRPr="00432D65" w:rsidRDefault="001614E1" w:rsidP="003C67BE">
      <w:pPr>
        <w:pStyle w:val="NormalWeb"/>
        <w:spacing w:before="0" w:beforeAutospacing="0" w:after="0" w:afterAutospacing="0"/>
        <w:rPr>
          <w:color w:val="000000"/>
        </w:rPr>
      </w:pPr>
      <w:r w:rsidRPr="001614E1">
        <w:rPr>
          <w:color w:val="000000"/>
        </w:rPr>
        <w:t>January 24, 2019</w:t>
      </w:r>
      <w:bookmarkStart w:id="0" w:name="_GoBack"/>
      <w:bookmarkEnd w:id="0"/>
    </w:p>
    <w:p w14:paraId="06C89647" w14:textId="67A5E0FE" w:rsidR="00432D65" w:rsidRPr="003C67BE" w:rsidRDefault="001614E1" w:rsidP="003C67BE">
      <w:pPr>
        <w:pStyle w:val="NormalWeb"/>
        <w:spacing w:before="0" w:beforeAutospacing="0" w:after="0" w:afterAutospacing="0" w:line="480" w:lineRule="auto"/>
        <w:jc w:val="center"/>
        <w:rPr>
          <w:color w:val="000000"/>
        </w:rPr>
      </w:pPr>
      <w:r w:rsidRPr="001614E1">
        <w:rPr>
          <w:color w:val="000000"/>
        </w:rPr>
        <w:t>Was the First Great Migration a Success or Failure?  </w:t>
      </w:r>
    </w:p>
    <w:p w14:paraId="657B7BA5" w14:textId="1BB31AE1" w:rsidR="00375385" w:rsidRDefault="00E32465" w:rsidP="003C67BE">
      <w:pPr>
        <w:pStyle w:val="NormalWeb"/>
        <w:spacing w:before="0" w:beforeAutospacing="0" w:after="0" w:afterAutospacing="0" w:line="480" w:lineRule="auto"/>
        <w:rPr>
          <w:color w:val="000000"/>
        </w:rPr>
      </w:pPr>
      <w:r>
        <w:rPr>
          <w:rStyle w:val="apple-tab-span"/>
          <w:color w:val="000000"/>
        </w:rPr>
        <w:tab/>
        <w:t xml:space="preserve">The First Great Migration arguably developed from </w:t>
      </w:r>
      <w:r w:rsidR="00601085">
        <w:rPr>
          <w:rStyle w:val="apple-tab-span"/>
          <w:color w:val="000000"/>
        </w:rPr>
        <w:t>the</w:t>
      </w:r>
      <w:r>
        <w:rPr>
          <w:rStyle w:val="apple-tab-span"/>
          <w:color w:val="000000"/>
        </w:rPr>
        <w:t xml:space="preserve"> </w:t>
      </w:r>
      <w:r w:rsidR="00F169BA">
        <w:rPr>
          <w:rStyle w:val="apple-tab-span"/>
          <w:color w:val="000000"/>
        </w:rPr>
        <w:t>disenfranchisement</w:t>
      </w:r>
      <w:r w:rsidR="00C80B09">
        <w:rPr>
          <w:rStyle w:val="apple-tab-span"/>
          <w:color w:val="000000"/>
        </w:rPr>
        <w:t xml:space="preserve"> that African-Americans faced in the South – from about 1890 to 1910, the post-Civil War South</w:t>
      </w:r>
      <w:r w:rsidR="00BD73EB">
        <w:rPr>
          <w:rStyle w:val="apple-tab-span"/>
          <w:color w:val="000000"/>
        </w:rPr>
        <w:t xml:space="preserve"> reinstated</w:t>
      </w:r>
      <w:r w:rsidR="00A939A1">
        <w:rPr>
          <w:rStyle w:val="apple-tab-span"/>
          <w:color w:val="000000"/>
        </w:rPr>
        <w:t xml:space="preserve"> </w:t>
      </w:r>
      <w:r w:rsidR="00BD73EB">
        <w:rPr>
          <w:rStyle w:val="apple-tab-span"/>
          <w:color w:val="000000"/>
        </w:rPr>
        <w:t xml:space="preserve">Jim Crow laws </w:t>
      </w:r>
      <w:r w:rsidR="00A939A1">
        <w:rPr>
          <w:rStyle w:val="apple-tab-span"/>
          <w:color w:val="000000"/>
        </w:rPr>
        <w:t>excluding</w:t>
      </w:r>
      <w:r w:rsidR="00BD73EB">
        <w:rPr>
          <w:rStyle w:val="apple-tab-span"/>
          <w:color w:val="000000"/>
        </w:rPr>
        <w:t xml:space="preserve"> African-Americans from </w:t>
      </w:r>
      <w:r w:rsidR="00A939A1">
        <w:rPr>
          <w:rStyle w:val="apple-tab-span"/>
          <w:color w:val="000000"/>
        </w:rPr>
        <w:t>political interests</w:t>
      </w:r>
      <w:r w:rsidR="00BD73EB">
        <w:rPr>
          <w:rStyle w:val="apple-tab-span"/>
          <w:color w:val="000000"/>
        </w:rPr>
        <w:t xml:space="preserve">.  </w:t>
      </w:r>
      <w:r w:rsidR="00A80E17">
        <w:rPr>
          <w:rStyle w:val="apple-tab-span"/>
          <w:color w:val="000000"/>
        </w:rPr>
        <w:t>This migration was foremost a search for luxuries such as the right to vote and serve in public office in face of white monopolization of the sharecropping system.</w:t>
      </w:r>
      <w:r w:rsidR="007522B9">
        <w:rPr>
          <w:rStyle w:val="apple-tab-span"/>
          <w:color w:val="000000"/>
        </w:rPr>
        <w:t xml:space="preserve">  Whe</w:t>
      </w:r>
      <w:r w:rsidR="00A80E17">
        <w:rPr>
          <w:rStyle w:val="apple-tab-span"/>
          <w:color w:val="000000"/>
        </w:rPr>
        <w:t>n</w:t>
      </w:r>
      <w:r w:rsidR="007522B9">
        <w:rPr>
          <w:rStyle w:val="apple-tab-span"/>
          <w:color w:val="000000"/>
        </w:rPr>
        <w:t xml:space="preserve"> lynching had become a</w:t>
      </w:r>
      <w:r w:rsidR="00A80E17">
        <w:rPr>
          <w:rStyle w:val="apple-tab-span"/>
          <w:color w:val="000000"/>
        </w:rPr>
        <w:t xml:space="preserve"> socially accepted</w:t>
      </w:r>
      <w:r w:rsidR="007522B9">
        <w:rPr>
          <w:rStyle w:val="apple-tab-span"/>
          <w:color w:val="000000"/>
        </w:rPr>
        <w:t xml:space="preserve"> activity</w:t>
      </w:r>
      <w:r w:rsidR="00A80E17">
        <w:rPr>
          <w:rStyle w:val="apple-tab-span"/>
          <w:color w:val="000000"/>
        </w:rPr>
        <w:t xml:space="preserve"> in the South</w:t>
      </w:r>
      <w:r w:rsidR="007522B9">
        <w:rPr>
          <w:rStyle w:val="apple-tab-span"/>
          <w:color w:val="000000"/>
        </w:rPr>
        <w:t xml:space="preserve">, African-Americans </w:t>
      </w:r>
      <w:r w:rsidR="00A80E17">
        <w:rPr>
          <w:rStyle w:val="apple-tab-span"/>
          <w:color w:val="000000"/>
        </w:rPr>
        <w:t>were forced to pursue better opportunities in the North</w:t>
      </w:r>
      <w:r w:rsidR="007522B9">
        <w:rPr>
          <w:rStyle w:val="apple-tab-span"/>
          <w:color w:val="000000"/>
        </w:rPr>
        <w:t xml:space="preserve">.  In this essay, I will argue that the First Great Migration was less of a success than it </w:t>
      </w:r>
      <w:r w:rsidR="00A80E17">
        <w:rPr>
          <w:rStyle w:val="apple-tab-span"/>
          <w:color w:val="000000"/>
        </w:rPr>
        <w:t>i</w:t>
      </w:r>
      <w:r w:rsidR="007522B9">
        <w:rPr>
          <w:rStyle w:val="apple-tab-span"/>
          <w:color w:val="000000"/>
        </w:rPr>
        <w:t xml:space="preserve">s purported to </w:t>
      </w:r>
      <w:r w:rsidR="00A80E17">
        <w:rPr>
          <w:rStyle w:val="apple-tab-span"/>
          <w:color w:val="000000"/>
        </w:rPr>
        <w:t>have been</w:t>
      </w:r>
      <w:r w:rsidR="007522B9">
        <w:rPr>
          <w:rStyle w:val="apple-tab-span"/>
          <w:color w:val="000000"/>
        </w:rPr>
        <w:t xml:space="preserve"> by outlining some of the additional problems that millions of African-Americans faced when they migrated to the </w:t>
      </w:r>
      <w:r w:rsidR="00741945">
        <w:rPr>
          <w:rStyle w:val="apple-tab-span"/>
          <w:color w:val="000000"/>
        </w:rPr>
        <w:t>N</w:t>
      </w:r>
      <w:r w:rsidR="007522B9">
        <w:rPr>
          <w:rStyle w:val="apple-tab-span"/>
          <w:color w:val="000000"/>
        </w:rPr>
        <w:t>orth.</w:t>
      </w:r>
      <w:r w:rsidR="00213C54">
        <w:rPr>
          <w:rStyle w:val="apple-tab-span"/>
          <w:color w:val="000000"/>
        </w:rPr>
        <w:t xml:space="preserve">  </w:t>
      </w:r>
    </w:p>
    <w:p w14:paraId="25B15B56" w14:textId="73F46FD6" w:rsidR="00245320" w:rsidRDefault="00DA5827" w:rsidP="003C67BE">
      <w:pPr>
        <w:pStyle w:val="NormalWeb"/>
        <w:spacing w:before="0" w:beforeAutospacing="0" w:after="0" w:afterAutospacing="0" w:line="480" w:lineRule="auto"/>
        <w:rPr>
          <w:color w:val="000000"/>
        </w:rPr>
      </w:pPr>
      <w:r>
        <w:rPr>
          <w:color w:val="000000"/>
        </w:rPr>
        <w:tab/>
      </w:r>
      <w:r w:rsidR="001E0F35">
        <w:rPr>
          <w:color w:val="000000"/>
        </w:rPr>
        <w:t>The</w:t>
      </w:r>
      <w:r w:rsidR="00213C54">
        <w:rPr>
          <w:color w:val="000000"/>
        </w:rPr>
        <w:t xml:space="preserve">ir dream </w:t>
      </w:r>
      <w:r w:rsidR="001E0F35">
        <w:rPr>
          <w:color w:val="000000"/>
        </w:rPr>
        <w:t xml:space="preserve">was not just racial equality but </w:t>
      </w:r>
      <w:r w:rsidR="00213C54">
        <w:rPr>
          <w:color w:val="000000"/>
        </w:rPr>
        <w:t xml:space="preserve">also </w:t>
      </w:r>
      <w:r w:rsidR="001E0F35">
        <w:rPr>
          <w:color w:val="000000"/>
        </w:rPr>
        <w:t xml:space="preserve">political </w:t>
      </w:r>
      <w:r w:rsidR="00213C54">
        <w:rPr>
          <w:color w:val="000000"/>
        </w:rPr>
        <w:t>flexibility and</w:t>
      </w:r>
      <w:r w:rsidR="001E0F35">
        <w:rPr>
          <w:color w:val="000000"/>
        </w:rPr>
        <w:t xml:space="preserve"> jobs.  </w:t>
      </w:r>
      <w:r w:rsidR="00743AE0">
        <w:rPr>
          <w:color w:val="000000"/>
        </w:rPr>
        <w:t xml:space="preserve">Here I argue that </w:t>
      </w:r>
      <w:r w:rsidR="00F2138C">
        <w:rPr>
          <w:color w:val="000000"/>
        </w:rPr>
        <w:t>the “separate but equal” policy of the South</w:t>
      </w:r>
      <w:r w:rsidR="00743AE0">
        <w:rPr>
          <w:color w:val="000000"/>
        </w:rPr>
        <w:t xml:space="preserve"> was mirrored by</w:t>
      </w:r>
      <w:r w:rsidR="00F2138C">
        <w:rPr>
          <w:color w:val="000000"/>
        </w:rPr>
        <w:t xml:space="preserve"> the Northern version of Jim Crow, better known as Northern racial </w:t>
      </w:r>
      <w:r w:rsidR="00BB4635">
        <w:rPr>
          <w:color w:val="000000"/>
        </w:rPr>
        <w:t>liberalism</w:t>
      </w:r>
      <w:r w:rsidR="00357C5F">
        <w:rPr>
          <w:color w:val="000000"/>
        </w:rPr>
        <w:t xml:space="preserve"> (which viewed statutory remedies as </w:t>
      </w:r>
      <w:proofErr w:type="gramStart"/>
      <w:r w:rsidR="00357C5F">
        <w:rPr>
          <w:color w:val="000000"/>
        </w:rPr>
        <w:t>sufficient</w:t>
      </w:r>
      <w:proofErr w:type="gramEnd"/>
      <w:r w:rsidR="00357C5F">
        <w:rPr>
          <w:color w:val="000000"/>
        </w:rPr>
        <w:t>)</w:t>
      </w:r>
      <w:r w:rsidR="00743AE0">
        <w:rPr>
          <w:color w:val="000000"/>
        </w:rPr>
        <w:t>.</w:t>
      </w:r>
      <w:r w:rsidR="00D50EEA">
        <w:rPr>
          <w:color w:val="000000"/>
        </w:rPr>
        <w:t xml:space="preserve">  </w:t>
      </w:r>
      <w:r w:rsidR="008739BB">
        <w:rPr>
          <w:color w:val="000000"/>
        </w:rPr>
        <w:t xml:space="preserve">I will also argue that they faced more restrictions with regards to housing due to the </w:t>
      </w:r>
      <w:r w:rsidR="004E71E8">
        <w:rPr>
          <w:color w:val="000000"/>
        </w:rPr>
        <w:t>industrial market system of the North</w:t>
      </w:r>
      <w:r w:rsidR="00D50EEA">
        <w:rPr>
          <w:color w:val="000000"/>
        </w:rPr>
        <w:t xml:space="preserve"> (</w:t>
      </w:r>
      <w:r w:rsidR="004E71E8">
        <w:rPr>
          <w:color w:val="000000"/>
        </w:rPr>
        <w:t>especially in cities like Chicago, Detroit and New York</w:t>
      </w:r>
      <w:r w:rsidR="00D50EEA">
        <w:rPr>
          <w:color w:val="000000"/>
        </w:rPr>
        <w:t>)</w:t>
      </w:r>
      <w:r w:rsidR="004E71E8">
        <w:rPr>
          <w:color w:val="000000"/>
        </w:rPr>
        <w:t>.</w:t>
      </w:r>
      <w:r w:rsidR="00D908FA">
        <w:rPr>
          <w:color w:val="000000"/>
        </w:rPr>
        <w:t xml:space="preserve">  I agree that t</w:t>
      </w:r>
      <w:r w:rsidR="004E71E8">
        <w:rPr>
          <w:color w:val="000000"/>
        </w:rPr>
        <w:t xml:space="preserve">here </w:t>
      </w:r>
      <w:r w:rsidR="00747A8C">
        <w:rPr>
          <w:color w:val="000000"/>
        </w:rPr>
        <w:t xml:space="preserve">were </w:t>
      </w:r>
      <w:r w:rsidR="004E71E8">
        <w:rPr>
          <w:color w:val="000000"/>
        </w:rPr>
        <w:t>some successes</w:t>
      </w:r>
      <w:r w:rsidR="00747A8C">
        <w:rPr>
          <w:color w:val="000000"/>
        </w:rPr>
        <w:t xml:space="preserve"> </w:t>
      </w:r>
      <w:r w:rsidR="004E71E8">
        <w:rPr>
          <w:color w:val="000000"/>
        </w:rPr>
        <w:t xml:space="preserve">– for instance, </w:t>
      </w:r>
      <w:r w:rsidR="00747A8C">
        <w:rPr>
          <w:color w:val="000000"/>
        </w:rPr>
        <w:t>toppling</w:t>
      </w:r>
      <w:r w:rsidR="004E71E8">
        <w:rPr>
          <w:color w:val="000000"/>
        </w:rPr>
        <w:t xml:space="preserve"> the system of sharecropping (which depended on African-American labor) and </w:t>
      </w:r>
      <w:r w:rsidR="00747A8C">
        <w:rPr>
          <w:color w:val="000000"/>
        </w:rPr>
        <w:t>bringing</w:t>
      </w:r>
      <w:r w:rsidR="009E6260">
        <w:rPr>
          <w:color w:val="000000"/>
        </w:rPr>
        <w:t xml:space="preserve"> more exposure to the drama and brutality of the long civil rights struggle </w:t>
      </w:r>
      <w:r w:rsidR="00747A8C">
        <w:rPr>
          <w:color w:val="000000"/>
        </w:rPr>
        <w:t xml:space="preserve">often </w:t>
      </w:r>
      <w:r w:rsidR="009E6260">
        <w:rPr>
          <w:color w:val="000000"/>
        </w:rPr>
        <w:t>sugarcoated by the media.</w:t>
      </w:r>
      <w:r w:rsidR="002E74F4">
        <w:rPr>
          <w:color w:val="000000"/>
        </w:rPr>
        <w:t xml:space="preserve">  </w:t>
      </w:r>
      <w:r w:rsidR="00747A8C">
        <w:rPr>
          <w:color w:val="000000"/>
        </w:rPr>
        <w:t>Employers</w:t>
      </w:r>
      <w:r w:rsidR="00245320">
        <w:rPr>
          <w:color w:val="000000"/>
        </w:rPr>
        <w:t xml:space="preserve"> like Henry Ford hire</w:t>
      </w:r>
      <w:r w:rsidR="00747A8C">
        <w:rPr>
          <w:color w:val="000000"/>
        </w:rPr>
        <w:t>d</w:t>
      </w:r>
      <w:r w:rsidR="00245320">
        <w:rPr>
          <w:color w:val="000000"/>
        </w:rPr>
        <w:t xml:space="preserve"> black </w:t>
      </w:r>
      <w:r w:rsidR="00EE2C09">
        <w:rPr>
          <w:color w:val="000000"/>
        </w:rPr>
        <w:t>workers</w:t>
      </w:r>
      <w:r w:rsidR="00245320">
        <w:rPr>
          <w:color w:val="000000"/>
        </w:rPr>
        <w:t xml:space="preserve"> to </w:t>
      </w:r>
      <w:r w:rsidR="00EE2C09">
        <w:rPr>
          <w:color w:val="000000"/>
        </w:rPr>
        <w:t>maintain the status quo and replace decreases in immigration</w:t>
      </w:r>
      <w:r w:rsidR="006818B7">
        <w:rPr>
          <w:rStyle w:val="FootnoteReference"/>
          <w:color w:val="000000"/>
        </w:rPr>
        <w:footnoteReference w:id="1"/>
      </w:r>
      <w:r w:rsidR="002E74F4">
        <w:rPr>
          <w:color w:val="000000"/>
        </w:rPr>
        <w:t xml:space="preserve">.  </w:t>
      </w:r>
    </w:p>
    <w:p w14:paraId="6EC302C1" w14:textId="77777777" w:rsidR="002C6B2A" w:rsidRDefault="002E74F4" w:rsidP="003C67BE">
      <w:pPr>
        <w:pStyle w:val="NormalWeb"/>
        <w:spacing w:before="0" w:beforeAutospacing="0" w:after="0" w:afterAutospacing="0" w:line="480" w:lineRule="auto"/>
        <w:rPr>
          <w:color w:val="000000"/>
        </w:rPr>
      </w:pPr>
      <w:r>
        <w:rPr>
          <w:color w:val="000000"/>
        </w:rPr>
        <w:lastRenderedPageBreak/>
        <w:tab/>
        <w:t xml:space="preserve">But as </w:t>
      </w:r>
      <w:r w:rsidR="00B873B5">
        <w:rPr>
          <w:color w:val="000000"/>
        </w:rPr>
        <w:t>Martin Luther King said</w:t>
      </w:r>
      <w:r>
        <w:rPr>
          <w:color w:val="000000"/>
        </w:rPr>
        <w:t xml:space="preserve">, racism in the North may have been out of sight but was still present in the soft form of </w:t>
      </w:r>
      <w:r w:rsidR="00CB427C">
        <w:rPr>
          <w:color w:val="000000"/>
        </w:rPr>
        <w:t>the “white moderate who preferred order to justice</w:t>
      </w:r>
      <w:r w:rsidR="005D31B2">
        <w:rPr>
          <w:color w:val="000000"/>
        </w:rPr>
        <w:t>”</w:t>
      </w:r>
      <w:r w:rsidR="007C2F1C">
        <w:rPr>
          <w:rStyle w:val="FootnoteReference"/>
          <w:color w:val="000000"/>
        </w:rPr>
        <w:footnoteReference w:id="2"/>
      </w:r>
      <w:r w:rsidR="005D31B2">
        <w:rPr>
          <w:color w:val="000000"/>
        </w:rPr>
        <w:t>.</w:t>
      </w:r>
      <w:r w:rsidR="00791BC2">
        <w:rPr>
          <w:color w:val="000000"/>
        </w:rPr>
        <w:t xml:space="preserve">  This means that </w:t>
      </w:r>
      <w:r w:rsidR="00923EB5">
        <w:rPr>
          <w:color w:val="000000"/>
        </w:rPr>
        <w:t>they preferred economics over real justice</w:t>
      </w:r>
      <w:r w:rsidR="00791BC2">
        <w:rPr>
          <w:color w:val="000000"/>
        </w:rPr>
        <w:t xml:space="preserve">.  </w:t>
      </w:r>
      <w:r w:rsidR="004F3882">
        <w:rPr>
          <w:color w:val="000000"/>
        </w:rPr>
        <w:t>Later on African-Americans gained some respect as a result of the United States’ rivalry with the Soviet Union, but Hall notes that this “Cold War” racial liberalism obstructed real progress</w:t>
      </w:r>
      <w:r w:rsidR="004F3882">
        <w:rPr>
          <w:rStyle w:val="FootnoteReference"/>
          <w:color w:val="000000"/>
        </w:rPr>
        <w:footnoteReference w:id="3"/>
      </w:r>
      <w:r w:rsidR="004F3882">
        <w:rPr>
          <w:color w:val="000000"/>
        </w:rPr>
        <w:t xml:space="preserve"> – for instance, the State Department and the Dixiecrats distinguished civil liberties from economic justice, causing organizations like the NAACP to turn most of their efforts toward specific instances of de jure discrimination in the South for maximum efficacy</w:t>
      </w:r>
      <w:r w:rsidR="004F3882">
        <w:rPr>
          <w:rStyle w:val="FootnoteReference"/>
          <w:color w:val="000000"/>
        </w:rPr>
        <w:footnoteReference w:id="4"/>
      </w:r>
      <w:r w:rsidR="004F3882">
        <w:rPr>
          <w:color w:val="000000"/>
        </w:rPr>
        <w:t xml:space="preserve">.  </w:t>
      </w:r>
    </w:p>
    <w:p w14:paraId="2A20C5E5" w14:textId="001BD162" w:rsidR="00641E36" w:rsidRDefault="00791BC2" w:rsidP="003C67BE">
      <w:pPr>
        <w:pStyle w:val="NormalWeb"/>
        <w:spacing w:before="0" w:beforeAutospacing="0" w:after="0" w:afterAutospacing="0" w:line="480" w:lineRule="auto"/>
        <w:ind w:firstLine="720"/>
        <w:rPr>
          <w:color w:val="000000"/>
        </w:rPr>
      </w:pPr>
      <w:r>
        <w:rPr>
          <w:color w:val="000000"/>
        </w:rPr>
        <w:t>The “</w:t>
      </w:r>
      <w:r w:rsidR="00DC0E62">
        <w:rPr>
          <w:color w:val="000000"/>
        </w:rPr>
        <w:t>extreme materialism and militarism”</w:t>
      </w:r>
      <w:r w:rsidR="0076727B">
        <w:rPr>
          <w:color w:val="000000"/>
        </w:rPr>
        <w:t xml:space="preserve"> </w:t>
      </w:r>
      <w:r>
        <w:rPr>
          <w:color w:val="000000"/>
        </w:rPr>
        <w:t>described by King</w:t>
      </w:r>
      <w:r w:rsidR="0076727B">
        <w:rPr>
          <w:rStyle w:val="FootnoteReference"/>
          <w:color w:val="000000"/>
        </w:rPr>
        <w:footnoteReference w:id="5"/>
      </w:r>
      <w:r>
        <w:rPr>
          <w:color w:val="000000"/>
        </w:rPr>
        <w:t xml:space="preserve"> is still very prevalent in America</w:t>
      </w:r>
      <w:r w:rsidR="002C6B2A">
        <w:rPr>
          <w:color w:val="000000"/>
        </w:rPr>
        <w:t xml:space="preserve">; </w:t>
      </w:r>
      <w:proofErr w:type="spellStart"/>
      <w:r w:rsidR="002D5373">
        <w:rPr>
          <w:color w:val="000000"/>
        </w:rPr>
        <w:t>T</w:t>
      </w:r>
      <w:r w:rsidR="006B53B3">
        <w:rPr>
          <w:color w:val="000000"/>
        </w:rPr>
        <w:t>heoharis</w:t>
      </w:r>
      <w:proofErr w:type="spellEnd"/>
      <w:r w:rsidR="006B53B3">
        <w:rPr>
          <w:color w:val="000000"/>
        </w:rPr>
        <w:t xml:space="preserve"> highlights</w:t>
      </w:r>
      <w:r w:rsidR="002D5373">
        <w:rPr>
          <w:color w:val="000000"/>
        </w:rPr>
        <w:t xml:space="preserve"> the ongoing problem of racial inequality that </w:t>
      </w:r>
      <w:r w:rsidR="0076727B">
        <w:rPr>
          <w:color w:val="000000"/>
        </w:rPr>
        <w:t xml:space="preserve">has not been fully </w:t>
      </w:r>
      <w:r w:rsidR="002D5373">
        <w:rPr>
          <w:color w:val="000000"/>
        </w:rPr>
        <w:t xml:space="preserve">addressed by politicians such as </w:t>
      </w:r>
      <w:r w:rsidR="00835783">
        <w:rPr>
          <w:color w:val="000000"/>
        </w:rPr>
        <w:t>Obama</w:t>
      </w:r>
      <w:r w:rsidR="00ED6B01">
        <w:rPr>
          <w:rStyle w:val="FootnoteReference"/>
          <w:color w:val="000000"/>
        </w:rPr>
        <w:footnoteReference w:id="6"/>
      </w:r>
      <w:r w:rsidR="002D5373">
        <w:rPr>
          <w:color w:val="000000"/>
        </w:rPr>
        <w:t>.</w:t>
      </w:r>
      <w:r w:rsidR="00794642">
        <w:rPr>
          <w:color w:val="000000"/>
        </w:rPr>
        <w:t xml:space="preserve">  </w:t>
      </w:r>
      <w:r w:rsidR="00F75818">
        <w:rPr>
          <w:color w:val="000000"/>
        </w:rPr>
        <w:t>As</w:t>
      </w:r>
      <w:r w:rsidR="00794642">
        <w:rPr>
          <w:color w:val="000000"/>
        </w:rPr>
        <w:t xml:space="preserve"> the long civil rights struggle </w:t>
      </w:r>
      <w:r w:rsidR="004A76D4">
        <w:rPr>
          <w:color w:val="000000"/>
        </w:rPr>
        <w:t>is</w:t>
      </w:r>
      <w:r w:rsidR="00794642">
        <w:rPr>
          <w:color w:val="000000"/>
        </w:rPr>
        <w:t xml:space="preserve"> memorialized by the media</w:t>
      </w:r>
      <w:r w:rsidR="00F75818">
        <w:rPr>
          <w:color w:val="000000"/>
        </w:rPr>
        <w:t>,</w:t>
      </w:r>
      <w:r w:rsidR="00794642">
        <w:rPr>
          <w:color w:val="000000"/>
        </w:rPr>
        <w:t xml:space="preserve"> we can see how politicization </w:t>
      </w:r>
      <w:r w:rsidR="00A10E36">
        <w:rPr>
          <w:color w:val="000000"/>
        </w:rPr>
        <w:t>warps</w:t>
      </w:r>
      <w:r w:rsidR="00794642">
        <w:rPr>
          <w:color w:val="000000"/>
        </w:rPr>
        <w:t xml:space="preserve"> </w:t>
      </w:r>
      <w:r w:rsidR="00E42589">
        <w:rPr>
          <w:color w:val="000000"/>
        </w:rPr>
        <w:t xml:space="preserve">the original intent of the First Great Migration which was to escape </w:t>
      </w:r>
      <w:r w:rsidR="00031DC5">
        <w:rPr>
          <w:color w:val="000000"/>
        </w:rPr>
        <w:t>deep-seated prejudice</w:t>
      </w:r>
      <w:r w:rsidR="00784C21">
        <w:rPr>
          <w:color w:val="000000"/>
        </w:rPr>
        <w:t xml:space="preserve">.  </w:t>
      </w:r>
      <w:proofErr w:type="gramStart"/>
      <w:r w:rsidR="00784C21">
        <w:rPr>
          <w:color w:val="000000"/>
        </w:rPr>
        <w:t>So</w:t>
      </w:r>
      <w:proofErr w:type="gramEnd"/>
      <w:r w:rsidR="00784C21">
        <w:rPr>
          <w:color w:val="000000"/>
        </w:rPr>
        <w:t xml:space="preserve"> </w:t>
      </w:r>
      <w:r w:rsidR="00D51575">
        <w:rPr>
          <w:color w:val="000000"/>
        </w:rPr>
        <w:t xml:space="preserve">some of </w:t>
      </w:r>
      <w:r w:rsidR="00784C21">
        <w:rPr>
          <w:color w:val="000000"/>
        </w:rPr>
        <w:t xml:space="preserve">the original goals of the First Great Migration which included leaving behind segregation and inequality have not been fulfilled.   </w:t>
      </w:r>
    </w:p>
    <w:p w14:paraId="132CA77F" w14:textId="3E680A42" w:rsidR="00E056E7" w:rsidRDefault="006006A3" w:rsidP="003C67BE">
      <w:pPr>
        <w:pStyle w:val="NormalWeb"/>
        <w:spacing w:before="0" w:beforeAutospacing="0" w:after="0" w:afterAutospacing="0" w:line="480" w:lineRule="auto"/>
        <w:rPr>
          <w:color w:val="000000"/>
        </w:rPr>
      </w:pPr>
      <w:r>
        <w:rPr>
          <w:color w:val="000000"/>
        </w:rPr>
        <w:tab/>
        <w:t xml:space="preserve">I argue that instead of the First Great Migration being a total success, African-Americans found themselves embroiled in a continuing long civil rights struggle amplified by whites’ lack of social responsibility in the North </w:t>
      </w:r>
      <w:r w:rsidR="004A64C6">
        <w:rPr>
          <w:color w:val="000000"/>
        </w:rPr>
        <w:t xml:space="preserve">and the unique creation of the African-American ghetto caused by the Northern industrial </w:t>
      </w:r>
      <w:r w:rsidR="00912312">
        <w:rPr>
          <w:color w:val="000000"/>
        </w:rPr>
        <w:t>economy</w:t>
      </w:r>
      <w:r w:rsidR="004A64C6">
        <w:rPr>
          <w:color w:val="000000"/>
        </w:rPr>
        <w:t>.  Trotter notes that many African-American migrants became stuck in these ghettoes due to endemic violence and legal restrictions in the North</w:t>
      </w:r>
      <w:r w:rsidR="009612C4">
        <w:rPr>
          <w:rStyle w:val="FootnoteReference"/>
          <w:color w:val="000000"/>
        </w:rPr>
        <w:footnoteReference w:id="7"/>
      </w:r>
      <w:r w:rsidR="009612C4">
        <w:rPr>
          <w:color w:val="000000"/>
        </w:rPr>
        <w:t>.</w:t>
      </w:r>
      <w:r w:rsidR="004A64C6">
        <w:rPr>
          <w:color w:val="000000"/>
        </w:rPr>
        <w:t xml:space="preserve">  </w:t>
      </w:r>
      <w:r w:rsidR="00594B53">
        <w:rPr>
          <w:color w:val="000000"/>
        </w:rPr>
        <w:t>Statistical m</w:t>
      </w:r>
      <w:r w:rsidR="00821C51">
        <w:rPr>
          <w:color w:val="000000"/>
        </w:rPr>
        <w:t xml:space="preserve">easures of dissimilarity (isolation and segregation) rapidly rose from 1880 to 1940 </w:t>
      </w:r>
      <w:r w:rsidR="00821C51">
        <w:rPr>
          <w:color w:val="000000"/>
        </w:rPr>
        <w:lastRenderedPageBreak/>
        <w:t>even as the Great Migration continued in many cities from Chicago to Brooklyn</w:t>
      </w:r>
      <w:r w:rsidR="009612C4">
        <w:rPr>
          <w:rStyle w:val="FootnoteReference"/>
          <w:color w:val="000000"/>
        </w:rPr>
        <w:footnoteReference w:id="8"/>
      </w:r>
      <w:r w:rsidR="00AF30CA">
        <w:rPr>
          <w:color w:val="000000"/>
        </w:rPr>
        <w:t>.  H</w:t>
      </w:r>
      <w:r w:rsidR="00821C51">
        <w:rPr>
          <w:color w:val="000000"/>
        </w:rPr>
        <w:t xml:space="preserve">igher-status blacks lived in </w:t>
      </w:r>
      <w:r w:rsidR="008920B9">
        <w:rPr>
          <w:color w:val="000000"/>
        </w:rPr>
        <w:t>black neighborhoods</w:t>
      </w:r>
      <w:r w:rsidR="008920B9">
        <w:rPr>
          <w:rStyle w:val="FootnoteReference"/>
          <w:color w:val="000000"/>
        </w:rPr>
        <w:footnoteReference w:id="9"/>
      </w:r>
      <w:r w:rsidR="008920B9">
        <w:rPr>
          <w:color w:val="000000"/>
        </w:rPr>
        <w:t xml:space="preserve"> that were arguably more restrictive than those in the South.  Even as r</w:t>
      </w:r>
      <w:r w:rsidR="006B6E61">
        <w:rPr>
          <w:color w:val="000000"/>
        </w:rPr>
        <w:t>edlining and housing discrimination</w:t>
      </w:r>
      <w:r w:rsidR="008920B9">
        <w:rPr>
          <w:color w:val="000000"/>
        </w:rPr>
        <w:t xml:space="preserve"> were outlawed, the ghetto persisted due to, as Trotter says, </w:t>
      </w:r>
      <w:r w:rsidR="006B6E61">
        <w:rPr>
          <w:color w:val="000000"/>
        </w:rPr>
        <w:t xml:space="preserve">social opinions and boundaries that remained </w:t>
      </w:r>
      <w:r w:rsidR="008920B9">
        <w:rPr>
          <w:color w:val="000000"/>
        </w:rPr>
        <w:t>integral to</w:t>
      </w:r>
      <w:r w:rsidR="006B6E61">
        <w:rPr>
          <w:color w:val="000000"/>
        </w:rPr>
        <w:t xml:space="preserve"> </w:t>
      </w:r>
      <w:r w:rsidR="00F3684E">
        <w:rPr>
          <w:color w:val="000000"/>
        </w:rPr>
        <w:t xml:space="preserve">Northern </w:t>
      </w:r>
      <w:r w:rsidR="006B6E61">
        <w:rPr>
          <w:color w:val="000000"/>
        </w:rPr>
        <w:t>society</w:t>
      </w:r>
      <w:r w:rsidR="009612C4">
        <w:rPr>
          <w:rStyle w:val="FootnoteReference"/>
          <w:color w:val="000000"/>
        </w:rPr>
        <w:footnoteReference w:id="10"/>
      </w:r>
      <w:r w:rsidR="006B6E61">
        <w:rPr>
          <w:color w:val="000000"/>
        </w:rPr>
        <w:t xml:space="preserve">.  </w:t>
      </w:r>
      <w:r w:rsidR="00E056E7">
        <w:rPr>
          <w:color w:val="000000"/>
        </w:rPr>
        <w:t>These factors indicate that the First Great Migration, while it led to relative economic improvements, was not a total success in achieving its dream.</w:t>
      </w:r>
      <w:r w:rsidR="00333209">
        <w:rPr>
          <w:color w:val="000000"/>
        </w:rPr>
        <w:t xml:space="preserve">  </w:t>
      </w:r>
    </w:p>
    <w:p w14:paraId="6671477B" w14:textId="01A36719" w:rsidR="00C02365" w:rsidRDefault="00156363" w:rsidP="003C67BE">
      <w:pPr>
        <w:pStyle w:val="NormalWeb"/>
        <w:spacing w:before="0" w:beforeAutospacing="0" w:after="0" w:afterAutospacing="0" w:line="480" w:lineRule="auto"/>
        <w:ind w:firstLine="720"/>
        <w:rPr>
          <w:color w:val="000000"/>
        </w:rPr>
      </w:pPr>
      <w:r>
        <w:rPr>
          <w:color w:val="000000"/>
        </w:rPr>
        <w:t>Against the constant scrutiny of the African-American community and the attacks on</w:t>
      </w:r>
      <w:r w:rsidR="00ED480B">
        <w:rPr>
          <w:color w:val="000000"/>
        </w:rPr>
        <w:t xml:space="preserve"> </w:t>
      </w:r>
      <w:r>
        <w:rPr>
          <w:color w:val="000000"/>
        </w:rPr>
        <w:t>labor agencies</w:t>
      </w:r>
      <w:r w:rsidR="003F21E4">
        <w:rPr>
          <w:color w:val="000000"/>
        </w:rPr>
        <w:t xml:space="preserve"> and Pullman porters</w:t>
      </w:r>
      <w:r w:rsidR="003F21E4">
        <w:rPr>
          <w:rStyle w:val="FootnoteReference"/>
          <w:color w:val="000000"/>
        </w:rPr>
        <w:footnoteReference w:id="11"/>
      </w:r>
      <w:r>
        <w:rPr>
          <w:color w:val="000000"/>
        </w:rPr>
        <w:t xml:space="preserve">, </w:t>
      </w:r>
      <w:r w:rsidR="00333209">
        <w:rPr>
          <w:color w:val="000000"/>
        </w:rPr>
        <w:t>t</w:t>
      </w:r>
      <w:r>
        <w:rPr>
          <w:color w:val="000000"/>
        </w:rPr>
        <w:t>he First Great Migration was partially successful in achieving racial solidarity with Jack Johnson and the general idea of a New Negro</w:t>
      </w:r>
      <w:r w:rsidR="00D95A52">
        <w:rPr>
          <w:color w:val="000000"/>
        </w:rPr>
        <w:t>.  These concepts culturally transformed America as African-Americans abandoned passivity in favor of agency</w:t>
      </w:r>
      <w:r w:rsidR="003F21E4">
        <w:rPr>
          <w:color w:val="000000"/>
        </w:rPr>
        <w:t xml:space="preserve">.  However, </w:t>
      </w:r>
      <w:r w:rsidR="008E6B65">
        <w:rPr>
          <w:color w:val="000000"/>
        </w:rPr>
        <w:t xml:space="preserve">the problems they faced continued – in </w:t>
      </w:r>
      <w:r w:rsidR="006279C0">
        <w:rPr>
          <w:color w:val="000000"/>
        </w:rPr>
        <w:t xml:space="preserve">1919, the black teenager Eugene Williams </w:t>
      </w:r>
      <w:r w:rsidR="008E6B65">
        <w:rPr>
          <w:color w:val="000000"/>
        </w:rPr>
        <w:t>was stoned to death just for swimming across the color boundary at th</w:t>
      </w:r>
      <w:r w:rsidR="006279C0">
        <w:rPr>
          <w:color w:val="000000"/>
        </w:rPr>
        <w:t>e 29</w:t>
      </w:r>
      <w:r w:rsidR="006279C0" w:rsidRPr="006279C0">
        <w:rPr>
          <w:color w:val="000000"/>
          <w:vertAlign w:val="superscript"/>
        </w:rPr>
        <w:t>th</w:t>
      </w:r>
      <w:r w:rsidR="006279C0">
        <w:rPr>
          <w:color w:val="000000"/>
        </w:rPr>
        <w:t xml:space="preserve"> Street Beach</w:t>
      </w:r>
      <w:r w:rsidR="008E6B65">
        <w:rPr>
          <w:color w:val="000000"/>
        </w:rPr>
        <w:t xml:space="preserve"> on fabricated legal grounds</w:t>
      </w:r>
      <w:r w:rsidR="00826CAE">
        <w:rPr>
          <w:rStyle w:val="FootnoteReference"/>
          <w:color w:val="000000"/>
        </w:rPr>
        <w:footnoteReference w:id="12"/>
      </w:r>
      <w:r w:rsidR="00F62783">
        <w:rPr>
          <w:color w:val="000000"/>
        </w:rPr>
        <w:t xml:space="preserve">.  </w:t>
      </w:r>
      <w:proofErr w:type="gramStart"/>
      <w:r w:rsidR="002A17D4">
        <w:rPr>
          <w:color w:val="000000"/>
        </w:rPr>
        <w:t>So</w:t>
      </w:r>
      <w:proofErr w:type="gramEnd"/>
      <w:r w:rsidR="002A17D4">
        <w:rPr>
          <w:color w:val="000000"/>
        </w:rPr>
        <w:t xml:space="preserve"> the New Negro (defined by Carroll Binder as one who supports top-down community organization, interracial cooperation, and entrepreneurship</w:t>
      </w:r>
      <w:r w:rsidR="002A17D4">
        <w:rPr>
          <w:rStyle w:val="FootnoteReference"/>
          <w:color w:val="000000"/>
        </w:rPr>
        <w:footnoteReference w:id="13"/>
      </w:r>
      <w:r w:rsidR="002A17D4">
        <w:rPr>
          <w:color w:val="000000"/>
        </w:rPr>
        <w:t>) faced</w:t>
      </w:r>
      <w:r w:rsidR="00ED480B">
        <w:rPr>
          <w:color w:val="000000"/>
        </w:rPr>
        <w:t xml:space="preserve"> many</w:t>
      </w:r>
      <w:r w:rsidR="002A17D4">
        <w:rPr>
          <w:color w:val="000000"/>
        </w:rPr>
        <w:t xml:space="preserve"> difficulties in view of the racial violence that erupted in the North as a response to the First Great Migration.  </w:t>
      </w:r>
    </w:p>
    <w:p w14:paraId="1F61D333" w14:textId="3577B4DE" w:rsidR="00062258" w:rsidRDefault="00330F30" w:rsidP="003C67BE">
      <w:pPr>
        <w:pStyle w:val="NormalWeb"/>
        <w:spacing w:before="0" w:beforeAutospacing="0" w:after="0" w:afterAutospacing="0" w:line="480" w:lineRule="auto"/>
      </w:pPr>
      <w:r>
        <w:rPr>
          <w:color w:val="000000"/>
        </w:rPr>
        <w:tab/>
        <w:t xml:space="preserve">Respectability politics, originally invented to help migrants adapt to a “white” way of life, </w:t>
      </w:r>
      <w:r w:rsidR="00524372">
        <w:rPr>
          <w:color w:val="000000"/>
        </w:rPr>
        <w:t>largely failed and gave way to a broader concept of the Metropolis</w:t>
      </w:r>
      <w:r w:rsidR="00D2670E">
        <w:rPr>
          <w:color w:val="000000"/>
        </w:rPr>
        <w:t xml:space="preserve"> in places like Chicago</w:t>
      </w:r>
      <w:r w:rsidR="00524372">
        <w:rPr>
          <w:color w:val="000000"/>
        </w:rPr>
        <w:t xml:space="preserve">.  For instance, </w:t>
      </w:r>
      <w:r w:rsidR="00D2670E">
        <w:rPr>
          <w:color w:val="000000"/>
        </w:rPr>
        <w:t xml:space="preserve">black patrons were heavily discouraged from coming to Loop theaters and were </w:t>
      </w:r>
      <w:r w:rsidR="00D2670E">
        <w:rPr>
          <w:color w:val="000000"/>
        </w:rPr>
        <w:lastRenderedPageBreak/>
        <w:t>made to sit in a Jim Crow section on the balcony</w:t>
      </w:r>
      <w:r w:rsidR="00D2670E">
        <w:rPr>
          <w:rStyle w:val="FootnoteReference"/>
        </w:rPr>
        <w:footnoteReference w:id="14"/>
      </w:r>
      <w:r w:rsidR="00D2670E">
        <w:rPr>
          <w:color w:val="000000"/>
        </w:rPr>
        <w:t>.</w:t>
      </w:r>
      <w:r w:rsidR="00663C0F">
        <w:rPr>
          <w:color w:val="000000"/>
        </w:rPr>
        <w:t xml:space="preserve">  While sanctions were enforced on theaters following a landmark court decision</w:t>
      </w:r>
      <w:r w:rsidR="00663C0F">
        <w:rPr>
          <w:rStyle w:val="FootnoteReference"/>
        </w:rPr>
        <w:footnoteReference w:id="15"/>
      </w:r>
      <w:r w:rsidR="00062258">
        <w:rPr>
          <w:color w:val="000000"/>
        </w:rPr>
        <w:t xml:space="preserve"> and there were protests, these protests conformed to respectability politics’ conception of how African-Americans should behave – CCRR reports described</w:t>
      </w:r>
      <w:r w:rsidR="0005565B">
        <w:t xml:space="preserve"> </w:t>
      </w:r>
      <w:r w:rsidR="00062258">
        <w:t xml:space="preserve">victims </w:t>
      </w:r>
      <w:r w:rsidR="0005565B">
        <w:t>as</w:t>
      </w:r>
      <w:r w:rsidR="00062258">
        <w:t xml:space="preserve"> well-mannered or </w:t>
      </w:r>
      <w:r w:rsidR="0005565B">
        <w:t>“two of our most representative people”</w:t>
      </w:r>
      <w:r w:rsidR="00E6725D">
        <w:rPr>
          <w:rStyle w:val="FootnoteReference"/>
        </w:rPr>
        <w:footnoteReference w:id="16"/>
      </w:r>
      <w:r w:rsidR="00E6725D">
        <w:t xml:space="preserve">.  </w:t>
      </w:r>
      <w:r w:rsidR="00903477">
        <w:t xml:space="preserve">Therefore, </w:t>
      </w:r>
      <w:r w:rsidR="00062258">
        <w:t xml:space="preserve">respectability politics ensured that any racial uplift was defined </w:t>
      </w:r>
      <w:r w:rsidR="00F92969">
        <w:t xml:space="preserve">by white standards.  </w:t>
      </w:r>
    </w:p>
    <w:p w14:paraId="2D72B4D0" w14:textId="11B1D8FD" w:rsidR="00CC5FE3" w:rsidRDefault="00536DB2" w:rsidP="003C67BE">
      <w:pPr>
        <w:pStyle w:val="NormalWeb"/>
        <w:spacing w:before="0" w:beforeAutospacing="0" w:after="0" w:afterAutospacing="0" w:line="480" w:lineRule="auto"/>
        <w:ind w:firstLine="720"/>
      </w:pPr>
      <w:r>
        <w:t>Successes have been made;</w:t>
      </w:r>
      <w:r w:rsidR="00601B74">
        <w:t xml:space="preserve"> despite his imperfections,</w:t>
      </w:r>
      <w:r>
        <w:t xml:space="preserve"> the</w:t>
      </w:r>
      <w:r w:rsidR="008E6F5D">
        <w:t xml:space="preserve"> boxer </w:t>
      </w:r>
      <w:r w:rsidR="007D4061">
        <w:t>Jack Johnson</w:t>
      </w:r>
      <w:r w:rsidR="00601B74">
        <w:t xml:space="preserve"> </w:t>
      </w:r>
      <w:r w:rsidR="008E6F5D">
        <w:t xml:space="preserve">tested </w:t>
      </w:r>
      <w:r w:rsidR="008619E4">
        <w:t>white assumptions of black inferiorit</w:t>
      </w:r>
      <w:r w:rsidR="00426E82">
        <w:t>y</w:t>
      </w:r>
      <w:r w:rsidR="00F13095">
        <w:t xml:space="preserve"> with</w:t>
      </w:r>
      <w:r w:rsidR="008E6F5D">
        <w:t xml:space="preserve"> black </w:t>
      </w:r>
      <w:r w:rsidR="00426E82">
        <w:t>leaders rall</w:t>
      </w:r>
      <w:r w:rsidR="00F13095">
        <w:t>ying</w:t>
      </w:r>
      <w:r w:rsidR="00426E82">
        <w:t xml:space="preserve"> behind him</w:t>
      </w:r>
      <w:r w:rsidR="008E6F5D">
        <w:t xml:space="preserve"> when he was</w:t>
      </w:r>
      <w:r w:rsidR="00CA692A">
        <w:t xml:space="preserve"> arrested </w:t>
      </w:r>
      <w:r w:rsidR="008840B5">
        <w:t>using</w:t>
      </w:r>
      <w:r w:rsidR="00CA692A">
        <w:t xml:space="preserve"> the “White Slave Traffic Act”</w:t>
      </w:r>
      <w:r w:rsidR="00E6725D">
        <w:rPr>
          <w:rStyle w:val="FootnoteReference"/>
        </w:rPr>
        <w:footnoteReference w:id="17"/>
      </w:r>
      <w:r w:rsidR="00426E82">
        <w:t xml:space="preserve">.  </w:t>
      </w:r>
      <w:r w:rsidR="003A271C">
        <w:t xml:space="preserve">While </w:t>
      </w:r>
      <w:r w:rsidR="000A30D0">
        <w:t xml:space="preserve">racial uplift comedies are sometimes viewed by historians as </w:t>
      </w:r>
      <w:r w:rsidR="003C285C">
        <w:t>negative depictions of black people, we can see</w:t>
      </w:r>
      <w:r w:rsidR="00E5275F">
        <w:t xml:space="preserve"> how</w:t>
      </w:r>
      <w:r w:rsidR="00F708FE">
        <w:t xml:space="preserve"> films like </w:t>
      </w:r>
      <w:r w:rsidR="00F708FE">
        <w:rPr>
          <w:i/>
        </w:rPr>
        <w:t>The Railroad Porter</w:t>
      </w:r>
      <w:r w:rsidR="00F708FE">
        <w:t xml:space="preserve"> (1913)</w:t>
      </w:r>
      <w:r w:rsidR="00E6725D">
        <w:rPr>
          <w:rStyle w:val="FootnoteReference"/>
        </w:rPr>
        <w:footnoteReference w:id="18"/>
      </w:r>
      <w:r w:rsidR="00F708FE">
        <w:t xml:space="preserve"> </w:t>
      </w:r>
      <w:r w:rsidR="00E5275F">
        <w:t xml:space="preserve">developed </w:t>
      </w:r>
      <w:r w:rsidR="00737356">
        <w:t>because of</w:t>
      </w:r>
      <w:r w:rsidR="00E5275F">
        <w:t xml:space="preserve"> the First Great Migration</w:t>
      </w:r>
      <w:r w:rsidR="00737356">
        <w:t xml:space="preserve"> and</w:t>
      </w:r>
      <w:r w:rsidR="00E5275F">
        <w:t xml:space="preserve"> </w:t>
      </w:r>
      <w:r w:rsidR="00477A75">
        <w:t>inspired the first steps toward progress that would not have been possible in the South due to de jure racism.</w:t>
      </w:r>
      <w:r w:rsidR="00612EAE">
        <w:t xml:space="preserve">  </w:t>
      </w:r>
      <w:r w:rsidR="00406E00">
        <w:t xml:space="preserve">African-Americans </w:t>
      </w:r>
      <w:r w:rsidR="00D81468">
        <w:t>also s</w:t>
      </w:r>
      <w:r w:rsidR="00612EAE">
        <w:t xml:space="preserve">ucceeded </w:t>
      </w:r>
      <w:r w:rsidR="00D81468">
        <w:t>in the opportunity to practice</w:t>
      </w:r>
      <w:r w:rsidR="00790F2D">
        <w:t xml:space="preserve"> blues and jazz music ala Dorsey, who found employment in the Chicago milieu</w:t>
      </w:r>
      <w:r w:rsidR="00E6725D">
        <w:rPr>
          <w:rStyle w:val="FootnoteReference"/>
        </w:rPr>
        <w:footnoteReference w:id="19"/>
      </w:r>
      <w:r w:rsidR="00F155AB">
        <w:t xml:space="preserve">.  </w:t>
      </w:r>
    </w:p>
    <w:p w14:paraId="4735925B" w14:textId="30C2E0E5" w:rsidR="00355E74" w:rsidRDefault="008805BF" w:rsidP="003C67BE">
      <w:pPr>
        <w:pStyle w:val="NormalWeb"/>
        <w:spacing w:before="0" w:beforeAutospacing="0" w:after="0" w:afterAutospacing="0" w:line="480" w:lineRule="auto"/>
        <w:ind w:firstLine="720"/>
      </w:pPr>
      <w:r>
        <w:t>The</w:t>
      </w:r>
      <w:r w:rsidR="00612EAE">
        <w:t xml:space="preserve"> principal drawback of the First Great Migration would be the housing shortages – although legislation like the Perkins Bill protected renters from landlords hiking rents</w:t>
      </w:r>
      <w:r w:rsidR="008F32BB">
        <w:t xml:space="preserve">, these laws were </w:t>
      </w:r>
      <w:r w:rsidR="00612EAE">
        <w:t>very individual</w:t>
      </w:r>
      <w:r w:rsidR="00F52C1A">
        <w:t>istic</w:t>
      </w:r>
      <w:r w:rsidR="00612EAE">
        <w:t xml:space="preserve"> and so disregarded racial segregation as an issue in cities like Harlem</w:t>
      </w:r>
      <w:r w:rsidR="00FF26E5">
        <w:rPr>
          <w:rStyle w:val="FootnoteReference"/>
        </w:rPr>
        <w:footnoteReference w:id="20"/>
      </w:r>
      <w:r w:rsidR="008F32BB">
        <w:t xml:space="preserve">.  </w:t>
      </w:r>
      <w:r w:rsidR="00612EAE">
        <w:t>Housing in Detroit was also dismal with restrictive covenants, real estate codes, and social prejudice preventing African-Americans from exercising their agency</w:t>
      </w:r>
      <w:r w:rsidR="00283AB8">
        <w:rPr>
          <w:rStyle w:val="FootnoteReference"/>
        </w:rPr>
        <w:footnoteReference w:id="21"/>
      </w:r>
      <w:r w:rsidR="008320D6">
        <w:t>.</w:t>
      </w:r>
      <w:r w:rsidR="00612EAE">
        <w:t xml:space="preserve">  The Northern version of Jim Crow was very much in effect with housing.  Unlike the South, the industrial North was </w:t>
      </w:r>
      <w:r w:rsidR="00612EAE">
        <w:lastRenderedPageBreak/>
        <w:t xml:space="preserve">able to restrict residents to regions known as </w:t>
      </w:r>
      <w:r w:rsidR="005962ED">
        <w:t>black belts</w:t>
      </w:r>
      <w:r w:rsidR="00283AB8">
        <w:rPr>
          <w:rStyle w:val="FootnoteReference"/>
        </w:rPr>
        <w:footnoteReference w:id="22"/>
      </w:r>
      <w:r w:rsidR="004F1131">
        <w:t xml:space="preserve"> in order to maintain property values</w:t>
      </w:r>
      <w:r w:rsidR="00BC7016">
        <w:t>.</w:t>
      </w:r>
      <w:r w:rsidR="004F1131">
        <w:t xml:space="preserve">  When the</w:t>
      </w:r>
      <w:r w:rsidR="00CA114E">
        <w:t xml:space="preserve"> Ossian and Gladys Sweets’ family </w:t>
      </w:r>
      <w:r w:rsidR="004F1131">
        <w:t xml:space="preserve">moved into the lower-middle class Garland neighborhood, people </w:t>
      </w:r>
      <w:r w:rsidR="0012369D">
        <w:t>began mobbing their home whi</w:t>
      </w:r>
      <w:r w:rsidR="004F1131">
        <w:t>ch they legally defended to their detriment</w:t>
      </w:r>
      <w:r w:rsidR="00283AB8">
        <w:rPr>
          <w:rStyle w:val="FootnoteReference"/>
        </w:rPr>
        <w:footnoteReference w:id="23"/>
      </w:r>
      <w:r w:rsidR="00D31207">
        <w:t>.</w:t>
      </w:r>
      <w:r w:rsidR="00B50400">
        <w:t xml:space="preserve">  </w:t>
      </w:r>
      <w:r w:rsidR="004F1131">
        <w:t xml:space="preserve">As such, secretary of the NAACP </w:t>
      </w:r>
      <w:r w:rsidR="007432A9">
        <w:t>James Weldon Johnson</w:t>
      </w:r>
      <w:r w:rsidR="004F1131">
        <w:t xml:space="preserve"> lamented times </w:t>
      </w:r>
      <w:r w:rsidR="007432A9">
        <w:t>“when the most persistent integrationist becomes an isolationist”</w:t>
      </w:r>
      <w:r w:rsidR="00283AB8">
        <w:rPr>
          <w:rStyle w:val="FootnoteReference"/>
        </w:rPr>
        <w:footnoteReference w:id="24"/>
      </w:r>
      <w:r w:rsidR="00283AB8">
        <w:t xml:space="preserve"> </w:t>
      </w:r>
      <w:r w:rsidR="007432A9">
        <w:t xml:space="preserve">which </w:t>
      </w:r>
      <w:r w:rsidR="00E32465">
        <w:t xml:space="preserve">is further evidence that the first migrants’ dream of a promised land was shattered by the Northern version of Jim Crow.  </w:t>
      </w:r>
    </w:p>
    <w:p w14:paraId="7379A557" w14:textId="1CC8E0CF" w:rsidR="007C2F1C" w:rsidRDefault="007C2F1C" w:rsidP="003C67BE">
      <w:pPr>
        <w:pStyle w:val="NormalWeb"/>
        <w:spacing w:before="0" w:beforeAutospacing="0" w:after="0" w:afterAutospacing="0" w:line="480" w:lineRule="auto"/>
      </w:pPr>
    </w:p>
    <w:p w14:paraId="616535BF" w14:textId="02CBC458" w:rsidR="007C2F1C" w:rsidRDefault="007C2F1C" w:rsidP="003C67BE">
      <w:pPr>
        <w:pStyle w:val="NormalWeb"/>
        <w:spacing w:before="0" w:beforeAutospacing="0" w:after="0" w:afterAutospacing="0" w:line="480" w:lineRule="auto"/>
      </w:pPr>
    </w:p>
    <w:p w14:paraId="06CD3411" w14:textId="727736AC" w:rsidR="007C2F1C" w:rsidRDefault="007C2F1C" w:rsidP="003C67BE">
      <w:pPr>
        <w:spacing w:after="0" w:line="480" w:lineRule="auto"/>
        <w:rPr>
          <w:rFonts w:ascii="Times New Roman" w:eastAsia="Times New Roman" w:hAnsi="Times New Roman" w:cs="Times New Roman"/>
          <w:sz w:val="24"/>
          <w:szCs w:val="24"/>
        </w:rPr>
      </w:pPr>
      <w:r>
        <w:br w:type="page"/>
      </w:r>
    </w:p>
    <w:p w14:paraId="62794E82" w14:textId="5AA3E685" w:rsidR="007C2F1C" w:rsidRDefault="007C2F1C" w:rsidP="003C67BE">
      <w:pPr>
        <w:pStyle w:val="NormalWeb"/>
        <w:spacing w:before="0" w:beforeAutospacing="0" w:after="0" w:afterAutospacing="0" w:line="480" w:lineRule="auto"/>
        <w:rPr>
          <w:b/>
        </w:rPr>
      </w:pPr>
      <w:r>
        <w:rPr>
          <w:b/>
        </w:rPr>
        <w:lastRenderedPageBreak/>
        <w:t xml:space="preserve">References:  </w:t>
      </w:r>
    </w:p>
    <w:p w14:paraId="4AC4F549" w14:textId="77777777" w:rsidR="003669AF" w:rsidRDefault="003669AF" w:rsidP="003C67BE">
      <w:pPr>
        <w:pStyle w:val="NormalWeb"/>
        <w:spacing w:before="0" w:beforeAutospacing="0" w:after="0" w:afterAutospacing="0" w:line="480" w:lineRule="auto"/>
        <w:ind w:left="720" w:hanging="720"/>
      </w:pPr>
      <w:r w:rsidRPr="00826CAE">
        <w:t>Baldwin, D. (2007). </w:t>
      </w:r>
      <w:r w:rsidRPr="00826CAE">
        <w:rPr>
          <w:i/>
          <w:iCs/>
        </w:rPr>
        <w:t>Chicago's New Negroes</w:t>
      </w:r>
      <w:r w:rsidRPr="00826CAE">
        <w:t>. Chapel Hill: The University of North Carolina Press.</w:t>
      </w:r>
    </w:p>
    <w:p w14:paraId="1384C47D" w14:textId="689FF7F4" w:rsidR="003669AF" w:rsidRDefault="003669AF" w:rsidP="003C67BE">
      <w:pPr>
        <w:pStyle w:val="NormalWeb"/>
        <w:spacing w:before="0" w:beforeAutospacing="0" w:after="0" w:afterAutospacing="0" w:line="480" w:lineRule="auto"/>
        <w:ind w:left="720" w:hanging="720"/>
      </w:pPr>
      <w:r w:rsidRPr="00283AB8">
        <w:t>Bates, B. (2012). </w:t>
      </w:r>
      <w:r w:rsidRPr="00283AB8">
        <w:rPr>
          <w:i/>
          <w:iCs/>
        </w:rPr>
        <w:t>The Making of Black Detroit in the Age of Henry Ford</w:t>
      </w:r>
      <w:r w:rsidRPr="00283AB8">
        <w:t>. Chapel Hill: The University of North Carolina Press.</w:t>
      </w:r>
    </w:p>
    <w:p w14:paraId="67729B9E" w14:textId="77777777" w:rsidR="003669AF" w:rsidRDefault="003669AF" w:rsidP="003C67BE">
      <w:pPr>
        <w:pStyle w:val="NormalWeb"/>
        <w:spacing w:before="0" w:beforeAutospacing="0" w:after="0" w:afterAutospacing="0" w:line="480" w:lineRule="auto"/>
        <w:ind w:left="720" w:hanging="720"/>
      </w:pPr>
      <w:r w:rsidRPr="002A07D1">
        <w:t>Hall, J. (2005). The Long Civil Rights Movement and the Political Uses of the Past. </w:t>
      </w:r>
      <w:r w:rsidRPr="002A07D1">
        <w:rPr>
          <w:i/>
          <w:iCs/>
        </w:rPr>
        <w:t>The Journal of American History</w:t>
      </w:r>
      <w:r w:rsidRPr="002A07D1">
        <w:t>, 91(4).</w:t>
      </w:r>
    </w:p>
    <w:p w14:paraId="4B6F916E" w14:textId="4A0CA8A5" w:rsidR="003669AF" w:rsidRDefault="003669AF" w:rsidP="003C67BE">
      <w:pPr>
        <w:pStyle w:val="NormalWeb"/>
        <w:spacing w:before="0" w:beforeAutospacing="0" w:after="0" w:afterAutospacing="0" w:line="480" w:lineRule="auto"/>
        <w:ind w:left="720" w:hanging="720"/>
      </w:pPr>
      <w:r w:rsidRPr="002355A9">
        <w:t>King, S. (2015). </w:t>
      </w:r>
      <w:r w:rsidRPr="002355A9">
        <w:rPr>
          <w:i/>
          <w:iCs/>
        </w:rPr>
        <w:t xml:space="preserve">Whose Harlem </w:t>
      </w:r>
      <w:r w:rsidR="00714282">
        <w:rPr>
          <w:i/>
          <w:iCs/>
        </w:rPr>
        <w:t xml:space="preserve">Is this, </w:t>
      </w:r>
      <w:proofErr w:type="gramStart"/>
      <w:r w:rsidR="00714282">
        <w:rPr>
          <w:i/>
          <w:iCs/>
        </w:rPr>
        <w:t>A</w:t>
      </w:r>
      <w:r w:rsidRPr="002355A9">
        <w:rPr>
          <w:i/>
          <w:iCs/>
        </w:rPr>
        <w:t>nyway?</w:t>
      </w:r>
      <w:r w:rsidRPr="002355A9">
        <w:t>.</w:t>
      </w:r>
      <w:proofErr w:type="gramEnd"/>
      <w:r w:rsidRPr="002355A9">
        <w:t xml:space="preserve"> New York and London: New York University Press.</w:t>
      </w:r>
    </w:p>
    <w:p w14:paraId="4DA1BC0B" w14:textId="70B0FC89" w:rsidR="007C2F1C" w:rsidRDefault="007C2F1C" w:rsidP="003C67BE">
      <w:pPr>
        <w:pStyle w:val="NormalWeb"/>
        <w:spacing w:before="0" w:beforeAutospacing="0" w:after="0" w:afterAutospacing="0" w:line="480" w:lineRule="auto"/>
        <w:ind w:left="720" w:hanging="720"/>
      </w:pPr>
      <w:proofErr w:type="spellStart"/>
      <w:r w:rsidRPr="007C2F1C">
        <w:t>Theoharis</w:t>
      </w:r>
      <w:proofErr w:type="spellEnd"/>
      <w:r w:rsidRPr="007C2F1C">
        <w:t>, J. (2018). </w:t>
      </w:r>
      <w:r w:rsidRPr="007C2F1C">
        <w:rPr>
          <w:i/>
          <w:iCs/>
        </w:rPr>
        <w:t>A More Beautiful and Terrible History - The Uses and Misuses of Civil Rights History</w:t>
      </w:r>
      <w:r w:rsidRPr="007C2F1C">
        <w:t>. Boston: Beacon Press.</w:t>
      </w:r>
      <w:r>
        <w:t xml:space="preserve">  </w:t>
      </w:r>
    </w:p>
    <w:p w14:paraId="57084955" w14:textId="297E36DA" w:rsidR="009612C4" w:rsidRDefault="009612C4" w:rsidP="003C67BE">
      <w:pPr>
        <w:pStyle w:val="NormalWeb"/>
        <w:spacing w:before="0" w:beforeAutospacing="0" w:after="0" w:afterAutospacing="0" w:line="480" w:lineRule="auto"/>
        <w:ind w:left="720" w:hanging="720"/>
      </w:pPr>
      <w:r w:rsidRPr="009612C4">
        <w:t>Trotter, J. (2002). The Great Migration. </w:t>
      </w:r>
      <w:r w:rsidRPr="009612C4">
        <w:rPr>
          <w:i/>
          <w:iCs/>
        </w:rPr>
        <w:t>OAH Magazine of History</w:t>
      </w:r>
      <w:r w:rsidRPr="009612C4">
        <w:t>, 17(1).</w:t>
      </w:r>
      <w:r w:rsidR="00714282">
        <w:t xml:space="preserve">  </w:t>
      </w:r>
    </w:p>
    <w:p w14:paraId="6A0B0E6D" w14:textId="77777777" w:rsidR="00714282" w:rsidRDefault="00714282" w:rsidP="003C67BE">
      <w:pPr>
        <w:pStyle w:val="NormalWeb"/>
        <w:spacing w:before="0" w:beforeAutospacing="0" w:after="0" w:afterAutospacing="0" w:line="480" w:lineRule="auto"/>
        <w:ind w:left="720" w:hanging="720"/>
      </w:pPr>
    </w:p>
    <w:sectPr w:rsidR="007142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068F4" w14:textId="77777777" w:rsidR="007C2F1C" w:rsidRDefault="007C2F1C" w:rsidP="007C2F1C">
      <w:pPr>
        <w:spacing w:after="0" w:line="240" w:lineRule="auto"/>
      </w:pPr>
      <w:r>
        <w:separator/>
      </w:r>
    </w:p>
  </w:endnote>
  <w:endnote w:type="continuationSeparator" w:id="0">
    <w:p w14:paraId="212819E1" w14:textId="77777777" w:rsidR="007C2F1C" w:rsidRDefault="007C2F1C" w:rsidP="007C2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BA010" w14:textId="77777777" w:rsidR="007C2F1C" w:rsidRDefault="007C2F1C" w:rsidP="007C2F1C">
      <w:pPr>
        <w:spacing w:after="0" w:line="240" w:lineRule="auto"/>
      </w:pPr>
      <w:r>
        <w:separator/>
      </w:r>
    </w:p>
  </w:footnote>
  <w:footnote w:type="continuationSeparator" w:id="0">
    <w:p w14:paraId="61805C71" w14:textId="77777777" w:rsidR="007C2F1C" w:rsidRDefault="007C2F1C" w:rsidP="007C2F1C">
      <w:pPr>
        <w:spacing w:after="0" w:line="240" w:lineRule="auto"/>
      </w:pPr>
      <w:r>
        <w:continuationSeparator/>
      </w:r>
    </w:p>
  </w:footnote>
  <w:footnote w:id="1">
    <w:p w14:paraId="134C5861" w14:textId="35FDAD0F" w:rsidR="006818B7" w:rsidRDefault="006818B7">
      <w:pPr>
        <w:pStyle w:val="FootnoteText"/>
      </w:pPr>
      <w:r>
        <w:rPr>
          <w:rStyle w:val="FootnoteReference"/>
        </w:rPr>
        <w:footnoteRef/>
      </w:r>
      <w:r>
        <w:t xml:space="preserve"> Discussed in class</w:t>
      </w:r>
      <w:r w:rsidR="00DB5CB1">
        <w:t>.</w:t>
      </w:r>
      <w:r w:rsidR="00923EB5">
        <w:t xml:space="preserve">  </w:t>
      </w:r>
    </w:p>
  </w:footnote>
  <w:footnote w:id="2">
    <w:p w14:paraId="4314C9BF" w14:textId="61A82793" w:rsidR="007C2F1C" w:rsidRDefault="007C2F1C">
      <w:pPr>
        <w:pStyle w:val="FootnoteText"/>
      </w:pPr>
      <w:r>
        <w:rPr>
          <w:rStyle w:val="FootnoteReference"/>
        </w:rPr>
        <w:footnoteRef/>
      </w:r>
      <w:r>
        <w:t xml:space="preserve"> </w:t>
      </w:r>
      <w:r w:rsidR="00ED6B01" w:rsidRPr="00ED6B01">
        <w:t>(</w:t>
      </w:r>
      <w:proofErr w:type="spellStart"/>
      <w:r w:rsidR="00ED6B01" w:rsidRPr="00ED6B01">
        <w:t>Theoharis</w:t>
      </w:r>
      <w:proofErr w:type="spellEnd"/>
      <w:r w:rsidR="00ED6B01" w:rsidRPr="00ED6B01">
        <w:t>, 2018</w:t>
      </w:r>
      <w:r w:rsidR="00ED6B01">
        <w:t xml:space="preserve"> p. 10</w:t>
      </w:r>
      <w:r w:rsidR="00ED6B01" w:rsidRPr="00ED6B01">
        <w:t>)</w:t>
      </w:r>
    </w:p>
  </w:footnote>
  <w:footnote w:id="3">
    <w:p w14:paraId="63F05436" w14:textId="77777777" w:rsidR="004F3882" w:rsidRDefault="004F3882" w:rsidP="004F3882">
      <w:pPr>
        <w:pStyle w:val="FootnoteText"/>
      </w:pPr>
      <w:r>
        <w:rPr>
          <w:rStyle w:val="FootnoteReference"/>
        </w:rPr>
        <w:footnoteRef/>
      </w:r>
      <w:r>
        <w:t xml:space="preserve"> </w:t>
      </w:r>
      <w:r w:rsidRPr="0000770E">
        <w:t>(Hall, 2005</w:t>
      </w:r>
      <w:r>
        <w:t xml:space="preserve"> p. 1249</w:t>
      </w:r>
      <w:r w:rsidRPr="0000770E">
        <w:t>)</w:t>
      </w:r>
    </w:p>
  </w:footnote>
  <w:footnote w:id="4">
    <w:p w14:paraId="15DB9168" w14:textId="782C6F19" w:rsidR="004F3882" w:rsidRDefault="004F3882" w:rsidP="004F3882">
      <w:pPr>
        <w:pStyle w:val="FootnoteText"/>
      </w:pPr>
      <w:r>
        <w:rPr>
          <w:rStyle w:val="FootnoteReference"/>
        </w:rPr>
        <w:footnoteRef/>
      </w:r>
      <w:r>
        <w:t xml:space="preserve"> </w:t>
      </w:r>
      <w:r w:rsidRPr="0000770E">
        <w:t>(</w:t>
      </w:r>
      <w:r w:rsidR="003C5845">
        <w:t>Ibid.,</w:t>
      </w:r>
      <w:r>
        <w:t xml:space="preserve"> p. 1250</w:t>
      </w:r>
      <w:r w:rsidRPr="0000770E">
        <w:t>)</w:t>
      </w:r>
    </w:p>
  </w:footnote>
  <w:footnote w:id="5">
    <w:p w14:paraId="6FF8F1E3" w14:textId="77777777" w:rsidR="0076727B" w:rsidRDefault="0076727B" w:rsidP="0076727B">
      <w:pPr>
        <w:pStyle w:val="FootnoteText"/>
      </w:pPr>
      <w:r>
        <w:rPr>
          <w:rStyle w:val="FootnoteReference"/>
        </w:rPr>
        <w:footnoteRef/>
      </w:r>
      <w:r>
        <w:t xml:space="preserve"> </w:t>
      </w:r>
      <w:r w:rsidRPr="00ED6B01">
        <w:t>(</w:t>
      </w:r>
      <w:proofErr w:type="spellStart"/>
      <w:r w:rsidRPr="00ED6B01">
        <w:t>Theoharis</w:t>
      </w:r>
      <w:proofErr w:type="spellEnd"/>
      <w:r w:rsidRPr="00ED6B01">
        <w:t>, 2018</w:t>
      </w:r>
      <w:r>
        <w:t xml:space="preserve"> p. 10</w:t>
      </w:r>
      <w:r w:rsidRPr="00ED6B01">
        <w:t>)</w:t>
      </w:r>
    </w:p>
  </w:footnote>
  <w:footnote w:id="6">
    <w:p w14:paraId="4FD17FE6" w14:textId="7FDBF270" w:rsidR="00ED6B01" w:rsidRDefault="00ED6B01">
      <w:pPr>
        <w:pStyle w:val="FootnoteText"/>
      </w:pPr>
      <w:r>
        <w:rPr>
          <w:rStyle w:val="FootnoteReference"/>
        </w:rPr>
        <w:footnoteRef/>
      </w:r>
      <w:r>
        <w:t xml:space="preserve"> </w:t>
      </w:r>
      <w:r w:rsidRPr="00ED6B01">
        <w:t>(</w:t>
      </w:r>
      <w:r w:rsidR="003C5845">
        <w:t>Ibid.,</w:t>
      </w:r>
      <w:r w:rsidRPr="00ED6B01">
        <w:t xml:space="preserve"> 2018</w:t>
      </w:r>
      <w:r>
        <w:t xml:space="preserve"> p. 10</w:t>
      </w:r>
      <w:r w:rsidRPr="00ED6B01">
        <w:t>)</w:t>
      </w:r>
    </w:p>
  </w:footnote>
  <w:footnote w:id="7">
    <w:p w14:paraId="6E59116E" w14:textId="1BA35AA1" w:rsidR="009612C4" w:rsidRDefault="009612C4">
      <w:pPr>
        <w:pStyle w:val="FootnoteText"/>
      </w:pPr>
      <w:r>
        <w:rPr>
          <w:rStyle w:val="FootnoteReference"/>
        </w:rPr>
        <w:footnoteRef/>
      </w:r>
      <w:r>
        <w:t xml:space="preserve"> </w:t>
      </w:r>
      <w:r w:rsidRPr="009612C4">
        <w:t>(Trotter, 2002</w:t>
      </w:r>
      <w:r>
        <w:t xml:space="preserve"> p. 23</w:t>
      </w:r>
      <w:r w:rsidRPr="009612C4">
        <w:t>)</w:t>
      </w:r>
    </w:p>
  </w:footnote>
  <w:footnote w:id="8">
    <w:p w14:paraId="1F160B5C" w14:textId="1AA507E5" w:rsidR="009612C4" w:rsidRDefault="009612C4">
      <w:pPr>
        <w:pStyle w:val="FootnoteText"/>
      </w:pPr>
      <w:r>
        <w:rPr>
          <w:rStyle w:val="FootnoteReference"/>
        </w:rPr>
        <w:footnoteRef/>
      </w:r>
      <w:r>
        <w:t xml:space="preserve"> </w:t>
      </w:r>
      <w:r w:rsidRPr="009612C4">
        <w:t>(Trotter, 2002</w:t>
      </w:r>
      <w:r>
        <w:t xml:space="preserve"> p. 25</w:t>
      </w:r>
      <w:r w:rsidRPr="009612C4">
        <w:t>)</w:t>
      </w:r>
    </w:p>
  </w:footnote>
  <w:footnote w:id="9">
    <w:p w14:paraId="16924B3A" w14:textId="1C544B64" w:rsidR="008920B9" w:rsidRDefault="008920B9" w:rsidP="008920B9">
      <w:pPr>
        <w:pStyle w:val="FootnoteText"/>
      </w:pPr>
      <w:r>
        <w:rPr>
          <w:rStyle w:val="FootnoteReference"/>
        </w:rPr>
        <w:footnoteRef/>
      </w:r>
      <w:r>
        <w:t xml:space="preserve"> </w:t>
      </w:r>
      <w:r w:rsidRPr="009612C4">
        <w:t>(</w:t>
      </w:r>
      <w:r w:rsidR="003C5845">
        <w:t>Ibid.,</w:t>
      </w:r>
      <w:r>
        <w:t xml:space="preserve"> p. 31</w:t>
      </w:r>
      <w:r w:rsidRPr="009612C4">
        <w:t>)</w:t>
      </w:r>
    </w:p>
  </w:footnote>
  <w:footnote w:id="10">
    <w:p w14:paraId="1631D4D1" w14:textId="245926D7" w:rsidR="009612C4" w:rsidRDefault="009612C4">
      <w:pPr>
        <w:pStyle w:val="FootnoteText"/>
      </w:pPr>
      <w:r>
        <w:rPr>
          <w:rStyle w:val="FootnoteReference"/>
        </w:rPr>
        <w:footnoteRef/>
      </w:r>
      <w:r>
        <w:t xml:space="preserve"> </w:t>
      </w:r>
      <w:r w:rsidRPr="009612C4">
        <w:t>(</w:t>
      </w:r>
      <w:r w:rsidR="003C5845">
        <w:t>Ibid.,</w:t>
      </w:r>
      <w:r w:rsidR="00000764">
        <w:t xml:space="preserve"> p. 32</w:t>
      </w:r>
      <w:r w:rsidRPr="009612C4">
        <w:t>)</w:t>
      </w:r>
    </w:p>
  </w:footnote>
  <w:footnote w:id="11">
    <w:p w14:paraId="5710B1AF" w14:textId="77777777" w:rsidR="003F21E4" w:rsidRDefault="003F21E4" w:rsidP="003F21E4">
      <w:pPr>
        <w:pStyle w:val="FootnoteText"/>
      </w:pPr>
      <w:r>
        <w:rPr>
          <w:rStyle w:val="FootnoteReference"/>
        </w:rPr>
        <w:footnoteRef/>
      </w:r>
      <w:r>
        <w:t xml:space="preserve"> </w:t>
      </w:r>
      <w:r w:rsidRPr="00826CAE">
        <w:t>(Baldwin, 2007</w:t>
      </w:r>
      <w:r>
        <w:t xml:space="preserve"> p. 14</w:t>
      </w:r>
      <w:r w:rsidRPr="00826CAE">
        <w:t>)</w:t>
      </w:r>
    </w:p>
  </w:footnote>
  <w:footnote w:id="12">
    <w:p w14:paraId="6F9606F0" w14:textId="49C42E73" w:rsidR="00826CAE" w:rsidRDefault="00826CAE">
      <w:pPr>
        <w:pStyle w:val="FootnoteText"/>
      </w:pPr>
      <w:r>
        <w:rPr>
          <w:rStyle w:val="FootnoteReference"/>
        </w:rPr>
        <w:footnoteRef/>
      </w:r>
      <w:r>
        <w:t xml:space="preserve"> </w:t>
      </w:r>
      <w:r w:rsidRPr="00826CAE">
        <w:t>(</w:t>
      </w:r>
      <w:r w:rsidR="003C5845">
        <w:t xml:space="preserve">Ibid., </w:t>
      </w:r>
      <w:r>
        <w:t>p. 15</w:t>
      </w:r>
      <w:r w:rsidRPr="00826CAE">
        <w:t>)</w:t>
      </w:r>
    </w:p>
  </w:footnote>
  <w:footnote w:id="13">
    <w:p w14:paraId="761F725B" w14:textId="41D76630" w:rsidR="002A17D4" w:rsidRDefault="002A17D4" w:rsidP="002A17D4">
      <w:pPr>
        <w:pStyle w:val="FootnoteText"/>
      </w:pPr>
      <w:r>
        <w:rPr>
          <w:rStyle w:val="FootnoteReference"/>
        </w:rPr>
        <w:footnoteRef/>
      </w:r>
      <w:r>
        <w:t xml:space="preserve"> </w:t>
      </w:r>
      <w:r w:rsidRPr="00826CAE">
        <w:t>(</w:t>
      </w:r>
      <w:r w:rsidR="003C5845">
        <w:t>Ibid.,</w:t>
      </w:r>
      <w:r>
        <w:t xml:space="preserve"> p. 17</w:t>
      </w:r>
      <w:r w:rsidRPr="00826CAE">
        <w:t>)</w:t>
      </w:r>
    </w:p>
  </w:footnote>
  <w:footnote w:id="14">
    <w:p w14:paraId="1CD02EBA" w14:textId="77777777" w:rsidR="00D2670E" w:rsidRDefault="00D2670E" w:rsidP="00D2670E">
      <w:pPr>
        <w:pStyle w:val="FootnoteText"/>
      </w:pPr>
      <w:r>
        <w:rPr>
          <w:rStyle w:val="FootnoteReference"/>
        </w:rPr>
        <w:footnoteRef/>
      </w:r>
      <w:r>
        <w:t xml:space="preserve"> </w:t>
      </w:r>
      <w:r w:rsidRPr="00E6725D">
        <w:t>(Baldwin, 2007</w:t>
      </w:r>
      <w:r>
        <w:t xml:space="preserve"> p. 96</w:t>
      </w:r>
      <w:r w:rsidRPr="00E6725D">
        <w:t>)</w:t>
      </w:r>
    </w:p>
  </w:footnote>
  <w:footnote w:id="15">
    <w:p w14:paraId="3A964832" w14:textId="0BE3491C" w:rsidR="00663C0F" w:rsidRDefault="00663C0F" w:rsidP="00663C0F">
      <w:pPr>
        <w:pStyle w:val="FootnoteText"/>
      </w:pPr>
      <w:r>
        <w:rPr>
          <w:rStyle w:val="FootnoteReference"/>
        </w:rPr>
        <w:footnoteRef/>
      </w:r>
      <w:r>
        <w:t xml:space="preserve"> </w:t>
      </w:r>
      <w:r w:rsidRPr="00826CAE">
        <w:t>(</w:t>
      </w:r>
      <w:r w:rsidR="003C5845">
        <w:t xml:space="preserve">Ibid., </w:t>
      </w:r>
      <w:r>
        <w:t>p. 95</w:t>
      </w:r>
      <w:r w:rsidRPr="00826CAE">
        <w:t>)</w:t>
      </w:r>
    </w:p>
  </w:footnote>
  <w:footnote w:id="16">
    <w:p w14:paraId="31760362" w14:textId="3BAA83D4" w:rsidR="00E6725D" w:rsidRDefault="00E6725D">
      <w:pPr>
        <w:pStyle w:val="FootnoteText"/>
      </w:pPr>
      <w:r>
        <w:rPr>
          <w:rStyle w:val="FootnoteReference"/>
        </w:rPr>
        <w:footnoteRef/>
      </w:r>
      <w:r>
        <w:t xml:space="preserve"> </w:t>
      </w:r>
      <w:r w:rsidRPr="00E6725D">
        <w:t>(</w:t>
      </w:r>
      <w:r w:rsidR="003C5845">
        <w:t>Ibid.,</w:t>
      </w:r>
      <w:r>
        <w:t xml:space="preserve"> p. 97</w:t>
      </w:r>
      <w:r w:rsidRPr="00E6725D">
        <w:t>)</w:t>
      </w:r>
    </w:p>
  </w:footnote>
  <w:footnote w:id="17">
    <w:p w14:paraId="79F66B51" w14:textId="44A80EBD" w:rsidR="00E6725D" w:rsidRDefault="00E6725D">
      <w:pPr>
        <w:pStyle w:val="FootnoteText"/>
      </w:pPr>
      <w:r>
        <w:rPr>
          <w:rStyle w:val="FootnoteReference"/>
        </w:rPr>
        <w:footnoteRef/>
      </w:r>
      <w:r>
        <w:t xml:space="preserve"> </w:t>
      </w:r>
      <w:r w:rsidR="003C5845">
        <w:t xml:space="preserve">(Ibid., </w:t>
      </w:r>
      <w:r>
        <w:t>p. 111</w:t>
      </w:r>
      <w:r w:rsidRPr="00E6725D">
        <w:t>)</w:t>
      </w:r>
    </w:p>
  </w:footnote>
  <w:footnote w:id="18">
    <w:p w14:paraId="7406E7C6" w14:textId="7AC1837B" w:rsidR="00E6725D" w:rsidRDefault="00E6725D">
      <w:pPr>
        <w:pStyle w:val="FootnoteText"/>
      </w:pPr>
      <w:r>
        <w:rPr>
          <w:rStyle w:val="FootnoteReference"/>
        </w:rPr>
        <w:footnoteRef/>
      </w:r>
      <w:r>
        <w:t xml:space="preserve"> </w:t>
      </w:r>
      <w:r w:rsidRPr="00E6725D">
        <w:t>(</w:t>
      </w:r>
      <w:r w:rsidR="003C5845">
        <w:t xml:space="preserve">Ibid., </w:t>
      </w:r>
      <w:r>
        <w:t>p. 119</w:t>
      </w:r>
      <w:r w:rsidRPr="00E6725D">
        <w:t>)</w:t>
      </w:r>
    </w:p>
  </w:footnote>
  <w:footnote w:id="19">
    <w:p w14:paraId="550AD2AB" w14:textId="48E1B90E" w:rsidR="00E6725D" w:rsidRDefault="00E6725D">
      <w:pPr>
        <w:pStyle w:val="FootnoteText"/>
      </w:pPr>
      <w:r>
        <w:rPr>
          <w:rStyle w:val="FootnoteReference"/>
        </w:rPr>
        <w:footnoteRef/>
      </w:r>
      <w:r>
        <w:t xml:space="preserve"> </w:t>
      </w:r>
      <w:r w:rsidRPr="00E6725D">
        <w:t>(</w:t>
      </w:r>
      <w:r w:rsidR="003C5845">
        <w:t>Ibid.,</w:t>
      </w:r>
      <w:r>
        <w:t xml:space="preserve"> p. 164-65</w:t>
      </w:r>
      <w:r w:rsidRPr="00E6725D">
        <w:t>)</w:t>
      </w:r>
    </w:p>
  </w:footnote>
  <w:footnote w:id="20">
    <w:p w14:paraId="62C51C5D" w14:textId="3DFC8F6C" w:rsidR="00FF26E5" w:rsidRDefault="00FF26E5">
      <w:pPr>
        <w:pStyle w:val="FootnoteText"/>
      </w:pPr>
      <w:r>
        <w:rPr>
          <w:rStyle w:val="FootnoteReference"/>
        </w:rPr>
        <w:footnoteRef/>
      </w:r>
      <w:r>
        <w:t xml:space="preserve"> </w:t>
      </w:r>
      <w:r w:rsidRPr="00FF26E5">
        <w:t>(King, 2015</w:t>
      </w:r>
      <w:r>
        <w:t xml:space="preserve"> p. 118-19</w:t>
      </w:r>
      <w:r w:rsidRPr="00FF26E5">
        <w:t>)</w:t>
      </w:r>
    </w:p>
  </w:footnote>
  <w:footnote w:id="21">
    <w:p w14:paraId="17438E1D" w14:textId="148F133B" w:rsidR="00283AB8" w:rsidRDefault="00283AB8">
      <w:pPr>
        <w:pStyle w:val="FootnoteText"/>
      </w:pPr>
      <w:r>
        <w:rPr>
          <w:rStyle w:val="FootnoteReference"/>
        </w:rPr>
        <w:footnoteRef/>
      </w:r>
      <w:r>
        <w:t xml:space="preserve"> </w:t>
      </w:r>
      <w:r w:rsidRPr="00283AB8">
        <w:t>(Bates, 2012</w:t>
      </w:r>
      <w:r>
        <w:t xml:space="preserve"> p. 32</w:t>
      </w:r>
      <w:r w:rsidRPr="00283AB8">
        <w:t>)</w:t>
      </w:r>
    </w:p>
  </w:footnote>
  <w:footnote w:id="22">
    <w:p w14:paraId="19C7D20A" w14:textId="5C3AF255" w:rsidR="00283AB8" w:rsidRDefault="00283AB8">
      <w:pPr>
        <w:pStyle w:val="FootnoteText"/>
      </w:pPr>
      <w:r>
        <w:rPr>
          <w:rStyle w:val="FootnoteReference"/>
        </w:rPr>
        <w:footnoteRef/>
      </w:r>
      <w:r>
        <w:t xml:space="preserve"> </w:t>
      </w:r>
      <w:r w:rsidRPr="00283AB8">
        <w:t>(Bates, 2012</w:t>
      </w:r>
      <w:r>
        <w:t xml:space="preserve"> p. 94</w:t>
      </w:r>
      <w:r w:rsidRPr="00283AB8">
        <w:t>)</w:t>
      </w:r>
    </w:p>
  </w:footnote>
  <w:footnote w:id="23">
    <w:p w14:paraId="6E795714" w14:textId="0948E9D9" w:rsidR="00283AB8" w:rsidRDefault="00283AB8">
      <w:pPr>
        <w:pStyle w:val="FootnoteText"/>
      </w:pPr>
      <w:r>
        <w:rPr>
          <w:rStyle w:val="FootnoteReference"/>
        </w:rPr>
        <w:footnoteRef/>
      </w:r>
      <w:r>
        <w:t xml:space="preserve"> </w:t>
      </w:r>
      <w:r w:rsidRPr="00283AB8">
        <w:t>(</w:t>
      </w:r>
      <w:r w:rsidR="00DA4C56">
        <w:t>Ibid.,</w:t>
      </w:r>
      <w:r>
        <w:t xml:space="preserve"> p. 106-07</w:t>
      </w:r>
      <w:r w:rsidRPr="00283AB8">
        <w:t>)</w:t>
      </w:r>
    </w:p>
  </w:footnote>
  <w:footnote w:id="24">
    <w:p w14:paraId="4286B574" w14:textId="54E831D8" w:rsidR="00283AB8" w:rsidRDefault="00283AB8">
      <w:pPr>
        <w:pStyle w:val="FootnoteText"/>
      </w:pPr>
      <w:r>
        <w:rPr>
          <w:rStyle w:val="FootnoteReference"/>
        </w:rPr>
        <w:footnoteRef/>
      </w:r>
      <w:r>
        <w:t xml:space="preserve"> </w:t>
      </w:r>
      <w:r w:rsidRPr="00283AB8">
        <w:t>(</w:t>
      </w:r>
      <w:r w:rsidR="00DA4C56">
        <w:t>Ibid.,</w:t>
      </w:r>
      <w:r>
        <w:t xml:space="preserve"> p. 112</w:t>
      </w:r>
      <w:r w:rsidRPr="00283AB8">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544"/>
    <w:rsid w:val="00000764"/>
    <w:rsid w:val="0000770E"/>
    <w:rsid w:val="00031DC5"/>
    <w:rsid w:val="0003407E"/>
    <w:rsid w:val="0004543B"/>
    <w:rsid w:val="0005565B"/>
    <w:rsid w:val="00062258"/>
    <w:rsid w:val="000709C3"/>
    <w:rsid w:val="000A30D0"/>
    <w:rsid w:val="000C6779"/>
    <w:rsid w:val="000D10F4"/>
    <w:rsid w:val="00100C5A"/>
    <w:rsid w:val="00101E7D"/>
    <w:rsid w:val="0012369D"/>
    <w:rsid w:val="0013016C"/>
    <w:rsid w:val="00156363"/>
    <w:rsid w:val="00157097"/>
    <w:rsid w:val="001614E1"/>
    <w:rsid w:val="001B0DF7"/>
    <w:rsid w:val="001E0F35"/>
    <w:rsid w:val="001E60B6"/>
    <w:rsid w:val="00213C54"/>
    <w:rsid w:val="002355A9"/>
    <w:rsid w:val="00245320"/>
    <w:rsid w:val="00257D24"/>
    <w:rsid w:val="00265D4F"/>
    <w:rsid w:val="00283AB8"/>
    <w:rsid w:val="00290C76"/>
    <w:rsid w:val="002A07D1"/>
    <w:rsid w:val="002A17D4"/>
    <w:rsid w:val="002C6B2A"/>
    <w:rsid w:val="002D5373"/>
    <w:rsid w:val="002E74F4"/>
    <w:rsid w:val="00330F30"/>
    <w:rsid w:val="00333209"/>
    <w:rsid w:val="00355E74"/>
    <w:rsid w:val="00357C5F"/>
    <w:rsid w:val="00362FAB"/>
    <w:rsid w:val="0036355B"/>
    <w:rsid w:val="003669AF"/>
    <w:rsid w:val="00375385"/>
    <w:rsid w:val="00383F94"/>
    <w:rsid w:val="003A271C"/>
    <w:rsid w:val="003A79DC"/>
    <w:rsid w:val="003B44D2"/>
    <w:rsid w:val="003C198B"/>
    <w:rsid w:val="003C285C"/>
    <w:rsid w:val="003C5845"/>
    <w:rsid w:val="003C67BE"/>
    <w:rsid w:val="003D5622"/>
    <w:rsid w:val="003E13A5"/>
    <w:rsid w:val="003F21E4"/>
    <w:rsid w:val="003F38A2"/>
    <w:rsid w:val="003F44FE"/>
    <w:rsid w:val="00406E00"/>
    <w:rsid w:val="00426E82"/>
    <w:rsid w:val="00432D65"/>
    <w:rsid w:val="00447DEB"/>
    <w:rsid w:val="00447F3F"/>
    <w:rsid w:val="004501C3"/>
    <w:rsid w:val="00452D15"/>
    <w:rsid w:val="00477A75"/>
    <w:rsid w:val="004A64C6"/>
    <w:rsid w:val="004A76D4"/>
    <w:rsid w:val="004B7BDA"/>
    <w:rsid w:val="004C37ED"/>
    <w:rsid w:val="004E71E8"/>
    <w:rsid w:val="004F1131"/>
    <w:rsid w:val="004F3882"/>
    <w:rsid w:val="0050416F"/>
    <w:rsid w:val="00524372"/>
    <w:rsid w:val="00536DB2"/>
    <w:rsid w:val="00544E11"/>
    <w:rsid w:val="005779E5"/>
    <w:rsid w:val="00580FFB"/>
    <w:rsid w:val="00594B53"/>
    <w:rsid w:val="005962ED"/>
    <w:rsid w:val="005C40E7"/>
    <w:rsid w:val="005D148D"/>
    <w:rsid w:val="005D31B2"/>
    <w:rsid w:val="005F0541"/>
    <w:rsid w:val="006006A3"/>
    <w:rsid w:val="00601085"/>
    <w:rsid w:val="00601B74"/>
    <w:rsid w:val="00612EAE"/>
    <w:rsid w:val="006279C0"/>
    <w:rsid w:val="00631B37"/>
    <w:rsid w:val="00641E36"/>
    <w:rsid w:val="006422D2"/>
    <w:rsid w:val="00642C72"/>
    <w:rsid w:val="00663C0F"/>
    <w:rsid w:val="00664648"/>
    <w:rsid w:val="006818B7"/>
    <w:rsid w:val="00682C80"/>
    <w:rsid w:val="006A3DE2"/>
    <w:rsid w:val="006B53B3"/>
    <w:rsid w:val="006B6E61"/>
    <w:rsid w:val="006D3A2C"/>
    <w:rsid w:val="006F49AD"/>
    <w:rsid w:val="006F6641"/>
    <w:rsid w:val="00714282"/>
    <w:rsid w:val="00737356"/>
    <w:rsid w:val="00741945"/>
    <w:rsid w:val="007432A9"/>
    <w:rsid w:val="00743AE0"/>
    <w:rsid w:val="00747A8C"/>
    <w:rsid w:val="007522B9"/>
    <w:rsid w:val="0076727B"/>
    <w:rsid w:val="00784C21"/>
    <w:rsid w:val="00790F2D"/>
    <w:rsid w:val="00791BC2"/>
    <w:rsid w:val="00794642"/>
    <w:rsid w:val="007B6D6A"/>
    <w:rsid w:val="007C2F1C"/>
    <w:rsid w:val="007D4061"/>
    <w:rsid w:val="007E50EA"/>
    <w:rsid w:val="007E7B96"/>
    <w:rsid w:val="00821C51"/>
    <w:rsid w:val="00826CAE"/>
    <w:rsid w:val="008320D6"/>
    <w:rsid w:val="00835783"/>
    <w:rsid w:val="008443F5"/>
    <w:rsid w:val="0084644B"/>
    <w:rsid w:val="008570C0"/>
    <w:rsid w:val="008619E4"/>
    <w:rsid w:val="008739BB"/>
    <w:rsid w:val="00874565"/>
    <w:rsid w:val="008805BF"/>
    <w:rsid w:val="008840B5"/>
    <w:rsid w:val="008920B9"/>
    <w:rsid w:val="008A00D8"/>
    <w:rsid w:val="008B3378"/>
    <w:rsid w:val="008D2CB0"/>
    <w:rsid w:val="008E6B65"/>
    <w:rsid w:val="008E6F5D"/>
    <w:rsid w:val="008F32BB"/>
    <w:rsid w:val="00902D5C"/>
    <w:rsid w:val="00903477"/>
    <w:rsid w:val="0090701F"/>
    <w:rsid w:val="00912312"/>
    <w:rsid w:val="00923EB5"/>
    <w:rsid w:val="009612C4"/>
    <w:rsid w:val="00997B72"/>
    <w:rsid w:val="009B212B"/>
    <w:rsid w:val="009D43E4"/>
    <w:rsid w:val="009E6260"/>
    <w:rsid w:val="009F41D1"/>
    <w:rsid w:val="00A10E36"/>
    <w:rsid w:val="00A24718"/>
    <w:rsid w:val="00A26EA7"/>
    <w:rsid w:val="00A350A0"/>
    <w:rsid w:val="00A51190"/>
    <w:rsid w:val="00A71BC1"/>
    <w:rsid w:val="00A80E17"/>
    <w:rsid w:val="00A939A1"/>
    <w:rsid w:val="00AA65FF"/>
    <w:rsid w:val="00AD1035"/>
    <w:rsid w:val="00AE5B04"/>
    <w:rsid w:val="00AF30CA"/>
    <w:rsid w:val="00AF5C2F"/>
    <w:rsid w:val="00B15544"/>
    <w:rsid w:val="00B33705"/>
    <w:rsid w:val="00B50400"/>
    <w:rsid w:val="00B60511"/>
    <w:rsid w:val="00B762B1"/>
    <w:rsid w:val="00B76CD2"/>
    <w:rsid w:val="00B873B5"/>
    <w:rsid w:val="00BB4635"/>
    <w:rsid w:val="00BC7016"/>
    <w:rsid w:val="00BD73EB"/>
    <w:rsid w:val="00BE3209"/>
    <w:rsid w:val="00BE68B0"/>
    <w:rsid w:val="00BF57B0"/>
    <w:rsid w:val="00C02365"/>
    <w:rsid w:val="00C04195"/>
    <w:rsid w:val="00C77F4D"/>
    <w:rsid w:val="00C80B09"/>
    <w:rsid w:val="00CA114E"/>
    <w:rsid w:val="00CA692A"/>
    <w:rsid w:val="00CB427C"/>
    <w:rsid w:val="00CC5FE3"/>
    <w:rsid w:val="00CC6E14"/>
    <w:rsid w:val="00D16042"/>
    <w:rsid w:val="00D2670E"/>
    <w:rsid w:val="00D31207"/>
    <w:rsid w:val="00D332BE"/>
    <w:rsid w:val="00D4021E"/>
    <w:rsid w:val="00D50EEA"/>
    <w:rsid w:val="00D51575"/>
    <w:rsid w:val="00D81468"/>
    <w:rsid w:val="00D82C4A"/>
    <w:rsid w:val="00D84E5C"/>
    <w:rsid w:val="00D908FA"/>
    <w:rsid w:val="00D95A52"/>
    <w:rsid w:val="00DA196A"/>
    <w:rsid w:val="00DA4C56"/>
    <w:rsid w:val="00DA5827"/>
    <w:rsid w:val="00DB5CB1"/>
    <w:rsid w:val="00DC0E62"/>
    <w:rsid w:val="00DF72CC"/>
    <w:rsid w:val="00E056E7"/>
    <w:rsid w:val="00E32465"/>
    <w:rsid w:val="00E33589"/>
    <w:rsid w:val="00E42589"/>
    <w:rsid w:val="00E5275F"/>
    <w:rsid w:val="00E6725D"/>
    <w:rsid w:val="00EA4713"/>
    <w:rsid w:val="00EA48E9"/>
    <w:rsid w:val="00EB749D"/>
    <w:rsid w:val="00EC2A3C"/>
    <w:rsid w:val="00ED480B"/>
    <w:rsid w:val="00ED6B01"/>
    <w:rsid w:val="00ED6E92"/>
    <w:rsid w:val="00EE2C09"/>
    <w:rsid w:val="00EF322E"/>
    <w:rsid w:val="00F13095"/>
    <w:rsid w:val="00F155AB"/>
    <w:rsid w:val="00F169BA"/>
    <w:rsid w:val="00F2138C"/>
    <w:rsid w:val="00F3684E"/>
    <w:rsid w:val="00F51CB7"/>
    <w:rsid w:val="00F52C1A"/>
    <w:rsid w:val="00F536E4"/>
    <w:rsid w:val="00F62783"/>
    <w:rsid w:val="00F708FE"/>
    <w:rsid w:val="00F75818"/>
    <w:rsid w:val="00F760A3"/>
    <w:rsid w:val="00F92969"/>
    <w:rsid w:val="00FA7979"/>
    <w:rsid w:val="00FF26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3400"/>
  <w15:chartTrackingRefBased/>
  <w15:docId w15:val="{DAEABE68-9BFC-4A8C-BDAB-A7225CDF7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14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614E1"/>
  </w:style>
  <w:style w:type="paragraph" w:styleId="FootnoteText">
    <w:name w:val="footnote text"/>
    <w:basedOn w:val="Normal"/>
    <w:link w:val="FootnoteTextChar"/>
    <w:uiPriority w:val="99"/>
    <w:semiHidden/>
    <w:unhideWhenUsed/>
    <w:rsid w:val="007C2F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2F1C"/>
    <w:rPr>
      <w:sz w:val="20"/>
      <w:szCs w:val="20"/>
    </w:rPr>
  </w:style>
  <w:style w:type="character" w:styleId="FootnoteReference">
    <w:name w:val="footnote reference"/>
    <w:basedOn w:val="DefaultParagraphFont"/>
    <w:uiPriority w:val="99"/>
    <w:semiHidden/>
    <w:unhideWhenUsed/>
    <w:rsid w:val="007C2F1C"/>
    <w:rPr>
      <w:vertAlign w:val="superscript"/>
    </w:rPr>
  </w:style>
  <w:style w:type="paragraph" w:styleId="Date">
    <w:name w:val="Date"/>
    <w:basedOn w:val="Normal"/>
    <w:next w:val="Normal"/>
    <w:link w:val="DateChar"/>
    <w:uiPriority w:val="99"/>
    <w:semiHidden/>
    <w:unhideWhenUsed/>
    <w:rsid w:val="00C77F4D"/>
  </w:style>
  <w:style w:type="character" w:customStyle="1" w:styleId="DateChar">
    <w:name w:val="Date Char"/>
    <w:basedOn w:val="DefaultParagraphFont"/>
    <w:link w:val="Date"/>
    <w:uiPriority w:val="99"/>
    <w:semiHidden/>
    <w:rsid w:val="00C77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15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6</Pages>
  <Words>1222</Words>
  <Characters>6970</Characters>
  <Application>Microsoft Office Word</Application>
  <DocSecurity>0</DocSecurity>
  <Lines>58</Lines>
  <Paragraphs>16</Paragraphs>
  <ScaleCrop>false</ScaleCrop>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Dean Gladish</cp:lastModifiedBy>
  <cp:revision>232</cp:revision>
  <dcterms:created xsi:type="dcterms:W3CDTF">2019-01-24T03:31:00Z</dcterms:created>
  <dcterms:modified xsi:type="dcterms:W3CDTF">2019-01-24T19:08:00Z</dcterms:modified>
</cp:coreProperties>
</file>