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EAB" w:rsidRPr="00116034" w:rsidRDefault="00883C2A" w:rsidP="00BF68FF">
      <w:pPr>
        <w:pStyle w:val="Title"/>
        <w:rPr>
          <w:b/>
          <w:color w:val="70AD47" w:themeColor="accent6"/>
          <w:sz w:val="52"/>
          <w:szCs w:val="52"/>
        </w:rPr>
      </w:pPr>
      <w:r w:rsidRPr="00116034">
        <w:rPr>
          <w:b/>
          <w:color w:val="70AD47" w:themeColor="accent6"/>
          <w:sz w:val="52"/>
          <w:szCs w:val="52"/>
        </w:rPr>
        <w:t>The Governance Profile of Companies which choose to hold Virtual-Only Meetings</w:t>
      </w:r>
    </w:p>
    <w:p w:rsidR="004C5EAB" w:rsidRPr="004C5EAB" w:rsidRDefault="004C5EAB" w:rsidP="004C5EAB">
      <w:pPr>
        <w:spacing w:after="0"/>
        <w:rPr>
          <w:rFonts w:ascii="Georgia" w:hAnsi="Georgia" w:cs="Arial"/>
          <w:b/>
          <w:color w:val="70AD47" w:themeColor="accent6"/>
          <w:sz w:val="28"/>
          <w:szCs w:val="28"/>
        </w:rPr>
      </w:pPr>
      <w:r>
        <w:rPr>
          <w:rFonts w:ascii="Georgia" w:hAnsi="Georgia" w:cs="Arial"/>
          <w:b/>
          <w:color w:val="70AD47" w:themeColor="accent6"/>
          <w:sz w:val="28"/>
          <w:szCs w:val="28"/>
        </w:rPr>
        <w:pict>
          <v:rect id="_x0000_i1025" style="width:468pt;height:1.5pt" o:hralign="center" o:hrstd="t" o:hr="t" fillcolor="#a0a0a0" stroked="f"/>
        </w:pict>
      </w:r>
    </w:p>
    <w:p w:rsidR="001A0029" w:rsidRDefault="00D55299" w:rsidP="004C5EAB">
      <w:pPr>
        <w:spacing w:after="0"/>
        <w:ind w:firstLine="720"/>
        <w:rPr>
          <w:rFonts w:ascii="Georgia" w:hAnsi="Georgia" w:cs="Arial"/>
        </w:rPr>
      </w:pPr>
      <w:r w:rsidRPr="00D17CD1">
        <w:rPr>
          <w:rFonts w:ascii="Georgia" w:hAnsi="Georgia" w:cs="Arial"/>
        </w:rPr>
        <w:t>From the be</w:t>
      </w:r>
      <w:r w:rsidR="001C7D3D">
        <w:rPr>
          <w:rFonts w:ascii="Georgia" w:hAnsi="Georgia" w:cs="Arial"/>
        </w:rPr>
        <w:t>ginning of my research, I look</w:t>
      </w:r>
      <w:r w:rsidRPr="00D17CD1">
        <w:rPr>
          <w:rFonts w:ascii="Georgia" w:hAnsi="Georgia" w:cs="Arial"/>
        </w:rPr>
        <w:t xml:space="preserve"> into the question of whether or not various companies (the specific company name does not matter; this is mainly</w:t>
      </w:r>
      <w:r w:rsidR="0028543A" w:rsidRPr="00D17CD1">
        <w:rPr>
          <w:rFonts w:ascii="Georgia" w:hAnsi="Georgia" w:cs="Arial"/>
        </w:rPr>
        <w:t xml:space="preserve"> for the evaluation process) which</w:t>
      </w:r>
      <w:r w:rsidRPr="00D17CD1">
        <w:rPr>
          <w:rFonts w:ascii="Georgia" w:hAnsi="Georgia" w:cs="Arial"/>
        </w:rPr>
        <w:t xml:space="preserve"> exclusively follow the practice of holding virtual shareholder meetings (that is, not in combination with physical shareholder meetings) </w:t>
      </w:r>
      <w:r w:rsidR="0028543A" w:rsidRPr="00D17CD1">
        <w:rPr>
          <w:rFonts w:ascii="Georgia" w:hAnsi="Georgia" w:cs="Arial"/>
        </w:rPr>
        <w:t>are also following the appropriate guidelines as set forth by Glass, Lewis &amp; Co., Glass Lewis Europe, Ltd., and CGI Gla</w:t>
      </w:r>
      <w:r w:rsidR="001A0029">
        <w:rPr>
          <w:rFonts w:ascii="Georgia" w:hAnsi="Georgia" w:cs="Arial"/>
        </w:rPr>
        <w:t>ss Lewis Pty Ltd. (collectively</w:t>
      </w:r>
      <w:r w:rsidR="0028543A" w:rsidRPr="00D17CD1">
        <w:rPr>
          <w:rFonts w:ascii="Georgia" w:hAnsi="Georgia" w:cs="Arial"/>
        </w:rPr>
        <w:t>, “Glass Lewis”</w:t>
      </w:r>
      <w:r w:rsidR="00276E2B">
        <w:rPr>
          <w:rFonts w:ascii="Georgia" w:hAnsi="Georgia" w:cs="Arial"/>
        </w:rPr>
        <w:t xml:space="preserve">):  </w:t>
      </w:r>
    </w:p>
    <w:p w:rsidR="004C5EAB" w:rsidRPr="00D17CD1" w:rsidRDefault="004C5EAB" w:rsidP="00276E2B">
      <w:pPr>
        <w:spacing w:after="0"/>
        <w:rPr>
          <w:rFonts w:ascii="Georgia" w:hAnsi="Georgia" w:cs="Arial"/>
        </w:rPr>
      </w:pPr>
    </w:p>
    <w:p w:rsidR="000F7DAA" w:rsidRDefault="002F72A7" w:rsidP="004C5EAB">
      <w:pPr>
        <w:spacing w:after="0"/>
        <w:ind w:left="720"/>
        <w:rPr>
          <w:rFonts w:ascii="Georgia" w:hAnsi="Georgia" w:cs="Arial"/>
          <w:b/>
          <w:color w:val="ED7D31" w:themeColor="accent2"/>
          <w:sz w:val="20"/>
          <w:szCs w:val="20"/>
        </w:rPr>
      </w:pPr>
      <w:r w:rsidRPr="00D17CD1">
        <w:rPr>
          <w:rFonts w:ascii="Georgia" w:hAnsi="Georgia" w:cs="Arial"/>
          <w:b/>
          <w:noProof/>
          <w:color w:val="70AD47" w:themeColor="accent6"/>
          <w:sz w:val="28"/>
          <w:szCs w:val="28"/>
        </w:rPr>
        <mc:AlternateContent>
          <mc:Choice Requires="wps">
            <w:drawing>
              <wp:anchor distT="0" distB="0" distL="114300" distR="114300" simplePos="0" relativeHeight="251659264" behindDoc="0" locked="0" layoutInCell="1" allowOverlap="1">
                <wp:simplePos x="0" y="0"/>
                <wp:positionH relativeFrom="margin">
                  <wp:posOffset>344658</wp:posOffset>
                </wp:positionH>
                <wp:positionV relativeFrom="paragraph">
                  <wp:posOffset>6350</wp:posOffset>
                </wp:positionV>
                <wp:extent cx="7034" cy="5092505"/>
                <wp:effectExtent l="0" t="0" r="31115" b="32385"/>
                <wp:wrapNone/>
                <wp:docPr id="1" name="Straight Connector 1"/>
                <wp:cNvGraphicFramePr/>
                <a:graphic xmlns:a="http://schemas.openxmlformats.org/drawingml/2006/main">
                  <a:graphicData uri="http://schemas.microsoft.com/office/word/2010/wordprocessingShape">
                    <wps:wsp>
                      <wps:cNvCnPr/>
                      <wps:spPr>
                        <a:xfrm flipH="1">
                          <a:off x="0" y="0"/>
                          <a:ext cx="7034" cy="5092505"/>
                        </a:xfrm>
                        <a:prstGeom prst="line">
                          <a:avLst/>
                        </a:prstGeom>
                        <a:ln>
                          <a:solidFill>
                            <a:schemeClr val="accent2">
                              <a:alpha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D867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5pt" to="27.7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" strokecolor="#ed7d31 [3205]" strokeweight=".5pt">
                <v:stroke opacity="32896f" joinstyle="miter"/>
                <w10:wrap anchorx="margin"/>
              </v:line>
            </w:pict>
          </mc:Fallback>
        </mc:AlternateContent>
      </w:r>
      <w:r w:rsidR="000F7DAA" w:rsidRPr="00D17CD1">
        <w:rPr>
          <w:rFonts w:ascii="Georgia" w:hAnsi="Georgia" w:cs="Arial"/>
          <w:b/>
          <w:color w:val="ED7D31" w:themeColor="accent2"/>
          <w:sz w:val="20"/>
          <w:szCs w:val="20"/>
        </w:rPr>
        <w:t xml:space="preserve">VIRTUAL SHAREHOLDER MEETINGS </w:t>
      </w:r>
    </w:p>
    <w:p w:rsidR="004C5EAB" w:rsidRPr="00D17CD1" w:rsidRDefault="004C5EAB" w:rsidP="004C5EAB">
      <w:pPr>
        <w:spacing w:after="0"/>
        <w:ind w:left="720"/>
        <w:rPr>
          <w:rFonts w:ascii="Georgia" w:hAnsi="Georgia" w:cs="Arial"/>
          <w:b/>
          <w:color w:val="ED7D31" w:themeColor="accent2"/>
          <w:sz w:val="20"/>
          <w:szCs w:val="20"/>
        </w:rPr>
      </w:pPr>
    </w:p>
    <w:p w:rsidR="000F7DAA" w:rsidRPr="002F72A7" w:rsidRDefault="000F7DAA" w:rsidP="004C5EAB">
      <w:pPr>
        <w:spacing w:after="0"/>
        <w:ind w:left="720" w:firstLine="720"/>
        <w:rPr>
          <w:rFonts w:ascii="Georgia" w:hAnsi="Georgia" w:cs="Arial"/>
          <w:sz w:val="20"/>
          <w:szCs w:val="20"/>
          <w:u w:val="single"/>
        </w:rPr>
      </w:pPr>
      <w:r w:rsidRPr="002F72A7">
        <w:rPr>
          <w:rFonts w:ascii="Georgia" w:hAnsi="Georgia" w:cs="Arial"/>
          <w:sz w:val="20"/>
          <w:szCs w:val="20"/>
          <w:u w:val="single"/>
        </w:rPr>
        <w:t>A relatively small but growing</w:t>
      </w:r>
      <w:r w:rsidRPr="00D17CD1">
        <w:rPr>
          <w:rFonts w:ascii="Georgia" w:hAnsi="Georgia" w:cs="Arial"/>
          <w:sz w:val="20"/>
          <w:szCs w:val="20"/>
        </w:rPr>
        <w:t xml:space="preserve"> contingent of companies have elected to hold shareholder meetings by virtual means only. Glass Lewis believes that virtual meeting technology can be a </w:t>
      </w:r>
      <w:r w:rsidRPr="002F72A7">
        <w:rPr>
          <w:rFonts w:ascii="Georgia" w:hAnsi="Georgia" w:cs="Arial"/>
          <w:sz w:val="20"/>
          <w:szCs w:val="20"/>
          <w:u w:val="single"/>
        </w:rPr>
        <w:t>useful complement</w:t>
      </w:r>
      <w:r w:rsidRPr="00D17CD1">
        <w:rPr>
          <w:rFonts w:ascii="Georgia" w:hAnsi="Georgia" w:cs="Arial"/>
          <w:sz w:val="20"/>
          <w:szCs w:val="20"/>
        </w:rPr>
        <w:t xml:space="preserve"> to a traditional, in-person shareholder meeting by expanding participation of shareholders who are unable to attend a shareholder meeting in person (i.e. a “hybrid meeting”). However, we also believe that </w:t>
      </w:r>
      <w:r w:rsidRPr="002F72A7">
        <w:rPr>
          <w:rFonts w:ascii="Georgia" w:hAnsi="Georgia" w:cs="Arial"/>
          <w:sz w:val="20"/>
          <w:szCs w:val="20"/>
          <w:u w:val="single"/>
        </w:rPr>
        <w:t xml:space="preserve">virtual-only meetings have the potential to curb the ability of a company’s shareholders to meaningfully communicate with the company’s management. </w:t>
      </w:r>
    </w:p>
    <w:p w:rsidR="00627CBD" w:rsidRPr="00D17CD1" w:rsidRDefault="00627CBD" w:rsidP="004C5EAB">
      <w:pPr>
        <w:spacing w:after="0"/>
        <w:ind w:left="720" w:firstLine="720"/>
        <w:rPr>
          <w:rFonts w:ascii="Georgia" w:hAnsi="Georgia" w:cs="Arial"/>
          <w:sz w:val="20"/>
          <w:szCs w:val="20"/>
        </w:rPr>
      </w:pPr>
    </w:p>
    <w:p w:rsidR="000F7DAA" w:rsidRPr="002F72A7" w:rsidRDefault="000F7DAA" w:rsidP="004C5EAB">
      <w:pPr>
        <w:spacing w:after="0"/>
        <w:ind w:left="720" w:firstLine="720"/>
        <w:rPr>
          <w:rFonts w:ascii="Georgia" w:hAnsi="Georgia" w:cs="Arial"/>
          <w:i/>
          <w:sz w:val="20"/>
          <w:szCs w:val="20"/>
          <w:u w:val="single"/>
        </w:rPr>
      </w:pPr>
      <w:r w:rsidRPr="00D17CD1">
        <w:rPr>
          <w:rFonts w:ascii="Georgia" w:hAnsi="Georgia" w:cs="Arial"/>
          <w:sz w:val="20"/>
          <w:szCs w:val="20"/>
        </w:rPr>
        <w:t>Prominent shareholder rights advocates, including the Council of Institutional Investors, have expressed concerns that such virtual-only meetings do not approximate an in-person experi</w:t>
      </w:r>
      <w:r w:rsidR="009F1A30">
        <w:rPr>
          <w:rFonts w:ascii="Georgia" w:hAnsi="Georgia" w:cs="Arial"/>
          <w:sz w:val="20"/>
          <w:szCs w:val="20"/>
        </w:rPr>
        <w:t xml:space="preserve">ence and may serve to reduce </w:t>
      </w:r>
      <w:r w:rsidRPr="00D17CD1">
        <w:rPr>
          <w:rFonts w:ascii="Georgia" w:hAnsi="Georgia" w:cs="Arial"/>
          <w:sz w:val="20"/>
          <w:szCs w:val="20"/>
        </w:rPr>
        <w:t xml:space="preserve">the board’s accountability to shareholders. </w:t>
      </w:r>
      <w:r w:rsidRPr="002F72A7">
        <w:rPr>
          <w:rFonts w:ascii="Georgia" w:hAnsi="Georgia" w:cs="Arial"/>
          <w:i/>
          <w:sz w:val="20"/>
          <w:szCs w:val="20"/>
          <w:u w:val="single"/>
        </w:rPr>
        <w:t xml:space="preserve">When analyzing the governance profile of companies that choose to hold virtual-only meetings, we look for robust disclosure in a company’s proxy statement which assures shareholders that they will be afforded the same rights and opportunities to participate as they would at an in-person meeting. </w:t>
      </w:r>
    </w:p>
    <w:p w:rsidR="00627CBD" w:rsidRPr="00D17CD1" w:rsidRDefault="00627CBD" w:rsidP="004C5EAB">
      <w:pPr>
        <w:spacing w:after="0"/>
        <w:ind w:firstLine="720"/>
        <w:rPr>
          <w:rFonts w:ascii="Georgia" w:hAnsi="Georgia" w:cs="Arial"/>
          <w:sz w:val="20"/>
          <w:szCs w:val="20"/>
        </w:rPr>
      </w:pPr>
    </w:p>
    <w:p w:rsidR="00627CBD" w:rsidRPr="00D17CD1" w:rsidRDefault="00627CBD" w:rsidP="004C5EAB">
      <w:pPr>
        <w:spacing w:after="0"/>
        <w:ind w:firstLine="720"/>
        <w:rPr>
          <w:rFonts w:ascii="Georgia" w:hAnsi="Georgia" w:cs="Arial"/>
          <w:sz w:val="20"/>
          <w:szCs w:val="20"/>
        </w:rPr>
      </w:pPr>
      <w:r w:rsidRPr="00D17CD1">
        <w:rPr>
          <w:rFonts w:ascii="Georgia" w:hAnsi="Georgia" w:cs="Arial"/>
          <w:sz w:val="20"/>
          <w:szCs w:val="20"/>
        </w:rPr>
        <w:t>E</w:t>
      </w:r>
      <w:r w:rsidR="000F7DAA" w:rsidRPr="00D17CD1">
        <w:rPr>
          <w:rFonts w:ascii="Georgia" w:hAnsi="Georgia" w:cs="Arial"/>
          <w:sz w:val="20"/>
          <w:szCs w:val="20"/>
        </w:rPr>
        <w:t xml:space="preserve">xamples of effective disclosure include: </w:t>
      </w:r>
    </w:p>
    <w:p w:rsidR="00627CBD" w:rsidRPr="00D17CD1" w:rsidRDefault="000F7DAA" w:rsidP="004C5EAB">
      <w:pPr>
        <w:pStyle w:val="ListParagraph"/>
        <w:numPr>
          <w:ilvl w:val="0"/>
          <w:numId w:val="1"/>
        </w:numPr>
        <w:spacing w:after="0"/>
        <w:rPr>
          <w:rFonts w:ascii="Georgia" w:hAnsi="Georgia" w:cs="Arial"/>
          <w:sz w:val="20"/>
          <w:szCs w:val="20"/>
        </w:rPr>
      </w:pPr>
      <w:r w:rsidRPr="00D17CD1">
        <w:rPr>
          <w:rFonts w:ascii="Georgia" w:hAnsi="Georgia" w:cs="Arial"/>
          <w:sz w:val="20"/>
          <w:szCs w:val="20"/>
        </w:rPr>
        <w:t xml:space="preserve">addressing the ability of shareholders to ask questions during the meeting, including time guidelines for shareholder questions, rules around what types of questions are allowed, and rules for how questions and comments will be recognized and disclosed to meeting participants; </w:t>
      </w:r>
    </w:p>
    <w:p w:rsidR="00627CBD" w:rsidRPr="00D17CD1" w:rsidRDefault="000F7DAA" w:rsidP="004C5EAB">
      <w:pPr>
        <w:pStyle w:val="ListParagraph"/>
        <w:numPr>
          <w:ilvl w:val="0"/>
          <w:numId w:val="1"/>
        </w:numPr>
        <w:spacing w:after="0"/>
        <w:rPr>
          <w:rFonts w:ascii="Georgia" w:hAnsi="Georgia" w:cs="Arial"/>
          <w:sz w:val="20"/>
          <w:szCs w:val="20"/>
        </w:rPr>
      </w:pPr>
      <w:r w:rsidRPr="00D17CD1">
        <w:rPr>
          <w:rFonts w:ascii="Georgia" w:hAnsi="Georgia" w:cs="Arial"/>
          <w:sz w:val="20"/>
          <w:szCs w:val="20"/>
        </w:rPr>
        <w:t>procedures, if any, for posting appropriate questions received during the meeting and the company’s answers, on the investor page of their website as soon as is pra</w:t>
      </w:r>
      <w:r w:rsidR="00627CBD" w:rsidRPr="00D17CD1">
        <w:rPr>
          <w:rFonts w:ascii="Georgia" w:hAnsi="Georgia" w:cs="Arial"/>
          <w:sz w:val="20"/>
          <w:szCs w:val="20"/>
        </w:rPr>
        <w:t xml:space="preserve">ctical after the meeting; </w:t>
      </w:r>
    </w:p>
    <w:p w:rsidR="00627CBD" w:rsidRPr="00D17CD1" w:rsidRDefault="000F7DAA" w:rsidP="004C5EAB">
      <w:pPr>
        <w:pStyle w:val="ListParagraph"/>
        <w:numPr>
          <w:ilvl w:val="0"/>
          <w:numId w:val="1"/>
        </w:numPr>
        <w:spacing w:after="0"/>
        <w:rPr>
          <w:rFonts w:ascii="Georgia" w:hAnsi="Georgia" w:cs="Arial"/>
          <w:sz w:val="20"/>
          <w:szCs w:val="20"/>
        </w:rPr>
      </w:pPr>
      <w:r w:rsidRPr="00D17CD1">
        <w:rPr>
          <w:rFonts w:ascii="Georgia" w:hAnsi="Georgia" w:cs="Arial"/>
          <w:sz w:val="20"/>
          <w:szCs w:val="20"/>
        </w:rPr>
        <w:t>addressing technical and logistical issues related to accessing the virtual meeti</w:t>
      </w:r>
      <w:r w:rsidR="00627CBD" w:rsidRPr="00D17CD1">
        <w:rPr>
          <w:rFonts w:ascii="Georgia" w:hAnsi="Georgia" w:cs="Arial"/>
          <w:sz w:val="20"/>
          <w:szCs w:val="20"/>
        </w:rPr>
        <w:t xml:space="preserve">ng platform; and </w:t>
      </w:r>
    </w:p>
    <w:p w:rsidR="000F7DAA" w:rsidRPr="00D17CD1" w:rsidRDefault="000F7DAA" w:rsidP="004C5EAB">
      <w:pPr>
        <w:pStyle w:val="ListParagraph"/>
        <w:numPr>
          <w:ilvl w:val="0"/>
          <w:numId w:val="1"/>
        </w:numPr>
        <w:spacing w:after="0"/>
        <w:rPr>
          <w:rFonts w:ascii="Georgia" w:hAnsi="Georgia" w:cs="Arial"/>
          <w:sz w:val="20"/>
          <w:szCs w:val="20"/>
        </w:rPr>
      </w:pPr>
      <w:r w:rsidRPr="00D17CD1">
        <w:rPr>
          <w:rFonts w:ascii="Georgia" w:hAnsi="Georgia" w:cs="Arial"/>
          <w:sz w:val="20"/>
          <w:szCs w:val="20"/>
        </w:rPr>
        <w:t xml:space="preserve">procedures for accessing technical support to assist in the event of any difficulties accessing the virtual meeting. </w:t>
      </w:r>
    </w:p>
    <w:p w:rsidR="00627CBD" w:rsidRPr="00D17CD1" w:rsidRDefault="00627CBD" w:rsidP="004C5EAB">
      <w:pPr>
        <w:spacing w:after="0"/>
        <w:ind w:left="720" w:firstLine="720"/>
        <w:rPr>
          <w:rFonts w:ascii="Georgia" w:hAnsi="Georgia" w:cs="Arial"/>
          <w:sz w:val="20"/>
          <w:szCs w:val="20"/>
        </w:rPr>
      </w:pPr>
    </w:p>
    <w:p w:rsidR="0028543A" w:rsidRPr="0005391F" w:rsidRDefault="000F7DAA" w:rsidP="004C5EAB">
      <w:pPr>
        <w:spacing w:after="0"/>
        <w:ind w:left="720" w:firstLine="720"/>
        <w:rPr>
          <w:rFonts w:ascii="Georgia" w:hAnsi="Georgia" w:cs="Arial"/>
          <w:sz w:val="20"/>
          <w:szCs w:val="20"/>
          <w:u w:val="single"/>
        </w:rPr>
      </w:pPr>
      <w:r w:rsidRPr="0005391F">
        <w:rPr>
          <w:rFonts w:ascii="Georgia" w:hAnsi="Georgia" w:cs="Arial"/>
          <w:sz w:val="20"/>
          <w:szCs w:val="20"/>
          <w:u w:val="single"/>
        </w:rPr>
        <w:t>We will generally recommend voting against members of the governance committee where the board is planning to hold a virtual-only shareholder meeting and the company does not provide such disclosure.</w:t>
      </w:r>
      <w:r w:rsidR="00E355A8" w:rsidRPr="0005391F">
        <w:rPr>
          <w:rStyle w:val="FootnoteReference"/>
          <w:rFonts w:ascii="Georgia" w:hAnsi="Georgia" w:cs="Arial"/>
          <w:sz w:val="20"/>
          <w:szCs w:val="20"/>
          <w:u w:val="single"/>
        </w:rPr>
        <w:footnoteReference w:id="1"/>
      </w:r>
      <w:r w:rsidR="00060BD8" w:rsidRPr="0005391F">
        <w:rPr>
          <w:rFonts w:ascii="Georgia" w:hAnsi="Georgia" w:cs="Arial"/>
          <w:sz w:val="20"/>
          <w:szCs w:val="20"/>
          <w:u w:val="single"/>
        </w:rPr>
        <w:t xml:space="preserve">  </w:t>
      </w:r>
    </w:p>
    <w:p w:rsidR="00DB4F19" w:rsidRDefault="00DB4F19" w:rsidP="004C5EAB">
      <w:pPr>
        <w:spacing w:after="0"/>
        <w:rPr>
          <w:rFonts w:ascii="Georgia" w:hAnsi="Georgia" w:cs="Arial"/>
          <w:sz w:val="20"/>
          <w:szCs w:val="20"/>
        </w:rPr>
      </w:pPr>
    </w:p>
    <w:p w:rsidR="00276E2B" w:rsidRDefault="00276E2B" w:rsidP="00C65DDD">
      <w:pPr>
        <w:spacing w:after="0"/>
        <w:ind w:firstLine="720"/>
        <w:rPr>
          <w:rFonts w:ascii="Georgia" w:hAnsi="Georgia" w:cs="Arial"/>
        </w:rPr>
      </w:pPr>
      <w:r>
        <w:rPr>
          <w:rFonts w:ascii="Georgia" w:hAnsi="Georgia" w:cs="Arial"/>
        </w:rPr>
        <w:t>Th</w:t>
      </w:r>
      <w:r w:rsidR="00AB1D4B">
        <w:rPr>
          <w:rFonts w:ascii="Georgia" w:hAnsi="Georgia" w:cs="Arial"/>
        </w:rPr>
        <w:t xml:space="preserve">e specific question is, are </w:t>
      </w:r>
      <w:r w:rsidR="009E7632">
        <w:rPr>
          <w:rFonts w:ascii="Georgia" w:hAnsi="Georgia" w:cs="Arial"/>
        </w:rPr>
        <w:t xml:space="preserve">virtual-only </w:t>
      </w:r>
      <w:r>
        <w:rPr>
          <w:rFonts w:ascii="Georgia" w:hAnsi="Georgia" w:cs="Arial"/>
        </w:rPr>
        <w:t xml:space="preserve">companies following the Glass Lewis guidelines?  </w:t>
      </w:r>
    </w:p>
    <w:p w:rsidR="00276E2B" w:rsidRDefault="00276E2B" w:rsidP="004C5EAB">
      <w:pPr>
        <w:spacing w:after="0"/>
        <w:rPr>
          <w:rFonts w:ascii="Georgia" w:hAnsi="Georgia" w:cs="Arial"/>
          <w:sz w:val="20"/>
          <w:szCs w:val="20"/>
        </w:rPr>
      </w:pPr>
    </w:p>
    <w:p w:rsidR="005F67BB" w:rsidRDefault="0005391F" w:rsidP="004C5EAB">
      <w:pPr>
        <w:spacing w:after="0"/>
        <w:rPr>
          <w:rFonts w:ascii="Georgia" w:hAnsi="Georgia" w:cs="Arial"/>
        </w:rPr>
      </w:pPr>
      <w:r>
        <w:rPr>
          <w:rFonts w:ascii="Georgia" w:hAnsi="Georgia" w:cs="Arial"/>
        </w:rPr>
        <w:lastRenderedPageBreak/>
        <w:tab/>
        <w:t xml:space="preserve">So what I aim to do in this document is to </w:t>
      </w:r>
      <w:r w:rsidR="00CA796D">
        <w:rPr>
          <w:rFonts w:ascii="Georgia" w:hAnsi="Georgia" w:cs="Arial"/>
        </w:rPr>
        <w:t xml:space="preserve">find virtual-only </w:t>
      </w:r>
      <w:r>
        <w:rPr>
          <w:rFonts w:ascii="Georgia" w:hAnsi="Georgia" w:cs="Arial"/>
        </w:rPr>
        <w:t>comp</w:t>
      </w:r>
      <w:r w:rsidR="00CA796D">
        <w:rPr>
          <w:rFonts w:ascii="Georgia" w:hAnsi="Georgia" w:cs="Arial"/>
        </w:rPr>
        <w:t>anies, five of them</w:t>
      </w:r>
      <w:r w:rsidR="001C7D3D">
        <w:rPr>
          <w:rFonts w:ascii="Georgia" w:hAnsi="Georgia" w:cs="Arial"/>
        </w:rPr>
        <w:t xml:space="preserve">.  I </w:t>
      </w:r>
      <w:r w:rsidR="00CA796D">
        <w:rPr>
          <w:rFonts w:ascii="Georgia" w:hAnsi="Georgia" w:cs="Arial"/>
        </w:rPr>
        <w:t>use</w:t>
      </w:r>
      <w:r>
        <w:rPr>
          <w:rFonts w:ascii="Georgia" w:hAnsi="Georgia" w:cs="Arial"/>
        </w:rPr>
        <w:t xml:space="preserve"> their definitive proxy statements (def 14a on the SE</w:t>
      </w:r>
      <w:r w:rsidR="00CA796D">
        <w:rPr>
          <w:rFonts w:ascii="Georgia" w:hAnsi="Georgia" w:cs="Arial"/>
        </w:rPr>
        <w:t>C website) as a basis for evaluation.  Inquiring into</w:t>
      </w:r>
      <w:r>
        <w:rPr>
          <w:rFonts w:ascii="Georgia" w:hAnsi="Georgia" w:cs="Arial"/>
        </w:rPr>
        <w:t xml:space="preserve"> whether these meetings </w:t>
      </w:r>
      <w:r w:rsidR="007E3007">
        <w:rPr>
          <w:rFonts w:ascii="Georgia" w:hAnsi="Georgia" w:cs="Arial"/>
        </w:rPr>
        <w:t>afford shareholders all</w:t>
      </w:r>
      <w:r>
        <w:rPr>
          <w:rFonts w:ascii="Georgia" w:hAnsi="Georgia" w:cs="Arial"/>
        </w:rPr>
        <w:t xml:space="preserve"> rights and opportunities (</w:t>
      </w:r>
      <w:r w:rsidR="00A51047">
        <w:rPr>
          <w:rFonts w:ascii="Georgia" w:hAnsi="Georgia" w:cs="Arial"/>
        </w:rPr>
        <w:t xml:space="preserve">including </w:t>
      </w:r>
      <w:r>
        <w:rPr>
          <w:rFonts w:ascii="Georgia" w:hAnsi="Georgia" w:cs="Arial"/>
        </w:rPr>
        <w:t>meaningful communication with the company’</w:t>
      </w:r>
      <w:r w:rsidR="007E3007">
        <w:rPr>
          <w:rFonts w:ascii="Georgia" w:hAnsi="Georgia" w:cs="Arial"/>
        </w:rPr>
        <w:t xml:space="preserve">s management and </w:t>
      </w:r>
      <w:r>
        <w:rPr>
          <w:rFonts w:ascii="Georgia" w:hAnsi="Georgia" w:cs="Arial"/>
        </w:rPr>
        <w:t>accountability of the board to the shareholders</w:t>
      </w:r>
      <w:r w:rsidR="007E3007">
        <w:rPr>
          <w:rFonts w:ascii="Georgia" w:hAnsi="Georgia" w:cs="Arial"/>
        </w:rPr>
        <w:t>) associ</w:t>
      </w:r>
      <w:r w:rsidR="00A51047">
        <w:rPr>
          <w:rFonts w:ascii="Georgia" w:hAnsi="Georgia" w:cs="Arial"/>
        </w:rPr>
        <w:t xml:space="preserve">ated with meetings in-person, I make comparisons.  </w:t>
      </w:r>
      <w:r w:rsidR="005257D8">
        <w:rPr>
          <w:rFonts w:ascii="Georgia" w:hAnsi="Georgia" w:cs="Arial"/>
        </w:rPr>
        <w:t xml:space="preserve">Specifically I should pay particular attention to things which were not sufficiently disclosed.  </w:t>
      </w:r>
    </w:p>
    <w:p w:rsidR="00A51047" w:rsidRDefault="00A51047" w:rsidP="004C5EAB">
      <w:pPr>
        <w:spacing w:after="0"/>
        <w:rPr>
          <w:rFonts w:ascii="Georgia" w:hAnsi="Georgia" w:cs="Arial"/>
        </w:rPr>
      </w:pPr>
    </w:p>
    <w:p w:rsidR="007E3007" w:rsidRPr="0088452F" w:rsidRDefault="00463DC2" w:rsidP="0088452F">
      <w:pPr>
        <w:spacing w:after="0"/>
        <w:jc w:val="center"/>
        <w:rPr>
          <w:rFonts w:ascii="Georgia" w:hAnsi="Georgia" w:cs="Arial"/>
          <w:b/>
          <w:color w:val="70AD47" w:themeColor="accent6"/>
          <w:sz w:val="28"/>
          <w:szCs w:val="28"/>
        </w:rPr>
      </w:pPr>
      <w:r w:rsidRPr="0088452F">
        <w:rPr>
          <w:rFonts w:ascii="Georgia" w:hAnsi="Georgia" w:cs="Arial"/>
          <w:b/>
          <w:color w:val="70AD47" w:themeColor="accent6"/>
          <w:sz w:val="28"/>
          <w:szCs w:val="28"/>
        </w:rPr>
        <w:t>CDK Global Inc.:</w:t>
      </w:r>
      <w:r w:rsidRPr="0088452F">
        <w:rPr>
          <w:rStyle w:val="FootnoteReference"/>
          <w:rFonts w:ascii="Georgia" w:hAnsi="Georgia" w:cs="Arial"/>
          <w:b/>
          <w:color w:val="70AD47" w:themeColor="accent6"/>
          <w:sz w:val="28"/>
          <w:szCs w:val="28"/>
        </w:rPr>
        <w:footnoteReference w:id="2"/>
      </w:r>
    </w:p>
    <w:p w:rsidR="0088452F" w:rsidRDefault="0088452F" w:rsidP="0088452F">
      <w:pPr>
        <w:spacing w:after="0"/>
        <w:rPr>
          <w:rFonts w:ascii="Georgia" w:hAnsi="Georgia" w:cs="Arial"/>
        </w:rPr>
      </w:pPr>
    </w:p>
    <w:p w:rsidR="006E1A69" w:rsidRDefault="006E1A69" w:rsidP="005257D8">
      <w:pPr>
        <w:pStyle w:val="ListParagraph"/>
        <w:spacing w:after="0"/>
        <w:ind w:left="360"/>
        <w:rPr>
          <w:rFonts w:ascii="Georgia" w:hAnsi="Georgia" w:cs="Arial"/>
        </w:rPr>
      </w:pPr>
      <w:r>
        <w:rPr>
          <w:rFonts w:ascii="Georgia" w:hAnsi="Georgia" w:cs="Arial"/>
        </w:rPr>
        <w:t>Overview of the Annual Meeting:</w:t>
      </w:r>
    </w:p>
    <w:p w:rsidR="00BC7594" w:rsidRDefault="00F6177A" w:rsidP="006E1A69">
      <w:pPr>
        <w:pStyle w:val="ListParagraph"/>
        <w:numPr>
          <w:ilvl w:val="1"/>
          <w:numId w:val="3"/>
        </w:numPr>
        <w:spacing w:after="0"/>
        <w:rPr>
          <w:rFonts w:ascii="Georgia" w:hAnsi="Georgia" w:cs="Arial"/>
        </w:rPr>
      </w:pPr>
      <w:r>
        <w:rPr>
          <w:rFonts w:ascii="Georgia" w:hAnsi="Georgia" w:cs="Arial"/>
        </w:rPr>
        <w:t xml:space="preserve">Definitions:  </w:t>
      </w:r>
    </w:p>
    <w:p w:rsidR="00F6177A" w:rsidRDefault="00F6177A" w:rsidP="006E1A69">
      <w:pPr>
        <w:pStyle w:val="ListParagraph"/>
        <w:numPr>
          <w:ilvl w:val="2"/>
          <w:numId w:val="3"/>
        </w:numPr>
        <w:spacing w:after="0"/>
        <w:rPr>
          <w:rFonts w:ascii="Georgia" w:hAnsi="Georgia" w:cs="Arial"/>
        </w:rPr>
      </w:pPr>
      <w:r>
        <w:rPr>
          <w:rFonts w:ascii="Georgia" w:hAnsi="Georgia" w:cs="Arial"/>
        </w:rPr>
        <w:t xml:space="preserve">“Stockholders” are holders of CDK’s common stock.  </w:t>
      </w:r>
    </w:p>
    <w:p w:rsidR="00652C87" w:rsidRDefault="00652C87" w:rsidP="006E1A69">
      <w:pPr>
        <w:pStyle w:val="ListParagraph"/>
        <w:numPr>
          <w:ilvl w:val="2"/>
          <w:numId w:val="3"/>
        </w:numPr>
        <w:spacing w:after="0"/>
        <w:rPr>
          <w:rFonts w:ascii="Georgia" w:hAnsi="Georgia" w:cs="Arial"/>
        </w:rPr>
      </w:pPr>
      <w:r>
        <w:rPr>
          <w:rFonts w:ascii="Georgia" w:hAnsi="Georgia" w:cs="Arial"/>
        </w:rPr>
        <w:t xml:space="preserve">“Stockholders of Record” are those individuals whose, at the close of business on the Record Date, shares were registered directly in their name with EQ Shareowner Services, CDK’s transfer agent.  </w:t>
      </w:r>
    </w:p>
    <w:p w:rsidR="00E04AB7" w:rsidRDefault="00E04AB7" w:rsidP="006E1A69">
      <w:pPr>
        <w:pStyle w:val="ListParagraph"/>
        <w:numPr>
          <w:ilvl w:val="2"/>
          <w:numId w:val="3"/>
        </w:numPr>
        <w:spacing w:after="0"/>
        <w:rPr>
          <w:rFonts w:ascii="Georgia" w:hAnsi="Georgia" w:cs="Arial"/>
        </w:rPr>
      </w:pPr>
      <w:r>
        <w:rPr>
          <w:rFonts w:ascii="Georgia" w:hAnsi="Georgia" w:cs="Arial"/>
        </w:rPr>
        <w:t xml:space="preserve">The “Record Date” is September 14, 2018.  This is the date for the close of business.  </w:t>
      </w:r>
    </w:p>
    <w:p w:rsidR="00E04AB7" w:rsidRPr="00E04AB7" w:rsidRDefault="00E04AB7" w:rsidP="006E1A69">
      <w:pPr>
        <w:pStyle w:val="ListParagraph"/>
        <w:numPr>
          <w:ilvl w:val="2"/>
          <w:numId w:val="3"/>
        </w:numPr>
        <w:spacing w:after="0"/>
        <w:rPr>
          <w:rFonts w:ascii="Georgia" w:hAnsi="Georgia" w:cs="Arial"/>
        </w:rPr>
      </w:pPr>
      <w:r>
        <w:rPr>
          <w:rFonts w:ascii="Georgia" w:hAnsi="Georgia" w:cs="Arial"/>
        </w:rPr>
        <w:t>“Annual Meeting” refers to the 2018 Annual Meeting of Stockholders of CDK Global, Inc. and is held on November 13, 2018 at 8:00 a.m. central time.  The Annual Meeting</w:t>
      </w:r>
      <w:r w:rsidRPr="00E04AB7">
        <w:rPr>
          <w:rFonts w:ascii="Georgia" w:hAnsi="Georgia" w:cs="Arial"/>
        </w:rPr>
        <w:t xml:space="preserve"> is a completely virtual, live, audio webcast meeting of stockholders.  </w:t>
      </w:r>
    </w:p>
    <w:p w:rsidR="00F6177A" w:rsidRDefault="00E04AB7" w:rsidP="006E1A69">
      <w:pPr>
        <w:pStyle w:val="ListParagraph"/>
        <w:numPr>
          <w:ilvl w:val="1"/>
          <w:numId w:val="3"/>
        </w:numPr>
        <w:spacing w:after="0"/>
        <w:rPr>
          <w:rFonts w:ascii="Georgia" w:hAnsi="Georgia" w:cs="Arial"/>
        </w:rPr>
      </w:pPr>
      <w:r>
        <w:rPr>
          <w:rFonts w:ascii="Georgia" w:hAnsi="Georgia" w:cs="Arial"/>
        </w:rPr>
        <w:t xml:space="preserve">People who are stockholders at the Record Date are entitled to one vote for each share of common stock held, as of the Record Date.  </w:t>
      </w:r>
    </w:p>
    <w:p w:rsidR="00F6177A" w:rsidRDefault="00B41429" w:rsidP="006E1A69">
      <w:pPr>
        <w:pStyle w:val="ListParagraph"/>
        <w:numPr>
          <w:ilvl w:val="1"/>
          <w:numId w:val="3"/>
        </w:numPr>
        <w:spacing w:after="0"/>
        <w:rPr>
          <w:rFonts w:ascii="Georgia" w:hAnsi="Georgia" w:cs="Arial"/>
        </w:rPr>
      </w:pPr>
      <w:r>
        <w:rPr>
          <w:rFonts w:ascii="Georgia" w:hAnsi="Georgia" w:cs="Arial"/>
        </w:rPr>
        <w:t xml:space="preserve">Any stockholder can attend the Annual Meeting via the Internet at </w:t>
      </w:r>
      <w:hyperlink r:id="rId8" w:history="1">
        <w:r w:rsidRPr="0068701B">
          <w:rPr>
            <w:rStyle w:val="Hyperlink"/>
            <w:rFonts w:ascii="Georgia" w:hAnsi="Georgia" w:cs="Arial"/>
          </w:rPr>
          <w:t>www.virtualshareholdermeeting.com/CDK2018</w:t>
        </w:r>
      </w:hyperlink>
      <w:r w:rsidR="002B0FCA">
        <w:rPr>
          <w:rFonts w:ascii="Georgia" w:hAnsi="Georgia" w:cs="Arial"/>
        </w:rPr>
        <w:t xml:space="preserve">, provided that they have a 16-digit control number provided to them to join the Annual Meeting.  </w:t>
      </w:r>
      <w:r>
        <w:rPr>
          <w:rFonts w:ascii="Georgia" w:hAnsi="Georgia" w:cs="Arial"/>
        </w:rPr>
        <w:t xml:space="preserve">The URL is simple and it is easily loadable by any internet browser so I would consider this statement to be true.  </w:t>
      </w:r>
    </w:p>
    <w:p w:rsidR="00B41429" w:rsidRDefault="00D455E9" w:rsidP="006E1A69">
      <w:pPr>
        <w:pStyle w:val="ListParagraph"/>
        <w:numPr>
          <w:ilvl w:val="1"/>
          <w:numId w:val="3"/>
        </w:numPr>
        <w:spacing w:after="0"/>
        <w:rPr>
          <w:rFonts w:ascii="Georgia" w:hAnsi="Georgia" w:cs="Arial"/>
        </w:rPr>
      </w:pPr>
      <w:r>
        <w:rPr>
          <w:rFonts w:ascii="Georgia" w:hAnsi="Georgia" w:cs="Arial"/>
        </w:rPr>
        <w:t>People are encouraged to access the Annual Meeting online prior to its start time which is indicative</w:t>
      </w:r>
      <w:r w:rsidR="006761ED">
        <w:rPr>
          <w:rFonts w:ascii="Georgia" w:hAnsi="Georgia" w:cs="Arial"/>
        </w:rPr>
        <w:t xml:space="preserve"> that the Company (CDK Global, t</w:t>
      </w:r>
      <w:r>
        <w:rPr>
          <w:rFonts w:ascii="Georgia" w:hAnsi="Georgia" w:cs="Arial"/>
        </w:rPr>
        <w:t xml:space="preserve">hat is) has addressed concerns related to accessing the website.  </w:t>
      </w:r>
    </w:p>
    <w:p w:rsidR="00D455E9" w:rsidRPr="0010606C" w:rsidRDefault="000B1647" w:rsidP="006E1A69">
      <w:pPr>
        <w:pStyle w:val="ListParagraph"/>
        <w:numPr>
          <w:ilvl w:val="1"/>
          <w:numId w:val="3"/>
        </w:numPr>
        <w:spacing w:after="0"/>
        <w:rPr>
          <w:rFonts w:ascii="Georgia" w:hAnsi="Georgia" w:cs="Arial"/>
        </w:rPr>
      </w:pPr>
      <w:r>
        <w:rPr>
          <w:rFonts w:ascii="Georgia" w:hAnsi="Georgia" w:cs="Arial"/>
        </w:rPr>
        <w:t xml:space="preserve">The Annual Meeting </w:t>
      </w:r>
      <w:r w:rsidRPr="0010606C">
        <w:rPr>
          <w:rFonts w:ascii="Georgia" w:hAnsi="Georgia" w:cs="Arial"/>
        </w:rPr>
        <w:t xml:space="preserve">starts at 8:00 a.m. Central Time which is as good as any time given that the meeting is entirely virtual.  </w:t>
      </w:r>
    </w:p>
    <w:p w:rsidR="000B1647" w:rsidRPr="0010606C" w:rsidRDefault="002B0FCA" w:rsidP="006E1A69">
      <w:pPr>
        <w:pStyle w:val="ListParagraph"/>
        <w:numPr>
          <w:ilvl w:val="1"/>
          <w:numId w:val="3"/>
        </w:numPr>
        <w:spacing w:after="0"/>
        <w:rPr>
          <w:rFonts w:ascii="Georgia" w:hAnsi="Georgia" w:cs="Arial"/>
        </w:rPr>
      </w:pPr>
      <w:r w:rsidRPr="0010606C">
        <w:rPr>
          <w:rFonts w:ascii="Georgia" w:hAnsi="Georgia" w:cs="Arial"/>
        </w:rPr>
        <w:t xml:space="preserve">Stockholders may </w:t>
      </w:r>
      <w:r w:rsidRPr="0010606C">
        <w:rPr>
          <w:rFonts w:ascii="Georgia" w:hAnsi="Georgia" w:cs="Arial"/>
          <w:i/>
        </w:rPr>
        <w:t>vote and submit</w:t>
      </w:r>
      <w:r w:rsidRPr="0010606C">
        <w:rPr>
          <w:rFonts w:ascii="Georgia" w:hAnsi="Georgia" w:cs="Arial"/>
        </w:rPr>
        <w:t xml:space="preserve"> questions while attending the Annual Meeting on the Internet</w:t>
      </w:r>
      <w:r w:rsidR="00303E7B">
        <w:rPr>
          <w:rFonts w:ascii="Georgia" w:hAnsi="Georgia" w:cs="Arial"/>
        </w:rPr>
        <w:t xml:space="preserve">.  </w:t>
      </w:r>
    </w:p>
    <w:p w:rsidR="002B0FCA" w:rsidRPr="007F6C53" w:rsidRDefault="0010606C" w:rsidP="006E1A69">
      <w:pPr>
        <w:pStyle w:val="ListParagraph"/>
        <w:numPr>
          <w:ilvl w:val="1"/>
          <w:numId w:val="3"/>
        </w:numPr>
        <w:spacing w:after="0"/>
        <w:rPr>
          <w:rFonts w:ascii="Georgia" w:hAnsi="Georgia" w:cs="Arial"/>
        </w:rPr>
      </w:pPr>
      <w:r w:rsidRPr="0010606C">
        <w:rPr>
          <w:rFonts w:ascii="Georgia" w:hAnsi="Georgia" w:cs="Arial"/>
        </w:rPr>
        <w:t>“</w:t>
      </w:r>
      <w:r w:rsidR="007C0D5E" w:rsidRPr="0010606C">
        <w:rPr>
          <w:rFonts w:ascii="Georgia" w:hAnsi="Georgia" w:cs="Arial"/>
        </w:rPr>
        <w:t>A replay of the Annual Meeting will be available for stockholders on our website through November 13, 2019</w:t>
      </w:r>
      <w:r w:rsidRPr="0010606C">
        <w:rPr>
          <w:rFonts w:ascii="Georgia" w:hAnsi="Georgia" w:cs="Arial"/>
        </w:rPr>
        <w:t>.”  What this statement should say is that the same URL (</w:t>
      </w:r>
      <w:hyperlink r:id="rId9" w:history="1">
        <w:r w:rsidRPr="0010606C">
          <w:rPr>
            <w:rStyle w:val="Hyperlink"/>
            <w:rFonts w:ascii="Georgia" w:hAnsi="Georgia" w:cs="Arial"/>
          </w:rPr>
          <w:t>www.virtualshareholdermeeting.com/CDK2018</w:t>
        </w:r>
      </w:hyperlink>
      <w:r>
        <w:rPr>
          <w:rFonts w:ascii="Georgia" w:hAnsi="Georgia" w:cs="Arial"/>
          <w:color w:val="000000"/>
        </w:rPr>
        <w:t xml:space="preserve">) </w:t>
      </w:r>
      <w:r w:rsidR="0092111C">
        <w:rPr>
          <w:rFonts w:ascii="Georgia" w:hAnsi="Georgia" w:cs="Arial"/>
          <w:color w:val="000000"/>
        </w:rPr>
        <w:t>as provided above will demonstrate a replay of the Annual Meetin</w:t>
      </w:r>
      <w:r w:rsidR="00EA4C40">
        <w:rPr>
          <w:rFonts w:ascii="Georgia" w:hAnsi="Georgia" w:cs="Arial"/>
          <w:color w:val="000000"/>
        </w:rPr>
        <w:t xml:space="preserve">g.  </w:t>
      </w:r>
    </w:p>
    <w:p w:rsidR="007F6C53" w:rsidRPr="00327A88" w:rsidRDefault="007F6C53" w:rsidP="006E1A69">
      <w:pPr>
        <w:pStyle w:val="ListParagraph"/>
        <w:numPr>
          <w:ilvl w:val="1"/>
          <w:numId w:val="3"/>
        </w:numPr>
        <w:spacing w:after="0"/>
        <w:rPr>
          <w:rFonts w:ascii="Georgia" w:hAnsi="Georgia" w:cs="Arial"/>
        </w:rPr>
      </w:pPr>
      <w:r>
        <w:rPr>
          <w:rFonts w:ascii="Georgia" w:hAnsi="Georgia" w:cs="Arial"/>
          <w:color w:val="000000"/>
        </w:rPr>
        <w:t>It is stated that “</w:t>
      </w:r>
      <w:r w:rsidRPr="007F6C53">
        <w:rPr>
          <w:rFonts w:ascii="Georgia" w:hAnsi="Georgia" w:cs="Arial"/>
          <w:color w:val="000000"/>
        </w:rPr>
        <w:t>Instructions on how to attend and participate via the Int</w:t>
      </w:r>
      <w:r>
        <w:rPr>
          <w:rFonts w:ascii="Georgia" w:hAnsi="Georgia" w:cs="Arial"/>
          <w:color w:val="000000"/>
        </w:rPr>
        <w:t xml:space="preserve">ernet, including </w:t>
      </w:r>
      <w:r w:rsidRPr="007F6C53">
        <w:rPr>
          <w:rFonts w:ascii="Georgia" w:hAnsi="Georgia" w:cs="Arial"/>
          <w:color w:val="000000"/>
        </w:rPr>
        <w:t>how to demonstrate proof of stock ownership, are posted at</w:t>
      </w:r>
      <w:r>
        <w:rPr>
          <w:rFonts w:ascii="Georgia" w:hAnsi="Georgia" w:cs="Arial"/>
          <w:color w:val="000000"/>
        </w:rPr>
        <w:t xml:space="preserve"> </w:t>
      </w:r>
      <w:hyperlink r:id="rId10" w:history="1">
        <w:r w:rsidRPr="0068701B">
          <w:rPr>
            <w:rStyle w:val="Hyperlink"/>
            <w:rFonts w:ascii="Georgia" w:hAnsi="Georgia" w:cs="Arial"/>
          </w:rPr>
          <w:t>www.virtualshareholdermeeting.com/CDK2018</w:t>
        </w:r>
      </w:hyperlink>
      <w:r>
        <w:rPr>
          <w:rFonts w:ascii="Georgia" w:hAnsi="Georgia" w:cs="Arial"/>
          <w:color w:val="000000"/>
        </w:rPr>
        <w:t>.”</w:t>
      </w:r>
      <w:r w:rsidR="00327A88">
        <w:rPr>
          <w:rFonts w:ascii="Georgia" w:hAnsi="Georgia" w:cs="Arial"/>
          <w:color w:val="000000"/>
        </w:rPr>
        <w:t xml:space="preserve">  What this means is that as stated in the Meeting Materials -&gt; Supplement section, you must be a </w:t>
      </w:r>
      <w:r w:rsidR="00652C87">
        <w:rPr>
          <w:rFonts w:ascii="Georgia" w:hAnsi="Georgia" w:cs="Arial"/>
          <w:i/>
          <w:color w:val="000000"/>
        </w:rPr>
        <w:t>S</w:t>
      </w:r>
      <w:r w:rsidR="00327A88" w:rsidRPr="00652C87">
        <w:rPr>
          <w:rFonts w:ascii="Georgia" w:hAnsi="Georgia" w:cs="Arial"/>
          <w:i/>
          <w:color w:val="000000"/>
        </w:rPr>
        <w:t xml:space="preserve">tockholder of </w:t>
      </w:r>
      <w:r w:rsidR="00652C87">
        <w:rPr>
          <w:rFonts w:ascii="Georgia" w:hAnsi="Georgia" w:cs="Arial"/>
          <w:i/>
          <w:color w:val="000000"/>
        </w:rPr>
        <w:t>R</w:t>
      </w:r>
      <w:r w:rsidR="00327A88" w:rsidRPr="00652C87">
        <w:rPr>
          <w:rFonts w:ascii="Georgia" w:hAnsi="Georgia" w:cs="Arial"/>
          <w:i/>
          <w:color w:val="000000"/>
        </w:rPr>
        <w:t>ecord</w:t>
      </w:r>
      <w:r w:rsidR="00327A88">
        <w:rPr>
          <w:rFonts w:ascii="Georgia" w:hAnsi="Georgia" w:cs="Arial"/>
          <w:color w:val="000000"/>
        </w:rPr>
        <w:t xml:space="preserve"> as of September 14, 2018.</w:t>
      </w:r>
      <w:r w:rsidR="00327A88">
        <w:rPr>
          <w:rStyle w:val="FootnoteReference"/>
          <w:rFonts w:ascii="Georgia" w:hAnsi="Georgia" w:cs="Arial"/>
          <w:color w:val="000000"/>
        </w:rPr>
        <w:footnoteReference w:id="3"/>
      </w:r>
      <w:r w:rsidR="00327A88">
        <w:rPr>
          <w:rFonts w:ascii="Georgia" w:hAnsi="Georgia" w:cs="Arial"/>
          <w:color w:val="000000"/>
        </w:rPr>
        <w:t xml:space="preserve">  </w:t>
      </w:r>
    </w:p>
    <w:p w:rsidR="006E1A69" w:rsidRPr="006E1A69" w:rsidRDefault="006E1A69" w:rsidP="005257D8">
      <w:pPr>
        <w:pStyle w:val="ListParagraph"/>
        <w:spacing w:after="0"/>
        <w:ind w:left="360"/>
        <w:rPr>
          <w:rFonts w:ascii="Georgia" w:hAnsi="Georgia" w:cs="Arial"/>
        </w:rPr>
      </w:pPr>
      <w:r>
        <w:rPr>
          <w:rFonts w:ascii="Georgia" w:hAnsi="Georgia" w:cs="Arial"/>
        </w:rPr>
        <w:lastRenderedPageBreak/>
        <w:t>Questions regarding the Q&amp;A</w:t>
      </w:r>
      <w:r w:rsidR="00316A41">
        <w:rPr>
          <w:rStyle w:val="FootnoteReference"/>
          <w:rFonts w:ascii="Georgia" w:hAnsi="Georgia" w:cs="Arial"/>
        </w:rPr>
        <w:footnoteReference w:id="4"/>
      </w:r>
      <w:r>
        <w:rPr>
          <w:rFonts w:ascii="Georgia" w:hAnsi="Georgia" w:cs="Arial"/>
        </w:rPr>
        <w:t xml:space="preserve"> + Website</w:t>
      </w:r>
      <w:r w:rsidR="00316A41">
        <w:rPr>
          <w:rStyle w:val="FootnoteReference"/>
          <w:rFonts w:ascii="Georgia" w:hAnsi="Georgia" w:cs="Arial"/>
        </w:rPr>
        <w:footnoteReference w:id="5"/>
      </w:r>
      <w:r>
        <w:rPr>
          <w:rFonts w:ascii="Georgia" w:hAnsi="Georgia" w:cs="Arial"/>
        </w:rPr>
        <w:t xml:space="preserve">:  </w:t>
      </w:r>
    </w:p>
    <w:p w:rsidR="00327A88" w:rsidRPr="00327A88" w:rsidRDefault="00327A88" w:rsidP="006E1A69">
      <w:pPr>
        <w:pStyle w:val="ListParagraph"/>
        <w:numPr>
          <w:ilvl w:val="1"/>
          <w:numId w:val="3"/>
        </w:numPr>
        <w:spacing w:after="0"/>
        <w:rPr>
          <w:rFonts w:ascii="Georgia" w:hAnsi="Georgia" w:cs="Arial"/>
        </w:rPr>
      </w:pPr>
      <w:r>
        <w:rPr>
          <w:rFonts w:ascii="Georgia" w:hAnsi="Georgia" w:cs="Arial"/>
          <w:color w:val="000000"/>
        </w:rPr>
        <w:t xml:space="preserve">It looks like the Q&amp;A Section would benefit from making the instructions more clear.  </w:t>
      </w:r>
    </w:p>
    <w:p w:rsidR="00327A88" w:rsidRPr="008D14DA" w:rsidRDefault="00F732E9" w:rsidP="006E1A69">
      <w:pPr>
        <w:pStyle w:val="ListParagraph"/>
        <w:numPr>
          <w:ilvl w:val="1"/>
          <w:numId w:val="3"/>
        </w:numPr>
        <w:spacing w:after="0"/>
        <w:rPr>
          <w:rFonts w:ascii="Georgia" w:hAnsi="Georgia" w:cs="Arial"/>
          <w:b/>
        </w:rPr>
      </w:pPr>
      <w:r>
        <w:rPr>
          <w:rFonts w:ascii="Georgia" w:hAnsi="Georgia" w:cs="Arial"/>
          <w:b/>
          <w:color w:val="000000"/>
        </w:rPr>
        <w:t>Should we and h</w:t>
      </w:r>
      <w:r w:rsidR="00327A88" w:rsidRPr="008D14DA">
        <w:rPr>
          <w:rFonts w:ascii="Georgia" w:hAnsi="Georgia" w:cs="Arial"/>
          <w:b/>
          <w:color w:val="000000"/>
        </w:rPr>
        <w:t xml:space="preserve">ow </w:t>
      </w:r>
      <w:r w:rsidR="00BC61BB">
        <w:rPr>
          <w:rFonts w:ascii="Georgia" w:hAnsi="Georgia" w:cs="Arial"/>
          <w:b/>
          <w:color w:val="000000"/>
        </w:rPr>
        <w:t>can we clarify the process of demonstrating</w:t>
      </w:r>
      <w:r w:rsidR="00327A88" w:rsidRPr="008D14DA">
        <w:rPr>
          <w:rFonts w:ascii="Georgia" w:hAnsi="Georgia" w:cs="Arial"/>
          <w:b/>
          <w:color w:val="000000"/>
        </w:rPr>
        <w:t xml:space="preserve"> proof of stock ownership?  </w:t>
      </w:r>
    </w:p>
    <w:p w:rsidR="00327A88" w:rsidRPr="008D14DA" w:rsidRDefault="00E44385" w:rsidP="006E1A69">
      <w:pPr>
        <w:pStyle w:val="ListParagraph"/>
        <w:numPr>
          <w:ilvl w:val="1"/>
          <w:numId w:val="3"/>
        </w:numPr>
        <w:spacing w:after="0"/>
        <w:rPr>
          <w:rFonts w:ascii="Georgia" w:hAnsi="Georgia" w:cs="Arial"/>
          <w:b/>
        </w:rPr>
      </w:pPr>
      <w:r w:rsidRPr="008D14DA">
        <w:rPr>
          <w:rFonts w:ascii="Georgia" w:hAnsi="Georgia" w:cs="Arial"/>
          <w:b/>
          <w:color w:val="000000"/>
        </w:rPr>
        <w:t>It might be helpful to allow the stockholders to submit questions early;</w:t>
      </w:r>
      <w:r w:rsidR="00E52D35">
        <w:rPr>
          <w:rFonts w:ascii="Georgia" w:hAnsi="Georgia" w:cs="Arial"/>
          <w:b/>
          <w:color w:val="000000"/>
        </w:rPr>
        <w:t xml:space="preserve"> although this is not necessary</w:t>
      </w:r>
      <w:r w:rsidRPr="008D14DA">
        <w:rPr>
          <w:rFonts w:ascii="Georgia" w:hAnsi="Georgia" w:cs="Arial"/>
          <w:b/>
          <w:color w:val="000000"/>
        </w:rPr>
        <w:t xml:space="preserve"> it would help demonstrate more </w:t>
      </w:r>
      <w:r w:rsidR="00B446DF">
        <w:rPr>
          <w:rFonts w:ascii="Georgia" w:hAnsi="Georgia" w:cs="Arial"/>
          <w:b/>
          <w:color w:val="000000"/>
        </w:rPr>
        <w:t xml:space="preserve">clearly how to post questions early.  </w:t>
      </w:r>
    </w:p>
    <w:p w:rsidR="00BA2C3A" w:rsidRPr="00BA2C3A" w:rsidRDefault="00BA2C3A" w:rsidP="006E1A69">
      <w:pPr>
        <w:pStyle w:val="ListParagraph"/>
        <w:numPr>
          <w:ilvl w:val="1"/>
          <w:numId w:val="3"/>
        </w:numPr>
        <w:spacing w:after="0"/>
        <w:rPr>
          <w:rFonts w:ascii="Georgia" w:hAnsi="Georgia" w:cs="Arial"/>
        </w:rPr>
      </w:pPr>
      <w:r>
        <w:rPr>
          <w:rFonts w:ascii="Georgia" w:hAnsi="Georgia" w:cs="Arial"/>
        </w:rPr>
        <w:t>It is stated</w:t>
      </w:r>
      <w:r w:rsidR="00C41534">
        <w:rPr>
          <w:rFonts w:ascii="Georgia" w:hAnsi="Georgia" w:cs="Arial"/>
        </w:rPr>
        <w:t xml:space="preserve"> (question 1)</w:t>
      </w:r>
      <w:r>
        <w:rPr>
          <w:rFonts w:ascii="Georgia" w:hAnsi="Georgia" w:cs="Arial"/>
        </w:rPr>
        <w:t xml:space="preserve"> that “</w:t>
      </w:r>
      <w:r>
        <w:rPr>
          <w:rFonts w:ascii="Arial" w:hAnsi="Arial" w:cs="Arial"/>
          <w:color w:val="000000"/>
          <w:sz w:val="20"/>
          <w:szCs w:val="20"/>
          <w:shd w:val="clear" w:color="auto" w:fill="FFFFFF"/>
        </w:rPr>
        <w:t xml:space="preserve">Stockholders at the close of business on the Record Date may examine a list of all stockholders as of the Record Date for any purpose germane to the Annual Meeting for 10 days preceding the Annual Meeting, at our offices in Hoffman Estates, Illinois, and </w:t>
      </w:r>
      <w:r w:rsidRPr="00BA2C3A">
        <w:rPr>
          <w:rFonts w:ascii="Arial" w:hAnsi="Arial" w:cs="Arial"/>
          <w:color w:val="000000"/>
          <w:sz w:val="20"/>
          <w:szCs w:val="20"/>
          <w:u w:val="single"/>
          <w:shd w:val="clear" w:color="auto" w:fill="FFFFFF"/>
        </w:rPr>
        <w:t xml:space="preserve">electronically during </w:t>
      </w:r>
      <w:r>
        <w:rPr>
          <w:rFonts w:ascii="Arial" w:hAnsi="Arial" w:cs="Arial"/>
          <w:color w:val="000000"/>
          <w:sz w:val="20"/>
          <w:szCs w:val="20"/>
          <w:shd w:val="clear" w:color="auto" w:fill="FFFFFF"/>
        </w:rPr>
        <w:t>the Annual Meeting at www.virtualshareholdermeeting.com/CDK2018 when you enter the 16-digit control number we have provided to you.</w:t>
      </w:r>
      <w:r>
        <w:rPr>
          <w:rFonts w:ascii="Arial" w:hAnsi="Arial" w:cs="Arial"/>
          <w:color w:val="000000"/>
          <w:sz w:val="20"/>
          <w:szCs w:val="20"/>
          <w:shd w:val="clear" w:color="auto" w:fill="FFFFFF"/>
        </w:rPr>
        <w:t xml:space="preserve">”.  </w:t>
      </w:r>
    </w:p>
    <w:p w:rsidR="00E44385" w:rsidRPr="008D14DA" w:rsidRDefault="00BA2C3A" w:rsidP="006E1A69">
      <w:pPr>
        <w:pStyle w:val="ListParagraph"/>
        <w:numPr>
          <w:ilvl w:val="2"/>
          <w:numId w:val="3"/>
        </w:numPr>
        <w:spacing w:after="0"/>
        <w:rPr>
          <w:rFonts w:ascii="Georgia" w:hAnsi="Georgia" w:cs="Arial"/>
          <w:b/>
        </w:rPr>
      </w:pPr>
      <w:r w:rsidRPr="008D14DA">
        <w:rPr>
          <w:rFonts w:ascii="Georgia" w:hAnsi="Georgia" w:cs="Arial"/>
          <w:b/>
          <w:color w:val="000000"/>
        </w:rPr>
        <w:t xml:space="preserve">So, does that mean that exactly 240 hours before the meeting starts we (as stockholders) would be able to examine the list, or does this mean the 10 days (inclusive) before the day of the Annual Meeting?  Additionally, are we able to </w:t>
      </w:r>
      <w:r w:rsidR="001470EA">
        <w:rPr>
          <w:rFonts w:ascii="Georgia" w:hAnsi="Georgia" w:cs="Arial"/>
          <w:b/>
          <w:color w:val="000000"/>
        </w:rPr>
        <w:t xml:space="preserve">examine the list </w:t>
      </w:r>
      <w:r w:rsidR="001470EA" w:rsidRPr="001470EA">
        <w:rPr>
          <w:rFonts w:ascii="Georgia" w:hAnsi="Georgia" w:cs="Arial"/>
          <w:b/>
          <w:color w:val="000000"/>
          <w:u w:val="single"/>
        </w:rPr>
        <w:t>electronically</w:t>
      </w:r>
      <w:r w:rsidR="001470EA">
        <w:rPr>
          <w:rFonts w:ascii="Georgia" w:hAnsi="Georgia" w:cs="Arial"/>
          <w:b/>
          <w:color w:val="000000"/>
        </w:rPr>
        <w:t xml:space="preserve"> </w:t>
      </w:r>
      <w:r w:rsidRPr="008D14DA">
        <w:rPr>
          <w:rFonts w:ascii="Georgia" w:hAnsi="Georgia" w:cs="Arial"/>
          <w:b/>
          <w:color w:val="000000"/>
        </w:rPr>
        <w:t xml:space="preserve">on </w:t>
      </w:r>
      <w:hyperlink r:id="rId11" w:history="1">
        <w:r w:rsidRPr="008D14DA">
          <w:rPr>
            <w:rStyle w:val="Hyperlink"/>
            <w:rFonts w:ascii="Georgia" w:hAnsi="Georgia" w:cs="Arial"/>
            <w:b/>
          </w:rPr>
          <w:t>www.virtualshareholdermeeting.com/</w:t>
        </w:r>
      </w:hyperlink>
      <w:r w:rsidRPr="008D14DA">
        <w:rPr>
          <w:rFonts w:ascii="Georgia" w:hAnsi="Georgia" w:cs="Arial"/>
          <w:b/>
          <w:color w:val="000000"/>
        </w:rPr>
        <w:t xml:space="preserve"> 10 days before the Annual Meeting as well</w:t>
      </w:r>
      <w:r w:rsidR="00F23CFE">
        <w:rPr>
          <w:rFonts w:ascii="Georgia" w:hAnsi="Georgia" w:cs="Arial"/>
          <w:b/>
          <w:color w:val="000000"/>
        </w:rPr>
        <w:t xml:space="preserve">, or is this restricted to physically </w:t>
      </w:r>
      <w:r w:rsidR="00305040">
        <w:rPr>
          <w:rFonts w:ascii="Georgia" w:hAnsi="Georgia" w:cs="Arial"/>
          <w:b/>
          <w:color w:val="000000"/>
        </w:rPr>
        <w:t>(</w:t>
      </w:r>
      <w:r w:rsidR="00F23CFE">
        <w:rPr>
          <w:rFonts w:ascii="Georgia" w:hAnsi="Georgia" w:cs="Arial"/>
          <w:b/>
          <w:color w:val="000000"/>
        </w:rPr>
        <w:t>at our offices</w:t>
      </w:r>
      <w:r w:rsidR="00305040">
        <w:rPr>
          <w:rFonts w:ascii="Georgia" w:hAnsi="Georgia" w:cs="Arial"/>
          <w:b/>
          <w:color w:val="000000"/>
        </w:rPr>
        <w:t>)</w:t>
      </w:r>
      <w:r w:rsidRPr="008D14DA">
        <w:rPr>
          <w:rFonts w:ascii="Georgia" w:hAnsi="Georgia" w:cs="Arial"/>
          <w:b/>
          <w:color w:val="000000"/>
        </w:rPr>
        <w:t xml:space="preserve">?  </w:t>
      </w:r>
    </w:p>
    <w:p w:rsidR="00BA2C3A" w:rsidRDefault="00BC61BB" w:rsidP="00BC61BB">
      <w:pPr>
        <w:pStyle w:val="ListParagraph"/>
        <w:numPr>
          <w:ilvl w:val="1"/>
          <w:numId w:val="3"/>
        </w:numPr>
        <w:spacing w:after="0"/>
        <w:rPr>
          <w:rFonts w:ascii="Georgia" w:hAnsi="Georgia" w:cs="Arial"/>
        </w:rPr>
      </w:pPr>
      <w:r>
        <w:rPr>
          <w:rFonts w:ascii="Georgia" w:hAnsi="Georgia" w:cs="Arial"/>
        </w:rPr>
        <w:t xml:space="preserve">We know that broker non-votes (the absolute difference between number of shares voted on routine proposals and number of shares voted on non-routine proposals) as well as abstentions are counted toward the quorum, and that the quorum requires a majority of outstanding shares entitled to vote to be represented at the Annual Meeting.  </w:t>
      </w:r>
      <w:r w:rsidR="00DC2435">
        <w:rPr>
          <w:rFonts w:ascii="Georgia" w:hAnsi="Georgia" w:cs="Arial"/>
          <w:b/>
        </w:rPr>
        <w:t xml:space="preserve">Are these provisions </w:t>
      </w:r>
      <w:r w:rsidRPr="00BC61BB">
        <w:rPr>
          <w:rFonts w:ascii="Georgia" w:hAnsi="Georgia" w:cs="Arial"/>
          <w:b/>
        </w:rPr>
        <w:t xml:space="preserve">usual </w:t>
      </w:r>
      <w:r w:rsidRPr="002B409A">
        <w:rPr>
          <w:rFonts w:ascii="Georgia" w:hAnsi="Georgia" w:cs="Arial"/>
          <w:b/>
        </w:rPr>
        <w:t xml:space="preserve">practice?  </w:t>
      </w:r>
      <w:r w:rsidR="005932B3" w:rsidRPr="002B409A">
        <w:rPr>
          <w:rFonts w:ascii="Georgia" w:hAnsi="Georgia" w:cs="Arial"/>
          <w:b/>
        </w:rPr>
        <w:t>Also, do we have provisions (guidelines) for the adjournment of the Annual Meeting to a later date</w:t>
      </w:r>
      <w:r w:rsidR="00961CEC">
        <w:rPr>
          <w:rFonts w:ascii="Georgia" w:hAnsi="Georgia" w:cs="Arial"/>
          <w:b/>
        </w:rPr>
        <w:t xml:space="preserve"> (whether or not this has occurred in the past</w:t>
      </w:r>
      <w:bookmarkStart w:id="0" w:name="_GoBack"/>
      <w:bookmarkEnd w:id="0"/>
      <w:r w:rsidR="00961CEC">
        <w:rPr>
          <w:rFonts w:ascii="Georgia" w:hAnsi="Georgia" w:cs="Arial"/>
          <w:b/>
        </w:rPr>
        <w:t>)</w:t>
      </w:r>
      <w:r w:rsidR="005932B3" w:rsidRPr="002B409A">
        <w:rPr>
          <w:rFonts w:ascii="Georgia" w:hAnsi="Georgia" w:cs="Arial"/>
          <w:b/>
        </w:rPr>
        <w:t>?</w:t>
      </w:r>
      <w:r w:rsidR="005932B3">
        <w:rPr>
          <w:rFonts w:ascii="Georgia" w:hAnsi="Georgia" w:cs="Arial"/>
        </w:rPr>
        <w:t xml:space="preserve">  </w:t>
      </w:r>
    </w:p>
    <w:p w:rsidR="005932B3" w:rsidRPr="00316A41" w:rsidRDefault="00791798" w:rsidP="00BC61BB">
      <w:pPr>
        <w:pStyle w:val="ListParagraph"/>
        <w:numPr>
          <w:ilvl w:val="1"/>
          <w:numId w:val="3"/>
        </w:numPr>
        <w:spacing w:after="0"/>
        <w:rPr>
          <w:rFonts w:ascii="Georgia" w:hAnsi="Georgia" w:cs="Arial"/>
        </w:rPr>
      </w:pPr>
      <w:r>
        <w:rPr>
          <w:rFonts w:ascii="Georgia" w:hAnsi="Georgia" w:cs="Arial"/>
        </w:rPr>
        <w:t>It’s stated</w:t>
      </w:r>
      <w:r w:rsidR="00C41534">
        <w:rPr>
          <w:rFonts w:ascii="Georgia" w:hAnsi="Georgia" w:cs="Arial"/>
        </w:rPr>
        <w:t xml:space="preserve"> (page 73)</w:t>
      </w:r>
      <w:r>
        <w:rPr>
          <w:rFonts w:ascii="Georgia" w:hAnsi="Georgia" w:cs="Arial"/>
        </w:rPr>
        <w:t>, “</w:t>
      </w:r>
      <w:r>
        <w:rPr>
          <w:rFonts w:ascii="Arial" w:hAnsi="Arial" w:cs="Arial"/>
          <w:color w:val="000000"/>
          <w:sz w:val="20"/>
          <w:szCs w:val="20"/>
          <w:shd w:val="clear" w:color="auto" w:fill="FFFFFF"/>
        </w:rPr>
        <w:t>To obtain vote confirmation, log onto www.proxyvote.com using the 16-digit control number we have provided to you and receive confirmation on how your vote was cast.</w:t>
      </w:r>
      <w:r>
        <w:rPr>
          <w:rFonts w:ascii="Arial" w:hAnsi="Arial" w:cs="Arial"/>
          <w:color w:val="000000"/>
          <w:sz w:val="20"/>
          <w:szCs w:val="20"/>
          <w:shd w:val="clear" w:color="auto" w:fill="FFFFFF"/>
        </w:rPr>
        <w:t xml:space="preserve">”  </w:t>
      </w:r>
      <w:r w:rsidRPr="00791798">
        <w:rPr>
          <w:rFonts w:ascii="Georgia" w:hAnsi="Georgia" w:cs="Arial"/>
          <w:b/>
          <w:color w:val="000000"/>
          <w:shd w:val="clear" w:color="auto" w:fill="FFFFFF"/>
        </w:rPr>
        <w:t>Should we be more specific on what type of confirmation the stockholder will receive in the Q&amp;A?</w:t>
      </w:r>
      <w:r>
        <w:rPr>
          <w:rFonts w:ascii="Georgia" w:hAnsi="Georgia" w:cs="Arial"/>
          <w:color w:val="000000"/>
          <w:shd w:val="clear" w:color="auto" w:fill="FFFFFF"/>
        </w:rPr>
        <w:t xml:space="preserve">  </w:t>
      </w:r>
    </w:p>
    <w:p w:rsidR="00316A41" w:rsidRPr="0010606C" w:rsidRDefault="00316A41" w:rsidP="00BC61BB">
      <w:pPr>
        <w:pStyle w:val="ListParagraph"/>
        <w:numPr>
          <w:ilvl w:val="1"/>
          <w:numId w:val="3"/>
        </w:numPr>
        <w:spacing w:after="0"/>
        <w:rPr>
          <w:rFonts w:ascii="Georgia" w:hAnsi="Georgia" w:cs="Arial"/>
        </w:rPr>
      </w:pPr>
    </w:p>
    <w:p w:rsidR="0088452F" w:rsidRDefault="0088452F" w:rsidP="0088452F">
      <w:pPr>
        <w:spacing w:after="0"/>
        <w:rPr>
          <w:rFonts w:ascii="Georgia" w:hAnsi="Georgia" w:cs="Arial"/>
        </w:rPr>
      </w:pPr>
      <w:r>
        <w:rPr>
          <w:rFonts w:ascii="Georgia" w:hAnsi="Georgia" w:cs="Arial"/>
        </w:rPr>
        <w:tab/>
      </w:r>
    </w:p>
    <w:p w:rsidR="0088452F" w:rsidRDefault="0088452F" w:rsidP="001F3E0E">
      <w:pPr>
        <w:spacing w:after="0"/>
        <w:ind w:firstLine="720"/>
        <w:rPr>
          <w:rFonts w:ascii="Georgia" w:hAnsi="Georgia" w:cs="Arial"/>
        </w:rPr>
      </w:pPr>
    </w:p>
    <w:p w:rsidR="001F3E0E" w:rsidRPr="00D17CD1" w:rsidRDefault="001F3E0E" w:rsidP="001F3E0E">
      <w:pPr>
        <w:spacing w:after="0"/>
        <w:ind w:firstLine="720"/>
        <w:rPr>
          <w:rFonts w:ascii="Georgia" w:hAnsi="Georgia" w:cs="Arial"/>
          <w:sz w:val="20"/>
          <w:szCs w:val="20"/>
        </w:rPr>
      </w:pPr>
      <w:r w:rsidRPr="00D17CD1">
        <w:rPr>
          <w:rFonts w:ascii="Georgia" w:hAnsi="Georgia" w:cs="Arial"/>
          <w:sz w:val="20"/>
          <w:szCs w:val="20"/>
        </w:rPr>
        <w:t xml:space="preserve">Examples of effective disclosure include: </w:t>
      </w:r>
    </w:p>
    <w:p w:rsidR="001F3E0E" w:rsidRPr="00D17CD1" w:rsidRDefault="001F3E0E" w:rsidP="001F3E0E">
      <w:pPr>
        <w:pStyle w:val="ListParagraph"/>
        <w:numPr>
          <w:ilvl w:val="0"/>
          <w:numId w:val="2"/>
        </w:numPr>
        <w:spacing w:after="0"/>
        <w:rPr>
          <w:rFonts w:ascii="Georgia" w:hAnsi="Georgia" w:cs="Arial"/>
          <w:sz w:val="20"/>
          <w:szCs w:val="20"/>
        </w:rPr>
      </w:pPr>
      <w:r w:rsidRPr="00D17CD1">
        <w:rPr>
          <w:rFonts w:ascii="Georgia" w:hAnsi="Georgia" w:cs="Arial"/>
          <w:sz w:val="20"/>
          <w:szCs w:val="20"/>
        </w:rPr>
        <w:t xml:space="preserve">addressing the ability of shareholders to ask questions during the meeting, including time guidelines for shareholder questions, rules around what types of questions are allowed, and rules for how questions and comments will be recognized and disclosed to meeting participants; </w:t>
      </w:r>
    </w:p>
    <w:p w:rsidR="001F3E0E" w:rsidRPr="00D17CD1" w:rsidRDefault="001F3E0E" w:rsidP="001F3E0E">
      <w:pPr>
        <w:pStyle w:val="ListParagraph"/>
        <w:numPr>
          <w:ilvl w:val="0"/>
          <w:numId w:val="2"/>
        </w:numPr>
        <w:spacing w:after="0"/>
        <w:rPr>
          <w:rFonts w:ascii="Georgia" w:hAnsi="Georgia" w:cs="Arial"/>
          <w:sz w:val="20"/>
          <w:szCs w:val="20"/>
        </w:rPr>
      </w:pPr>
      <w:r w:rsidRPr="00D17CD1">
        <w:rPr>
          <w:rFonts w:ascii="Georgia" w:hAnsi="Georgia" w:cs="Arial"/>
          <w:sz w:val="20"/>
          <w:szCs w:val="20"/>
        </w:rPr>
        <w:t xml:space="preserve">procedures, if any, for posting appropriate questions received during the meeting and the company’s answers, on the investor page of their website as soon as is practical after the meeting; </w:t>
      </w:r>
    </w:p>
    <w:p w:rsidR="001F3E0E" w:rsidRPr="00D17CD1" w:rsidRDefault="001F3E0E" w:rsidP="001F3E0E">
      <w:pPr>
        <w:pStyle w:val="ListParagraph"/>
        <w:numPr>
          <w:ilvl w:val="0"/>
          <w:numId w:val="2"/>
        </w:numPr>
        <w:spacing w:after="0"/>
        <w:rPr>
          <w:rFonts w:ascii="Georgia" w:hAnsi="Georgia" w:cs="Arial"/>
          <w:sz w:val="20"/>
          <w:szCs w:val="20"/>
        </w:rPr>
      </w:pPr>
      <w:r w:rsidRPr="00D17CD1">
        <w:rPr>
          <w:rFonts w:ascii="Georgia" w:hAnsi="Georgia" w:cs="Arial"/>
          <w:sz w:val="20"/>
          <w:szCs w:val="20"/>
        </w:rPr>
        <w:t xml:space="preserve">addressing technical and logistical issues related to accessing the virtual meeting platform; and </w:t>
      </w:r>
    </w:p>
    <w:p w:rsidR="001F3E0E" w:rsidRPr="00D17CD1" w:rsidRDefault="001F3E0E" w:rsidP="001F3E0E">
      <w:pPr>
        <w:pStyle w:val="ListParagraph"/>
        <w:numPr>
          <w:ilvl w:val="0"/>
          <w:numId w:val="2"/>
        </w:numPr>
        <w:spacing w:after="0"/>
        <w:rPr>
          <w:rFonts w:ascii="Georgia" w:hAnsi="Georgia" w:cs="Arial"/>
          <w:sz w:val="20"/>
          <w:szCs w:val="20"/>
        </w:rPr>
      </w:pPr>
      <w:r w:rsidRPr="00D17CD1">
        <w:rPr>
          <w:rFonts w:ascii="Georgia" w:hAnsi="Georgia" w:cs="Arial"/>
          <w:sz w:val="20"/>
          <w:szCs w:val="20"/>
        </w:rPr>
        <w:t xml:space="preserve">procedures for accessing technical support to assist in the event of any difficulties accessing the virtual meeting. </w:t>
      </w:r>
    </w:p>
    <w:p w:rsidR="001F3E0E" w:rsidRPr="00D96BDC" w:rsidRDefault="001F3E0E" w:rsidP="00621BDB">
      <w:pPr>
        <w:spacing w:after="0"/>
        <w:ind w:firstLine="720"/>
        <w:rPr>
          <w:rFonts w:ascii="Georgia" w:hAnsi="Georgia" w:cs="Arial"/>
        </w:rPr>
      </w:pPr>
    </w:p>
    <w:sectPr w:rsidR="001F3E0E" w:rsidRPr="00D96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625" w:rsidRDefault="003C0625" w:rsidP="00E355A8">
      <w:pPr>
        <w:spacing w:after="0" w:line="240" w:lineRule="auto"/>
      </w:pPr>
      <w:r>
        <w:separator/>
      </w:r>
    </w:p>
  </w:endnote>
  <w:endnote w:type="continuationSeparator" w:id="0">
    <w:p w:rsidR="003C0625" w:rsidRDefault="003C0625" w:rsidP="00E35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625" w:rsidRDefault="003C0625" w:rsidP="00E355A8">
      <w:pPr>
        <w:spacing w:after="0" w:line="240" w:lineRule="auto"/>
      </w:pPr>
      <w:r>
        <w:separator/>
      </w:r>
    </w:p>
  </w:footnote>
  <w:footnote w:type="continuationSeparator" w:id="0">
    <w:p w:rsidR="003C0625" w:rsidRDefault="003C0625" w:rsidP="00E355A8">
      <w:pPr>
        <w:spacing w:after="0" w:line="240" w:lineRule="auto"/>
      </w:pPr>
      <w:r>
        <w:continuationSeparator/>
      </w:r>
    </w:p>
  </w:footnote>
  <w:footnote w:id="1">
    <w:p w:rsidR="00E355A8" w:rsidRDefault="00E355A8">
      <w:pPr>
        <w:pStyle w:val="FootnoteText"/>
      </w:pPr>
      <w:r>
        <w:rPr>
          <w:rStyle w:val="FootnoteReference"/>
        </w:rPr>
        <w:footnoteRef/>
      </w:r>
      <w:r>
        <w:t xml:space="preserve"> </w:t>
      </w:r>
      <w:hyperlink r:id="rId1" w:history="1">
        <w:r>
          <w:rPr>
            <w:rStyle w:val="Hyperlink"/>
          </w:rPr>
          <w:t>https://www.glasslewis.com/wp-content/uploads/2018/10/2019_GUIDELINES_UnitedStates.pdf</w:t>
        </w:r>
      </w:hyperlink>
      <w:r w:rsidR="00E60127">
        <w:t>, pages 50-</w:t>
      </w:r>
      <w:r>
        <w:t xml:space="preserve">51.  </w:t>
      </w:r>
    </w:p>
  </w:footnote>
  <w:footnote w:id="2">
    <w:p w:rsidR="00463DC2" w:rsidRDefault="00463DC2">
      <w:pPr>
        <w:pStyle w:val="FootnoteText"/>
      </w:pPr>
      <w:r>
        <w:rPr>
          <w:rStyle w:val="FootnoteReference"/>
        </w:rPr>
        <w:footnoteRef/>
      </w:r>
      <w:r>
        <w:t xml:space="preserve"> </w:t>
      </w:r>
      <w:hyperlink r:id="rId2" w:anchor="t50" w:history="1">
        <w:r>
          <w:rPr>
            <w:rStyle w:val="Hyperlink"/>
          </w:rPr>
          <w:t>https://www.sec.gov/Archives/edgar/data/1609702/000114036118039959/s002433x1_def14a.htm#t50</w:t>
        </w:r>
      </w:hyperlink>
      <w:r w:rsidR="00DF07BE">
        <w:t>.  All information</w:t>
      </w:r>
      <w:r w:rsidR="00E10C6A">
        <w:t xml:space="preserve"> on here comes from the section,</w:t>
      </w:r>
      <w:r w:rsidR="00DF07BE">
        <w:t xml:space="preserve"> Questions and Answers about the Annual Meeting and Voting.  </w:t>
      </w:r>
    </w:p>
  </w:footnote>
  <w:footnote w:id="3">
    <w:p w:rsidR="00327A88" w:rsidRDefault="00327A88">
      <w:pPr>
        <w:pStyle w:val="FootnoteText"/>
      </w:pPr>
      <w:r>
        <w:rPr>
          <w:rStyle w:val="FootnoteReference"/>
        </w:rPr>
        <w:footnoteRef/>
      </w:r>
      <w:r>
        <w:t xml:space="preserve"> </w:t>
      </w:r>
      <w:hyperlink r:id="rId3" w:history="1">
        <w:r>
          <w:rPr>
            <w:rStyle w:val="Hyperlink"/>
          </w:rPr>
          <w:t>https://materials.proxyvote.com/Approved/12508E/20180914/OTHER_371432.PDF</w:t>
        </w:r>
      </w:hyperlink>
    </w:p>
  </w:footnote>
  <w:footnote w:id="4">
    <w:p w:rsidR="00316A41" w:rsidRDefault="00316A41">
      <w:pPr>
        <w:pStyle w:val="FootnoteText"/>
      </w:pPr>
      <w:r>
        <w:rPr>
          <w:rStyle w:val="FootnoteReference"/>
        </w:rPr>
        <w:footnoteRef/>
      </w:r>
      <w:r>
        <w:t xml:space="preserve"> </w:t>
      </w:r>
      <w:hyperlink r:id="rId4" w:anchor="t50" w:history="1">
        <w:r>
          <w:rPr>
            <w:rStyle w:val="Hyperlink"/>
          </w:rPr>
          <w:t>https://www.sec.gov/Archives/edgar/data/1609702/000114036118039959/s002433x1_def14a.htm#t50</w:t>
        </w:r>
      </w:hyperlink>
    </w:p>
  </w:footnote>
  <w:footnote w:id="5">
    <w:p w:rsidR="00316A41" w:rsidRDefault="00316A41">
      <w:pPr>
        <w:pStyle w:val="FootnoteText"/>
      </w:pPr>
      <w:r>
        <w:rPr>
          <w:rStyle w:val="FootnoteReference"/>
        </w:rPr>
        <w:footnoteRef/>
      </w:r>
      <w:r>
        <w:t xml:space="preserve"> </w:t>
      </w:r>
      <w:hyperlink r:id="rId5" w:history="1">
        <w:r w:rsidRPr="00316A41">
          <w:rPr>
            <w:rStyle w:val="Hyperlink"/>
          </w:rPr>
          <w:t>www.virtualshareholdermeeting.com/CDK2018</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61C60"/>
    <w:multiLevelType w:val="hybridMultilevel"/>
    <w:tmpl w:val="BCB0437C"/>
    <w:lvl w:ilvl="0" w:tplc="59488E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71B0DA9"/>
    <w:multiLevelType w:val="hybridMultilevel"/>
    <w:tmpl w:val="67B88B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C396AAA"/>
    <w:multiLevelType w:val="hybridMultilevel"/>
    <w:tmpl w:val="BCB0437C"/>
    <w:lvl w:ilvl="0" w:tplc="59488E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97"/>
    <w:rsid w:val="00050F4A"/>
    <w:rsid w:val="0005391F"/>
    <w:rsid w:val="00060BD8"/>
    <w:rsid w:val="000830A1"/>
    <w:rsid w:val="000B1647"/>
    <w:rsid w:val="000C3A20"/>
    <w:rsid w:val="000F7DAA"/>
    <w:rsid w:val="001004B3"/>
    <w:rsid w:val="0010606C"/>
    <w:rsid w:val="00116034"/>
    <w:rsid w:val="001470EA"/>
    <w:rsid w:val="0015470E"/>
    <w:rsid w:val="001A0029"/>
    <w:rsid w:val="001A3455"/>
    <w:rsid w:val="001B504B"/>
    <w:rsid w:val="001C7D3D"/>
    <w:rsid w:val="001F24B0"/>
    <w:rsid w:val="001F3E0E"/>
    <w:rsid w:val="00214FA3"/>
    <w:rsid w:val="00276E2B"/>
    <w:rsid w:val="0028543A"/>
    <w:rsid w:val="00293B50"/>
    <w:rsid w:val="002A3099"/>
    <w:rsid w:val="002A3DEF"/>
    <w:rsid w:val="002B0FCA"/>
    <w:rsid w:val="002B409A"/>
    <w:rsid w:val="002F72A7"/>
    <w:rsid w:val="00303E7B"/>
    <w:rsid w:val="00305040"/>
    <w:rsid w:val="003103B9"/>
    <w:rsid w:val="00316A41"/>
    <w:rsid w:val="00327A88"/>
    <w:rsid w:val="003404F9"/>
    <w:rsid w:val="003704BA"/>
    <w:rsid w:val="00386CB1"/>
    <w:rsid w:val="003C0625"/>
    <w:rsid w:val="003D7D3A"/>
    <w:rsid w:val="003D7F15"/>
    <w:rsid w:val="0040631C"/>
    <w:rsid w:val="00406E64"/>
    <w:rsid w:val="00426909"/>
    <w:rsid w:val="00461BFE"/>
    <w:rsid w:val="00463DC2"/>
    <w:rsid w:val="00487A86"/>
    <w:rsid w:val="004C561D"/>
    <w:rsid w:val="004C5EAB"/>
    <w:rsid w:val="00513D68"/>
    <w:rsid w:val="005257D8"/>
    <w:rsid w:val="005545EE"/>
    <w:rsid w:val="00591E07"/>
    <w:rsid w:val="005932B3"/>
    <w:rsid w:val="005E29D7"/>
    <w:rsid w:val="005F67BB"/>
    <w:rsid w:val="0061197A"/>
    <w:rsid w:val="00621BDB"/>
    <w:rsid w:val="00627CBD"/>
    <w:rsid w:val="00634803"/>
    <w:rsid w:val="00652C87"/>
    <w:rsid w:val="006761ED"/>
    <w:rsid w:val="00685C94"/>
    <w:rsid w:val="00690AA0"/>
    <w:rsid w:val="00691EC6"/>
    <w:rsid w:val="006E1A69"/>
    <w:rsid w:val="007607B6"/>
    <w:rsid w:val="00767F21"/>
    <w:rsid w:val="00771F94"/>
    <w:rsid w:val="00791798"/>
    <w:rsid w:val="007C0D5E"/>
    <w:rsid w:val="007E3007"/>
    <w:rsid w:val="007F6C53"/>
    <w:rsid w:val="0080088A"/>
    <w:rsid w:val="00823297"/>
    <w:rsid w:val="00831460"/>
    <w:rsid w:val="00862113"/>
    <w:rsid w:val="00883C2A"/>
    <w:rsid w:val="0088452F"/>
    <w:rsid w:val="00894A0E"/>
    <w:rsid w:val="008D14DA"/>
    <w:rsid w:val="00916DB4"/>
    <w:rsid w:val="0092111C"/>
    <w:rsid w:val="009273E4"/>
    <w:rsid w:val="00954343"/>
    <w:rsid w:val="00961CEC"/>
    <w:rsid w:val="00973F6F"/>
    <w:rsid w:val="00991268"/>
    <w:rsid w:val="009C667B"/>
    <w:rsid w:val="009E7632"/>
    <w:rsid w:val="009F1A30"/>
    <w:rsid w:val="00A10BC2"/>
    <w:rsid w:val="00A15035"/>
    <w:rsid w:val="00A239C1"/>
    <w:rsid w:val="00A25433"/>
    <w:rsid w:val="00A47829"/>
    <w:rsid w:val="00A51047"/>
    <w:rsid w:val="00A82F32"/>
    <w:rsid w:val="00AB1D4B"/>
    <w:rsid w:val="00AF565E"/>
    <w:rsid w:val="00B35A6B"/>
    <w:rsid w:val="00B41429"/>
    <w:rsid w:val="00B446DF"/>
    <w:rsid w:val="00B718F4"/>
    <w:rsid w:val="00BA2C3A"/>
    <w:rsid w:val="00BC0004"/>
    <w:rsid w:val="00BC61BB"/>
    <w:rsid w:val="00BC7594"/>
    <w:rsid w:val="00BF68FF"/>
    <w:rsid w:val="00C41534"/>
    <w:rsid w:val="00C46259"/>
    <w:rsid w:val="00C65DDD"/>
    <w:rsid w:val="00C72501"/>
    <w:rsid w:val="00CA796D"/>
    <w:rsid w:val="00CF2B5E"/>
    <w:rsid w:val="00D17CD1"/>
    <w:rsid w:val="00D26C50"/>
    <w:rsid w:val="00D43BEF"/>
    <w:rsid w:val="00D455E9"/>
    <w:rsid w:val="00D55299"/>
    <w:rsid w:val="00D96BDC"/>
    <w:rsid w:val="00DA236A"/>
    <w:rsid w:val="00DA50A0"/>
    <w:rsid w:val="00DB4F19"/>
    <w:rsid w:val="00DC2435"/>
    <w:rsid w:val="00DE2F79"/>
    <w:rsid w:val="00DF07BE"/>
    <w:rsid w:val="00E04AB7"/>
    <w:rsid w:val="00E10C6A"/>
    <w:rsid w:val="00E355A8"/>
    <w:rsid w:val="00E44385"/>
    <w:rsid w:val="00E52D35"/>
    <w:rsid w:val="00E60127"/>
    <w:rsid w:val="00EA4C40"/>
    <w:rsid w:val="00EE4D5B"/>
    <w:rsid w:val="00F23CFE"/>
    <w:rsid w:val="00F514E3"/>
    <w:rsid w:val="00F6177A"/>
    <w:rsid w:val="00F672C6"/>
    <w:rsid w:val="00F732E9"/>
    <w:rsid w:val="00F9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D9E6C-1D66-4900-BD80-C5A01060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55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5A8"/>
    <w:rPr>
      <w:sz w:val="20"/>
      <w:szCs w:val="20"/>
    </w:rPr>
  </w:style>
  <w:style w:type="character" w:styleId="FootnoteReference">
    <w:name w:val="footnote reference"/>
    <w:basedOn w:val="DefaultParagraphFont"/>
    <w:uiPriority w:val="99"/>
    <w:semiHidden/>
    <w:unhideWhenUsed/>
    <w:rsid w:val="00E355A8"/>
    <w:rPr>
      <w:vertAlign w:val="superscript"/>
    </w:rPr>
  </w:style>
  <w:style w:type="character" w:styleId="Hyperlink">
    <w:name w:val="Hyperlink"/>
    <w:basedOn w:val="DefaultParagraphFont"/>
    <w:uiPriority w:val="99"/>
    <w:unhideWhenUsed/>
    <w:rsid w:val="00E355A8"/>
    <w:rPr>
      <w:color w:val="0000FF"/>
      <w:u w:val="single"/>
    </w:rPr>
  </w:style>
  <w:style w:type="paragraph" w:styleId="ListParagraph">
    <w:name w:val="List Paragraph"/>
    <w:basedOn w:val="Normal"/>
    <w:uiPriority w:val="34"/>
    <w:qFormat/>
    <w:rsid w:val="00627CBD"/>
    <w:pPr>
      <w:ind w:left="720"/>
      <w:contextualSpacing/>
    </w:pPr>
  </w:style>
  <w:style w:type="paragraph" w:styleId="Title">
    <w:name w:val="Title"/>
    <w:basedOn w:val="Normal"/>
    <w:next w:val="Normal"/>
    <w:link w:val="TitleChar"/>
    <w:uiPriority w:val="10"/>
    <w:qFormat/>
    <w:rsid w:val="00BF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8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00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shareholdermeeting.com/CDK201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lshareholdermeeting.com/" TargetMode="External"/><Relationship Id="rId5" Type="http://schemas.openxmlformats.org/officeDocument/2006/relationships/webSettings" Target="webSettings.xml"/><Relationship Id="rId10" Type="http://schemas.openxmlformats.org/officeDocument/2006/relationships/hyperlink" Target="http://www.virtualshareholdermeeting.com/CDK2018" TargetMode="External"/><Relationship Id="rId4" Type="http://schemas.openxmlformats.org/officeDocument/2006/relationships/settings" Target="settings.xml"/><Relationship Id="rId9" Type="http://schemas.openxmlformats.org/officeDocument/2006/relationships/hyperlink" Target="http://www.virtualshareholdermeeting.com/CDK201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erials.proxyvote.com/Approved/12508E/20180914/OTHER_371432.PDF" TargetMode="External"/><Relationship Id="rId2" Type="http://schemas.openxmlformats.org/officeDocument/2006/relationships/hyperlink" Target="https://www.sec.gov/Archives/edgar/data/1609702/000114036118039959/s002433x1_def14a.htm" TargetMode="External"/><Relationship Id="rId1" Type="http://schemas.openxmlformats.org/officeDocument/2006/relationships/hyperlink" Target="https://www.glasslewis.com/wp-content/uploads/2018/10/2019_GUIDELINES_UnitedStates.pdf" TargetMode="External"/><Relationship Id="rId5" Type="http://schemas.openxmlformats.org/officeDocument/2006/relationships/hyperlink" Target="http://www.virtualshareholdermeeting.com/CDK2018" TargetMode="External"/><Relationship Id="rId4" Type="http://schemas.openxmlformats.org/officeDocument/2006/relationships/hyperlink" Target="https://www.sec.gov/Archives/edgar/data/1609702/000114036118039959/s002433x1_def14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5D15-9210-4961-BD23-BE2F027A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 Dean</dc:creator>
  <cp:keywords/>
  <dc:description/>
  <cp:lastModifiedBy>Gladish, Dean</cp:lastModifiedBy>
  <cp:revision>171</cp:revision>
  <dcterms:created xsi:type="dcterms:W3CDTF">2019-07-12T15:39:00Z</dcterms:created>
  <dcterms:modified xsi:type="dcterms:W3CDTF">2019-07-12T22:05:00Z</dcterms:modified>
</cp:coreProperties>
</file>