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6C4E0" w14:textId="53EB5D87" w:rsidR="007107F9" w:rsidRDefault="007107F9" w:rsidP="002B23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Gladish</w:t>
      </w:r>
      <w:proofErr w:type="spellEnd"/>
      <w:r>
        <w:rPr>
          <w:rFonts w:ascii="Times New Roman" w:hAnsi="Times New Roman" w:cs="Times New Roman"/>
          <w:sz w:val="24"/>
          <w:szCs w:val="24"/>
        </w:rPr>
        <w:t xml:space="preserve"> </w:t>
      </w:r>
      <w:r w:rsidR="000A30FD">
        <w:rPr>
          <w:rFonts w:ascii="Times New Roman" w:hAnsi="Times New Roman" w:cs="Times New Roman"/>
          <w:sz w:val="24"/>
          <w:szCs w:val="24"/>
        </w:rPr>
        <w:t xml:space="preserve">and Nick Reich </w:t>
      </w:r>
      <w:bookmarkStart w:id="0" w:name="_GoBack"/>
      <w:bookmarkEnd w:id="0"/>
    </w:p>
    <w:p w14:paraId="4F441F6F" w14:textId="35C70531" w:rsidR="007107F9" w:rsidRDefault="007107F9" w:rsidP="002B23CC">
      <w:pPr>
        <w:spacing w:after="0" w:line="240" w:lineRule="auto"/>
        <w:rPr>
          <w:rFonts w:ascii="Times New Roman" w:hAnsi="Times New Roman" w:cs="Times New Roman"/>
          <w:sz w:val="24"/>
          <w:szCs w:val="24"/>
        </w:rPr>
      </w:pPr>
      <w:r>
        <w:rPr>
          <w:rFonts w:ascii="Times New Roman" w:hAnsi="Times New Roman" w:cs="Times New Roman"/>
          <w:sz w:val="24"/>
          <w:szCs w:val="24"/>
        </w:rPr>
        <w:t>Final Report for the Reich Lab</w:t>
      </w:r>
    </w:p>
    <w:p w14:paraId="2F1F0291" w14:textId="2B44DD44" w:rsidR="007107F9" w:rsidRDefault="007107F9" w:rsidP="002B23CC">
      <w:pPr>
        <w:spacing w:after="0" w:line="240" w:lineRule="auto"/>
        <w:rPr>
          <w:rFonts w:ascii="Times New Roman" w:hAnsi="Times New Roman" w:cs="Times New Roman"/>
          <w:sz w:val="24"/>
          <w:szCs w:val="24"/>
        </w:rPr>
      </w:pPr>
      <w:r>
        <w:rPr>
          <w:rFonts w:ascii="Times New Roman" w:hAnsi="Times New Roman" w:cs="Times New Roman"/>
          <w:sz w:val="24"/>
          <w:szCs w:val="24"/>
        </w:rPr>
        <w:t>July 20, 2018</w:t>
      </w:r>
    </w:p>
    <w:p w14:paraId="05F1BDC7" w14:textId="7C2CA864" w:rsidR="00815281" w:rsidRPr="00C8002F" w:rsidRDefault="007107F9" w:rsidP="002B23CC">
      <w:pPr>
        <w:spacing w:line="240" w:lineRule="auto"/>
        <w:jc w:val="center"/>
        <w:rPr>
          <w:rFonts w:ascii="Times New Roman" w:hAnsi="Times New Roman" w:cs="Times New Roman"/>
          <w:b/>
          <w:sz w:val="24"/>
          <w:szCs w:val="24"/>
        </w:rPr>
      </w:pPr>
      <w:r w:rsidRPr="00C8002F">
        <w:rPr>
          <w:rFonts w:ascii="Times New Roman" w:hAnsi="Times New Roman" w:cs="Times New Roman"/>
          <w:b/>
          <w:sz w:val="24"/>
          <w:szCs w:val="24"/>
        </w:rPr>
        <w:t>The Kolmogorov-Smirnov Test – A First Pass</w:t>
      </w:r>
    </w:p>
    <w:p w14:paraId="64C56E92" w14:textId="1E30CE61" w:rsidR="00C8002F" w:rsidRPr="00815281" w:rsidRDefault="00815281" w:rsidP="002B23C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Quantifying Differences Between Models used in the Ensemble.</w:t>
      </w:r>
    </w:p>
    <w:p w14:paraId="364115D9" w14:textId="516A2495" w:rsidR="00BE6111" w:rsidRDefault="00BE6111" w:rsidP="007E7B4E">
      <w:pPr>
        <w:spacing w:line="480" w:lineRule="auto"/>
        <w:rPr>
          <w:rFonts w:ascii="Times New Roman" w:hAnsi="Times New Roman" w:cs="Times New Roman"/>
          <w:sz w:val="24"/>
          <w:szCs w:val="24"/>
        </w:rPr>
      </w:pPr>
      <w:r w:rsidRPr="00C8002F">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20344B31" wp14:editId="3A3CF008">
                <wp:simplePos x="0" y="0"/>
                <wp:positionH relativeFrom="column">
                  <wp:posOffset>-133350</wp:posOffset>
                </wp:positionH>
                <wp:positionV relativeFrom="paragraph">
                  <wp:posOffset>158115</wp:posOffset>
                </wp:positionV>
                <wp:extent cx="6717030" cy="26670"/>
                <wp:effectExtent l="0" t="0" r="26670" b="30480"/>
                <wp:wrapNone/>
                <wp:docPr id="1" name="Straight Connector 1"/>
                <wp:cNvGraphicFramePr/>
                <a:graphic xmlns:a="http://schemas.openxmlformats.org/drawingml/2006/main">
                  <a:graphicData uri="http://schemas.microsoft.com/office/word/2010/wordprocessingShape">
                    <wps:wsp>
                      <wps:cNvCnPr/>
                      <wps:spPr>
                        <a:xfrm flipH="1">
                          <a:off x="0" y="0"/>
                          <a:ext cx="6717030" cy="26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86F45"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2.45pt" to="518.4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" strokecolor="#4472c4 [3204]" strokeweight=".5pt">
                <v:stroke joinstyle="miter"/>
              </v:line>
            </w:pict>
          </mc:Fallback>
        </mc:AlternateContent>
      </w:r>
    </w:p>
    <w:p w14:paraId="0479FEBF" w14:textId="56D5F668" w:rsidR="00592D98" w:rsidRPr="00F767CB" w:rsidRDefault="007107F9" w:rsidP="005B260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Previously at the Reich Lab, I had looked at a variety of topics including the way in which the weighting was done (the EM algorithm, which tends to find local maximums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determine the optimal weights), the way in which missing data was handled (by substituting data points with similar characteristics in some cases), and how models like SARIMA look at moving averages in order to approximate what is going to happen in the future.  In this report, I would like to introduce a cursory look at the Kolmogorov-Smirnov test – this is a test that has been frequently used to compare models in part because of its strength over the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sidRPr="00F767CB">
        <w:rPr>
          <w:rFonts w:ascii="Times New Roman" w:hAnsi="Times New Roman" w:cs="Times New Roman"/>
          <w:sz w:val="24"/>
          <w:szCs w:val="24"/>
        </w:rPr>
        <w:t xml:space="preserve"> </w:t>
      </w:r>
      <w:r>
        <w:rPr>
          <w:rFonts w:ascii="Times New Roman" w:hAnsi="Times New Roman" w:cs="Times New Roman"/>
          <w:sz w:val="24"/>
          <w:szCs w:val="24"/>
        </w:rPr>
        <w:t xml:space="preserve">goodness-of-fit test.  I hope that this document provides a framework for finding a single metric for quantifying model similarities.  Although, as Steve said, there is no single metric for comparing models (we could use the four moments for instance), I would like to present some graphs that I have made and conclusions that can be made about them based on how the models work.  </w:t>
      </w:r>
      <w:r>
        <w:rPr>
          <w:rFonts w:ascii="Times New Roman" w:hAnsi="Times New Roman" w:cs="Times New Roman"/>
          <w:sz w:val="24"/>
          <w:szCs w:val="24"/>
        </w:rPr>
        <w:tab/>
      </w:r>
      <w:r w:rsidR="00FE2111">
        <w:rPr>
          <w:rFonts w:ascii="Times New Roman" w:hAnsi="Times New Roman" w:cs="Times New Roman"/>
          <w:sz w:val="24"/>
          <w:szCs w:val="24"/>
        </w:rPr>
        <w:t>In short, this is how the test works</w:t>
      </w:r>
      <w:r w:rsidR="00592D98">
        <w:rPr>
          <w:rFonts w:ascii="Times New Roman" w:hAnsi="Times New Roman" w:cs="Times New Roman"/>
          <w:sz w:val="24"/>
          <w:szCs w:val="24"/>
        </w:rPr>
        <w:t xml:space="preserve"> conventionally: we are given an independent and identically distributed sample of data from an unknown distribution</w:t>
      </w:r>
      <w:r w:rsidR="00592D98" w:rsidRPr="00F767CB">
        <w:rPr>
          <w:rFonts w:ascii="Times New Roman" w:hAnsi="Times New Roman" w:cs="Times New Roman"/>
          <w:sz w:val="24"/>
          <w:szCs w:val="24"/>
        </w:rPr>
        <w:t xml:space="preserve"> </w:t>
      </w:r>
      <m:oMath>
        <m:r>
          <m:rPr>
            <m:sty m:val="b"/>
          </m:rPr>
          <w:rPr>
            <w:rFonts w:ascii="Cambria Math" w:hAnsi="Cambria Math" w:cs="Times New Roman"/>
            <w:sz w:val="24"/>
            <w:szCs w:val="24"/>
          </w:rPr>
          <m:t>Ρ</m:t>
        </m:r>
      </m:oMath>
      <w:r w:rsidR="00592D98" w:rsidRPr="00F767CB">
        <w:rPr>
          <w:rFonts w:ascii="Times New Roman" w:hAnsi="Times New Roman" w:cs="Times New Roman"/>
          <w:sz w:val="24"/>
          <w:szCs w:val="24"/>
        </w:rPr>
        <w:t xml:space="preserve"> and a proposed distribution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Ρ</m:t>
            </m:r>
          </m:e>
          <m:sub>
            <m:r>
              <m:rPr>
                <m:sty m:val="bi"/>
              </m:rPr>
              <w:rPr>
                <w:rFonts w:ascii="Cambria Math" w:hAnsi="Cambria Math" w:cs="Times New Roman"/>
                <w:sz w:val="24"/>
                <w:szCs w:val="24"/>
              </w:rPr>
              <m:t>0</m:t>
            </m:r>
          </m:sub>
        </m:sSub>
      </m:oMath>
      <w:r w:rsidR="00592D98">
        <w:rPr>
          <w:rFonts w:ascii="Times New Roman" w:hAnsi="Times New Roman" w:cs="Times New Roman"/>
          <w:sz w:val="24"/>
          <w:szCs w:val="24"/>
        </w:rPr>
        <w:t xml:space="preserve">.  What the Kolmogorov-Smirnov test does is tell us which of the following hypotheses, </w:t>
      </w:r>
      <w:r w:rsidR="00592D98" w:rsidRPr="00F767CB">
        <w:rPr>
          <w:rFonts w:ascii="Times New Roman" w:hAnsi="Times New Roman" w:cs="Times New Roman"/>
          <w:sz w:val="24"/>
          <w:szCs w:val="24"/>
        </w:rPr>
        <w:t xml:space="preserve"> </w:t>
      </w:r>
    </w:p>
    <w:p w14:paraId="1384C6F9" w14:textId="2CB99C8D" w:rsidR="007107F9" w:rsidRPr="00592D98" w:rsidRDefault="00592D98" w:rsidP="007E7B4E">
      <w:pPr>
        <w:spacing w:after="0" w:line="480" w:lineRule="auto"/>
        <w:rPr>
          <w:rFonts w:ascii="Times New Roman" w:hAnsi="Times New Roman" w:cs="Times New Roman"/>
          <w:b/>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 </m:t>
          </m:r>
          <m:r>
            <m:rPr>
              <m:sty m:val="b"/>
            </m:rPr>
            <w:rPr>
              <w:rFonts w:ascii="Cambria Math" w:hAnsi="Cambria Math" w:cs="Times New Roman"/>
              <w:sz w:val="24"/>
              <w:szCs w:val="24"/>
            </w:rPr>
            <m:t>Ρ</m:t>
          </m:r>
          <m:box>
            <m:boxPr>
              <m:opEmu m:val="1"/>
              <m:ctrlPr>
                <w:rPr>
                  <w:rFonts w:ascii="Cambria Math" w:hAnsi="Cambria Math" w:cs="Times New Roman"/>
                  <w:b/>
                  <w:sz w:val="24"/>
                  <w:szCs w:val="24"/>
                </w:rPr>
              </m:ctrlPr>
            </m:boxPr>
            <m:e>
              <m:r>
                <m:rPr>
                  <m:sty m:val="b"/>
                </m:rPr>
                <w:rPr>
                  <w:rFonts w:ascii="Cambria Math" w:hAnsi="Cambria Math" w:cs="Times New Roman"/>
                  <w:sz w:val="24"/>
                  <w:szCs w:val="24"/>
                </w:rPr>
                <m:t>=</m:t>
              </m:r>
            </m:e>
          </m:box>
          <m:sSub>
            <m:sSubPr>
              <m:ctrlPr>
                <w:rPr>
                  <w:rFonts w:ascii="Cambria Math" w:hAnsi="Cambria Math" w:cs="Times New Roman"/>
                  <w:b/>
                  <w:sz w:val="24"/>
                  <w:szCs w:val="24"/>
                </w:rPr>
              </m:ctrlPr>
            </m:sSubPr>
            <m:e>
              <m:r>
                <m:rPr>
                  <m:sty m:val="b"/>
                </m:rPr>
                <w:rPr>
                  <w:rFonts w:ascii="Cambria Math" w:hAnsi="Cambria Math" w:cs="Times New Roman"/>
                  <w:sz w:val="24"/>
                  <w:szCs w:val="24"/>
                </w:rPr>
                <m:t>Ρ</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 </m:t>
          </m:r>
          <m:r>
            <m:rPr>
              <m:sty m:val="b"/>
            </m:rPr>
            <w:rPr>
              <w:rFonts w:ascii="Cambria Math" w:hAnsi="Cambria Math" w:cs="Times New Roman"/>
              <w:sz w:val="24"/>
              <w:szCs w:val="24"/>
            </w:rPr>
            <m:t>Ρ</m:t>
          </m:r>
          <m:r>
            <m:rPr>
              <m:sty m:val="p"/>
            </m:rPr>
            <w:rPr>
              <w:rFonts w:ascii="Cambria Math" w:hAnsi="Cambria Math" w:cs="Times New Roman"/>
              <w:color w:val="222222"/>
              <w:shd w:val="clear" w:color="auto" w:fill="FFFFFF"/>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Ρ</m:t>
              </m:r>
            </m:e>
            <m:sub>
              <m:r>
                <m:rPr>
                  <m:sty m:val="bi"/>
                </m:rPr>
                <w:rPr>
                  <w:rFonts w:ascii="Cambria Math" w:hAnsi="Cambria Math" w:cs="Times New Roman"/>
                  <w:sz w:val="24"/>
                  <w:szCs w:val="24"/>
                </w:rPr>
                <m:t>0</m:t>
              </m:r>
            </m:sub>
          </m:sSub>
        </m:oMath>
      </m:oMathPara>
    </w:p>
    <w:p w14:paraId="67B7A350" w14:textId="4F71E51E" w:rsidR="00592D98" w:rsidRDefault="00592D98" w:rsidP="007E7B4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are true.</w:t>
      </w:r>
      <w:r w:rsidR="006366C7">
        <w:rPr>
          <w:rFonts w:ascii="Times New Roman" w:hAnsi="Times New Roman" w:cs="Times New Roman"/>
          <w:sz w:val="24"/>
          <w:szCs w:val="24"/>
        </w:rPr>
        <w:t xml:space="preserve">  </w:t>
      </w:r>
      <w:r w:rsidR="00DB47F9">
        <w:rPr>
          <w:rFonts w:ascii="Times New Roman" w:hAnsi="Times New Roman" w:cs="Times New Roman"/>
          <w:sz w:val="24"/>
          <w:szCs w:val="24"/>
        </w:rPr>
        <w:t>This test is stronger</w:t>
      </w:r>
      <w:r w:rsidR="009B46DE">
        <w:rPr>
          <w:rFonts w:ascii="Times New Roman" w:hAnsi="Times New Roman" w:cs="Times New Roman"/>
          <w:sz w:val="24"/>
          <w:szCs w:val="24"/>
        </w:rPr>
        <w:t xml:space="preserve"> precisely because </w:t>
      </w:r>
      <w:r w:rsidR="002F3F55">
        <w:rPr>
          <w:rFonts w:ascii="Times New Roman" w:hAnsi="Times New Roman" w:cs="Times New Roman"/>
          <w:sz w:val="24"/>
          <w:szCs w:val="24"/>
        </w:rPr>
        <w:t xml:space="preserve">it does not </w:t>
      </w:r>
      <w:r w:rsidR="008E6C7B">
        <w:rPr>
          <w:rFonts w:ascii="Times New Roman" w:hAnsi="Times New Roman" w:cs="Times New Roman"/>
          <w:sz w:val="24"/>
          <w:szCs w:val="24"/>
        </w:rPr>
        <w:t xml:space="preserve">create discrete groups based off the sample. </w:t>
      </w:r>
      <w:r w:rsidR="003C0915">
        <w:rPr>
          <w:rFonts w:ascii="Times New Roman" w:hAnsi="Times New Roman" w:cs="Times New Roman"/>
          <w:sz w:val="24"/>
          <w:szCs w:val="24"/>
        </w:rPr>
        <w:t xml:space="preserve"> Rather, it considers each data point on </w:t>
      </w:r>
      <w:r w:rsidR="00897BA1">
        <w:rPr>
          <w:rFonts w:ascii="Times New Roman" w:hAnsi="Times New Roman" w:cs="Times New Roman"/>
          <w:sz w:val="24"/>
          <w:szCs w:val="24"/>
        </w:rPr>
        <w:t>a continuous distribution</w:t>
      </w:r>
      <w:r w:rsidR="00897BA1">
        <w:rPr>
          <w:rStyle w:val="FootnoteReference"/>
          <w:rFonts w:ascii="Times New Roman" w:hAnsi="Times New Roman" w:cs="Times New Roman"/>
          <w:sz w:val="24"/>
          <w:szCs w:val="24"/>
        </w:rPr>
        <w:footnoteReference w:id="1"/>
      </w:r>
      <w:r w:rsidR="003869BD">
        <w:rPr>
          <w:rFonts w:ascii="Times New Roman" w:hAnsi="Times New Roman" w:cs="Times New Roman"/>
          <w:sz w:val="24"/>
          <w:szCs w:val="24"/>
        </w:rPr>
        <w:t>.</w:t>
      </w:r>
      <w:r w:rsidR="004B77F5">
        <w:rPr>
          <w:rFonts w:ascii="Times New Roman" w:hAnsi="Times New Roman" w:cs="Times New Roman"/>
          <w:sz w:val="24"/>
          <w:szCs w:val="24"/>
        </w:rPr>
        <w:t xml:space="preserve">  The comparisons are done entirely using the Kolmogorov-Smirnov test statistic.  What is the K-S test statistic?  </w:t>
      </w:r>
    </w:p>
    <w:p w14:paraId="5F9DAE0D" w14:textId="77777777" w:rsidR="003373E4" w:rsidRPr="00EF3965" w:rsidRDefault="003373E4" w:rsidP="007E7B4E">
      <w:pPr>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sup</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r>
            <w:rPr>
              <w:rFonts w:ascii="Cambria Math" w:hAnsi="Cambria Math" w:cs="Times New Roman"/>
              <w:sz w:val="24"/>
              <w:szCs w:val="24"/>
            </w:rPr>
            <m:t xml:space="preserve">(x) -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(x)|]</m:t>
          </m:r>
        </m:oMath>
      </m:oMathPara>
    </w:p>
    <w:p w14:paraId="5F6F9473" w14:textId="0B8D97DF" w:rsidR="003373E4" w:rsidRDefault="003373E4" w:rsidP="007E7B4E">
      <w:pPr>
        <w:spacing w:after="0" w:line="480" w:lineRule="auto"/>
        <w:rPr>
          <w:rFonts w:ascii="Times New Roman" w:hAnsi="Times New Roman" w:cs="Times New Roman"/>
          <w:sz w:val="24"/>
          <w:szCs w:val="24"/>
        </w:rPr>
      </w:pPr>
      <w:r>
        <w:rPr>
          <w:rFonts w:ascii="Times New Roman" w:hAnsi="Times New Roman" w:cs="Times New Roman"/>
          <w:sz w:val="24"/>
          <w:szCs w:val="24"/>
        </w:rPr>
        <w:t>The test statistic</w:t>
      </w:r>
      <w:r w:rsidR="0043335F">
        <w:rPr>
          <w:rFonts w:ascii="Times New Roman" w:hAnsi="Times New Roman" w:cs="Times New Roman"/>
          <w:sz w:val="24"/>
          <w:szCs w:val="24"/>
        </w:rPr>
        <w:t xml:space="preserve"> is the supremum, over the domain, of the </w:t>
      </w:r>
      <w:r w:rsidR="0029270E">
        <w:rPr>
          <w:rFonts w:ascii="Times New Roman" w:hAnsi="Times New Roman" w:cs="Times New Roman"/>
          <w:sz w:val="24"/>
          <w:szCs w:val="24"/>
        </w:rPr>
        <w:t xml:space="preserve">vertical difference </w:t>
      </w:r>
      <w:r w:rsidR="009A67E2">
        <w:rPr>
          <w:rFonts w:ascii="Times New Roman" w:hAnsi="Times New Roman" w:cs="Times New Roman"/>
          <w:sz w:val="24"/>
          <w:szCs w:val="24"/>
        </w:rPr>
        <w:t xml:space="preserve">between a data point and the distribution that we are proposing.  This difference is calculated between the empirical CDF (empirical because it comes from the data) and the </w:t>
      </w:r>
      <w:r w:rsidR="000769C9">
        <w:rPr>
          <w:rFonts w:ascii="Times New Roman" w:hAnsi="Times New Roman" w:cs="Times New Roman"/>
          <w:sz w:val="24"/>
          <w:szCs w:val="24"/>
        </w:rPr>
        <w:t>theoretical CDF (say, the CDF of the normal distribution)</w:t>
      </w:r>
      <w:r w:rsidR="001F3FE9">
        <w:rPr>
          <w:rStyle w:val="FootnoteReference"/>
          <w:rFonts w:ascii="Times New Roman" w:hAnsi="Times New Roman" w:cs="Times New Roman"/>
          <w:sz w:val="24"/>
          <w:szCs w:val="24"/>
        </w:rPr>
        <w:footnoteReference w:id="2"/>
      </w:r>
      <w:r w:rsidR="000769C9">
        <w:rPr>
          <w:rFonts w:ascii="Times New Roman" w:hAnsi="Times New Roman" w:cs="Times New Roman"/>
          <w:sz w:val="24"/>
          <w:szCs w:val="24"/>
        </w:rPr>
        <w:t xml:space="preserve">.  Essentially, what we want to do in this document is outline the way in which I implemented the Kolmogorov-Smirnov test and describe ways in which it could be improved, possibly by myself or future interns as we delve into this peculiar realm of statistics.  </w:t>
      </w:r>
    </w:p>
    <w:p w14:paraId="5207FA29" w14:textId="513DF6D2" w:rsidR="004403E7" w:rsidRDefault="004403E7" w:rsidP="007E7B4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Kolmogorov-Smirnov test statistic is then compared to a table of threshold values.  Below the threshold, the distributions </w:t>
      </w:r>
      <w:proofErr w:type="gramStart"/>
      <w:r>
        <w:rPr>
          <w:rFonts w:ascii="Times New Roman" w:hAnsi="Times New Roman" w:cs="Times New Roman"/>
          <w:sz w:val="24"/>
          <w:szCs w:val="24"/>
        </w:rPr>
        <w:t>are considered to be</w:t>
      </w:r>
      <w:proofErr w:type="gramEnd"/>
      <w:r>
        <w:rPr>
          <w:rFonts w:ascii="Times New Roman" w:hAnsi="Times New Roman" w:cs="Times New Roman"/>
          <w:sz w:val="24"/>
          <w:szCs w:val="24"/>
        </w:rPr>
        <w:t xml:space="preserve"> the same with X amount of certainty (where X is the threshold percentile).</w:t>
      </w:r>
      <w:r w:rsidR="00E02044">
        <w:rPr>
          <w:rFonts w:ascii="Times New Roman" w:hAnsi="Times New Roman" w:cs="Times New Roman"/>
          <w:sz w:val="24"/>
          <w:szCs w:val="24"/>
        </w:rPr>
        <w:t xml:space="preserve">  Above the threshold, the distributions can </w:t>
      </w:r>
      <w:proofErr w:type="gramStart"/>
      <w:r w:rsidR="00E02044">
        <w:rPr>
          <w:rFonts w:ascii="Times New Roman" w:hAnsi="Times New Roman" w:cs="Times New Roman"/>
          <w:sz w:val="24"/>
          <w:szCs w:val="24"/>
        </w:rPr>
        <w:t>be considered to be</w:t>
      </w:r>
      <w:proofErr w:type="gramEnd"/>
      <w:r w:rsidR="00E02044">
        <w:rPr>
          <w:rFonts w:ascii="Times New Roman" w:hAnsi="Times New Roman" w:cs="Times New Roman"/>
          <w:sz w:val="24"/>
          <w:szCs w:val="24"/>
        </w:rPr>
        <w:t xml:space="preserve"> different.  This is the way in which the test works.  These </w:t>
      </w:r>
      <w:r w:rsidR="006344C0">
        <w:rPr>
          <w:rFonts w:ascii="Times New Roman" w:hAnsi="Times New Roman" w:cs="Times New Roman"/>
          <w:sz w:val="24"/>
          <w:szCs w:val="24"/>
        </w:rPr>
        <w:t xml:space="preserve">thresholds are determined entirely by the size of the sample from which our data comes.  </w:t>
      </w:r>
    </w:p>
    <w:p w14:paraId="5132AE08" w14:textId="377E1C9E" w:rsidR="006344C0" w:rsidRDefault="006344C0" w:rsidP="007E7B4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18FF">
        <w:rPr>
          <w:rFonts w:ascii="Times New Roman" w:hAnsi="Times New Roman" w:cs="Times New Roman"/>
          <w:sz w:val="24"/>
          <w:szCs w:val="24"/>
        </w:rPr>
        <w:t xml:space="preserve">In this case, my project was </w:t>
      </w:r>
      <w:r w:rsidR="00AD5DBB">
        <w:rPr>
          <w:rFonts w:ascii="Times New Roman" w:hAnsi="Times New Roman" w:cs="Times New Roman"/>
          <w:sz w:val="24"/>
          <w:szCs w:val="24"/>
        </w:rPr>
        <w:t xml:space="preserve">originally about quantifying similarities between </w:t>
      </w:r>
      <w:r w:rsidR="001072BB">
        <w:rPr>
          <w:rFonts w:ascii="Times New Roman" w:hAnsi="Times New Roman" w:cs="Times New Roman"/>
          <w:sz w:val="24"/>
          <w:szCs w:val="24"/>
        </w:rPr>
        <w:t>the predictive models.  My focus was on the models implemented and developed by the Reich Lab such as KDE, KCDE, and SARIMA.</w:t>
      </w:r>
      <w:r w:rsidR="00432406">
        <w:rPr>
          <w:rFonts w:ascii="Times New Roman" w:hAnsi="Times New Roman" w:cs="Times New Roman"/>
          <w:sz w:val="24"/>
          <w:szCs w:val="24"/>
        </w:rPr>
        <w:t xml:space="preserve">  Therefore, I looked at the data from week 43 of 2017 to week 18 of 2018 and calculated Kolmogorov-Smirnov test statistics.  In the early stages of my project there was a crucial mistake that had to be corrected; I did not understand that the Kolmogorov-Smirnov test statistic was supposed to be calculated between the cumulative </w:t>
      </w:r>
      <w:r w:rsidR="00432406">
        <w:rPr>
          <w:rFonts w:ascii="Times New Roman" w:hAnsi="Times New Roman" w:cs="Times New Roman"/>
          <w:sz w:val="24"/>
          <w:szCs w:val="24"/>
        </w:rPr>
        <w:lastRenderedPageBreak/>
        <w:t xml:space="preserve">distribution functions.  Believing that it was the maximum difference between the probability mass and probability density functions, I implemented it as the maximum absolute magnitude of the difference between the PMFs rather than the CDFs of the two models respectively.  </w:t>
      </w:r>
    </w:p>
    <w:p w14:paraId="7C772F8D" w14:textId="0C1ADEFA" w:rsidR="00CA25AA" w:rsidRDefault="00432406" w:rsidP="007E7B4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7085B">
        <w:rPr>
          <w:rFonts w:ascii="Times New Roman" w:hAnsi="Times New Roman" w:cs="Times New Roman"/>
          <w:sz w:val="24"/>
          <w:szCs w:val="24"/>
        </w:rPr>
        <w:t xml:space="preserve">The way in which I implemented this test was quite simple – </w:t>
      </w:r>
      <w:r w:rsidR="006718B0">
        <w:rPr>
          <w:rFonts w:ascii="Times New Roman" w:hAnsi="Times New Roman" w:cs="Times New Roman"/>
          <w:sz w:val="24"/>
          <w:szCs w:val="24"/>
        </w:rPr>
        <w:t xml:space="preserve">within the .csv files of the real-time-component-models folder available on GitHub, there are point predictions (also included in my analysis) </w:t>
      </w:r>
      <w:r w:rsidR="009B5BC1">
        <w:rPr>
          <w:rFonts w:ascii="Times New Roman" w:hAnsi="Times New Roman" w:cs="Times New Roman"/>
          <w:sz w:val="24"/>
          <w:szCs w:val="24"/>
        </w:rPr>
        <w:t xml:space="preserve">for the actual %ILI (each year, the CDC collects data on reports of influenza-like illness in different US regions).  </w:t>
      </w:r>
      <w:r w:rsidR="00E04864">
        <w:rPr>
          <w:rFonts w:ascii="Times New Roman" w:hAnsi="Times New Roman" w:cs="Times New Roman"/>
          <w:sz w:val="24"/>
          <w:szCs w:val="24"/>
        </w:rPr>
        <w:t xml:space="preserve">What I looked at was exclusively the region labeled US National (I only looked at the total %ILI in the entire United States).  </w:t>
      </w:r>
      <w:proofErr w:type="gramStart"/>
      <w:r w:rsidR="00E04864">
        <w:rPr>
          <w:rFonts w:ascii="Times New Roman" w:hAnsi="Times New Roman" w:cs="Times New Roman"/>
          <w:sz w:val="24"/>
          <w:szCs w:val="24"/>
        </w:rPr>
        <w:t>Furthermore</w:t>
      </w:r>
      <w:proofErr w:type="gramEnd"/>
      <w:r w:rsidR="00E04864">
        <w:rPr>
          <w:rFonts w:ascii="Times New Roman" w:hAnsi="Times New Roman" w:cs="Times New Roman"/>
          <w:sz w:val="24"/>
          <w:szCs w:val="24"/>
        </w:rPr>
        <w:t xml:space="preserve"> my PMFs (and from there, </w:t>
      </w:r>
      <w:proofErr w:type="spellStart"/>
      <w:r w:rsidR="00E04864">
        <w:rPr>
          <w:rFonts w:ascii="Times New Roman" w:hAnsi="Times New Roman" w:cs="Times New Roman"/>
          <w:sz w:val="24"/>
          <w:szCs w:val="24"/>
        </w:rPr>
        <w:t>eCDFs</w:t>
      </w:r>
      <w:proofErr w:type="spellEnd"/>
      <w:r w:rsidR="00E04864">
        <w:rPr>
          <w:rFonts w:ascii="Times New Roman" w:hAnsi="Times New Roman" w:cs="Times New Roman"/>
          <w:sz w:val="24"/>
          <w:szCs w:val="24"/>
        </w:rPr>
        <w:t xml:space="preserve">) </w:t>
      </w:r>
      <w:r w:rsidR="007877AB">
        <w:rPr>
          <w:rFonts w:ascii="Times New Roman" w:hAnsi="Times New Roman" w:cs="Times New Roman"/>
          <w:sz w:val="24"/>
          <w:szCs w:val="24"/>
        </w:rPr>
        <w:t>were determined by the probabilities assigned to each bin; the models (KDE, for example)</w:t>
      </w:r>
      <w:r w:rsidR="00E7712A">
        <w:rPr>
          <w:rFonts w:ascii="Times New Roman" w:hAnsi="Times New Roman" w:cs="Times New Roman"/>
          <w:sz w:val="24"/>
          <w:szCs w:val="24"/>
        </w:rPr>
        <w:t xml:space="preserve"> were faced with four series of bins (one week, two weeks, three weeks, and four weeks ahead).  </w:t>
      </w:r>
      <w:r w:rsidR="00F222F5">
        <w:rPr>
          <w:rFonts w:ascii="Times New Roman" w:hAnsi="Times New Roman" w:cs="Times New Roman"/>
          <w:sz w:val="24"/>
          <w:szCs w:val="24"/>
        </w:rPr>
        <w:t xml:space="preserve">These bins </w:t>
      </w:r>
      <w:r w:rsidR="008023BB">
        <w:rPr>
          <w:rFonts w:ascii="Times New Roman" w:hAnsi="Times New Roman" w:cs="Times New Roman"/>
          <w:sz w:val="24"/>
          <w:szCs w:val="24"/>
        </w:rPr>
        <w:t xml:space="preserve">are </w:t>
      </w:r>
      <w:r w:rsidR="00F222F5">
        <w:rPr>
          <w:rFonts w:ascii="Times New Roman" w:hAnsi="Times New Roman" w:cs="Times New Roman"/>
          <w:sz w:val="24"/>
          <w:szCs w:val="24"/>
        </w:rPr>
        <w:t>associated with different outcomes and represented our predictive distributions</w:t>
      </w:r>
      <w:r w:rsidR="008023BB">
        <w:rPr>
          <w:rFonts w:ascii="Times New Roman" w:hAnsi="Times New Roman" w:cs="Times New Roman"/>
          <w:sz w:val="24"/>
          <w:szCs w:val="24"/>
        </w:rPr>
        <w:t xml:space="preserve"> – they capture the %ILI rounded to a single decimal place.  This means that for one week ahead</w:t>
      </w:r>
      <w:r w:rsidR="00CA25AA">
        <w:rPr>
          <w:rFonts w:ascii="Times New Roman" w:hAnsi="Times New Roman" w:cs="Times New Roman"/>
          <w:sz w:val="24"/>
          <w:szCs w:val="24"/>
        </w:rPr>
        <w:t xml:space="preserve"> (or four weeks ahead, etc.)</w:t>
      </w:r>
      <w:r w:rsidR="008023BB">
        <w:rPr>
          <w:rFonts w:ascii="Times New Roman" w:hAnsi="Times New Roman" w:cs="Times New Roman"/>
          <w:sz w:val="24"/>
          <w:szCs w:val="24"/>
        </w:rPr>
        <w:t>, the bins</w:t>
      </w:r>
      <w:r w:rsidR="00293AD7">
        <w:rPr>
          <w:rFonts w:ascii="Times New Roman" w:hAnsi="Times New Roman" w:cs="Times New Roman"/>
          <w:sz w:val="24"/>
          <w:szCs w:val="24"/>
        </w:rPr>
        <w:t xml:space="preserve"> – [0, 0.05), [0.05, 0.15), …, </w:t>
      </w:r>
      <w:r w:rsidR="00293AD7">
        <w:rPr>
          <w:rFonts w:ascii="Times New Roman" w:hAnsi="Times New Roman" w:cs="Times New Roman"/>
          <w:sz w:val="24"/>
          <w:szCs w:val="24"/>
        </w:rPr>
        <w:t>[</w:t>
      </w:r>
      <w:r w:rsidR="00293AD7">
        <w:rPr>
          <w:rFonts w:ascii="Times New Roman" w:hAnsi="Times New Roman" w:cs="Times New Roman"/>
          <w:sz w:val="24"/>
          <w:szCs w:val="24"/>
        </w:rPr>
        <w:t>12.9</w:t>
      </w:r>
      <w:r w:rsidR="00293AD7">
        <w:rPr>
          <w:rFonts w:ascii="Times New Roman" w:hAnsi="Times New Roman" w:cs="Times New Roman"/>
          <w:sz w:val="24"/>
          <w:szCs w:val="24"/>
        </w:rPr>
        <w:t xml:space="preserve">5, </w:t>
      </w:r>
      <w:r w:rsidR="00E81EBA">
        <w:rPr>
          <w:rFonts w:ascii="Times New Roman" w:hAnsi="Times New Roman" w:cs="Times New Roman"/>
          <w:sz w:val="24"/>
          <w:szCs w:val="24"/>
        </w:rPr>
        <w:t>13.0</w:t>
      </w:r>
      <w:r w:rsidR="00293AD7">
        <w:rPr>
          <w:rFonts w:ascii="Times New Roman" w:hAnsi="Times New Roman" w:cs="Times New Roman"/>
          <w:sz w:val="24"/>
          <w:szCs w:val="24"/>
        </w:rPr>
        <w:t>5)</w:t>
      </w:r>
      <w:r w:rsidR="00E81EBA">
        <w:rPr>
          <w:rFonts w:ascii="Times New Roman" w:hAnsi="Times New Roman" w:cs="Times New Roman"/>
          <w:sz w:val="24"/>
          <w:szCs w:val="24"/>
        </w:rPr>
        <w:t xml:space="preserve">, </w:t>
      </w:r>
      <w:r w:rsidR="00E81EBA">
        <w:rPr>
          <w:rFonts w:ascii="Times New Roman" w:hAnsi="Times New Roman" w:cs="Times New Roman"/>
          <w:sz w:val="24"/>
          <w:szCs w:val="24"/>
        </w:rPr>
        <w:t>[</w:t>
      </w:r>
      <w:r w:rsidR="00E81EBA">
        <w:rPr>
          <w:rFonts w:ascii="Times New Roman" w:hAnsi="Times New Roman" w:cs="Times New Roman"/>
          <w:sz w:val="24"/>
          <w:szCs w:val="24"/>
        </w:rPr>
        <w:t>13</w:t>
      </w:r>
      <w:r w:rsidR="00E81EBA">
        <w:rPr>
          <w:rFonts w:ascii="Times New Roman" w:hAnsi="Times New Roman" w:cs="Times New Roman"/>
          <w:sz w:val="24"/>
          <w:szCs w:val="24"/>
        </w:rPr>
        <w:t xml:space="preserve">.05, </w:t>
      </w:r>
      <w:r w:rsidR="00E81EBA" w:rsidRPr="00E81EBA">
        <w:rPr>
          <w:rFonts w:ascii="Times New Roman" w:hAnsi="Times New Roman" w:cs="Times New Roman"/>
          <w:sz w:val="24"/>
          <w:szCs w:val="24"/>
        </w:rPr>
        <w:t>∞</w:t>
      </w:r>
      <w:r w:rsidR="00E81EBA">
        <w:rPr>
          <w:rFonts w:ascii="Times New Roman" w:hAnsi="Times New Roman" w:cs="Times New Roman"/>
          <w:sz w:val="24"/>
          <w:szCs w:val="24"/>
        </w:rPr>
        <w:t>)</w:t>
      </w:r>
      <w:r w:rsidR="00CA25AA">
        <w:rPr>
          <w:rFonts w:ascii="Times New Roman" w:hAnsi="Times New Roman" w:cs="Times New Roman"/>
          <w:sz w:val="24"/>
          <w:szCs w:val="24"/>
        </w:rPr>
        <w:t xml:space="preserve"> are assigned probabilities which sum to 1</w:t>
      </w:r>
      <w:r w:rsidR="001F71BF">
        <w:rPr>
          <w:rStyle w:val="FootnoteReference"/>
          <w:rFonts w:ascii="Times New Roman" w:hAnsi="Times New Roman" w:cs="Times New Roman"/>
          <w:sz w:val="24"/>
          <w:szCs w:val="24"/>
        </w:rPr>
        <w:footnoteReference w:id="3"/>
      </w:r>
      <w:r w:rsidR="00CA25AA">
        <w:rPr>
          <w:rFonts w:ascii="Times New Roman" w:hAnsi="Times New Roman" w:cs="Times New Roman"/>
          <w:sz w:val="24"/>
          <w:szCs w:val="24"/>
        </w:rPr>
        <w:t xml:space="preserve">.  </w:t>
      </w:r>
    </w:p>
    <w:p w14:paraId="7ACEC125" w14:textId="58B56471" w:rsidR="00A42B9C" w:rsidRDefault="006D21EC" w:rsidP="007E7B4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essentially calculated the </w:t>
      </w:r>
      <w:proofErr w:type="spellStart"/>
      <w:r>
        <w:rPr>
          <w:rFonts w:ascii="Times New Roman" w:hAnsi="Times New Roman" w:cs="Times New Roman"/>
          <w:sz w:val="24"/>
          <w:szCs w:val="24"/>
        </w:rPr>
        <w:t>eCDFs</w:t>
      </w:r>
      <w:proofErr w:type="spellEnd"/>
      <w:r>
        <w:rPr>
          <w:rFonts w:ascii="Times New Roman" w:hAnsi="Times New Roman" w:cs="Times New Roman"/>
          <w:sz w:val="24"/>
          <w:szCs w:val="24"/>
        </w:rPr>
        <w:t xml:space="preserve"> by summing all the probabilities for each bin up to and including the current bin.  In this way I was able to generate a vector </w:t>
      </w:r>
      <w:r w:rsidR="00D54759">
        <w:rPr>
          <w:rFonts w:ascii="Times New Roman" w:hAnsi="Times New Roman" w:cs="Times New Roman"/>
          <w:sz w:val="24"/>
          <w:szCs w:val="24"/>
        </w:rPr>
        <w:t>with 131 values, each value of which corresponded to the y-value of the empirical CDF</w:t>
      </w:r>
      <w:r w:rsidR="0001677C">
        <w:rPr>
          <w:rFonts w:ascii="Times New Roman" w:hAnsi="Times New Roman" w:cs="Times New Roman"/>
          <w:sz w:val="24"/>
          <w:szCs w:val="24"/>
        </w:rPr>
        <w:t xml:space="preserve"> for </w:t>
      </w:r>
      <w:r w:rsidR="00634BEA">
        <w:rPr>
          <w:rFonts w:ascii="Times New Roman" w:hAnsi="Times New Roman" w:cs="Times New Roman"/>
          <w:sz w:val="24"/>
          <w:szCs w:val="24"/>
        </w:rPr>
        <w:t xml:space="preserve">131 </w:t>
      </w:r>
      <w:r w:rsidR="0001677C">
        <w:rPr>
          <w:rFonts w:ascii="Times New Roman" w:hAnsi="Times New Roman" w:cs="Times New Roman"/>
          <w:sz w:val="24"/>
          <w:szCs w:val="24"/>
        </w:rPr>
        <w:t>x-values defined by the first bin ([0, 0.05)</w:t>
      </w:r>
      <w:r w:rsidR="00634BEA">
        <w:rPr>
          <w:rFonts w:ascii="Times New Roman" w:hAnsi="Times New Roman" w:cs="Times New Roman"/>
          <w:sz w:val="24"/>
          <w:szCs w:val="24"/>
        </w:rPr>
        <w:t>), the second bin ([0.05, 0.15)), and so on.</w:t>
      </w:r>
      <w:r w:rsidR="001E2ACD">
        <w:rPr>
          <w:rFonts w:ascii="Times New Roman" w:hAnsi="Times New Roman" w:cs="Times New Roman"/>
          <w:sz w:val="24"/>
          <w:szCs w:val="24"/>
        </w:rPr>
        <w:t xml:space="preserve">  From there, I was able to use the abs and max functions in R to essentially derive what are Kolmogorov-Smirnov test statistics.</w:t>
      </w:r>
      <w:r w:rsidR="007C00AC">
        <w:rPr>
          <w:rFonts w:ascii="Times New Roman" w:hAnsi="Times New Roman" w:cs="Times New Roman"/>
          <w:sz w:val="24"/>
          <w:szCs w:val="24"/>
        </w:rPr>
        <w:t xml:space="preserve">  </w:t>
      </w:r>
    </w:p>
    <w:p w14:paraId="187A12A4" w14:textId="6E1E3A77" w:rsidR="00A01089" w:rsidRDefault="007C00AC" w:rsidP="007E7B4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Let’s say I was looking at one week ahead.  Since there are 28 weeks </w:t>
      </w:r>
      <w:r w:rsidR="005F420E">
        <w:rPr>
          <w:rFonts w:ascii="Times New Roman" w:hAnsi="Times New Roman" w:cs="Times New Roman"/>
          <w:sz w:val="24"/>
          <w:szCs w:val="24"/>
        </w:rPr>
        <w:t xml:space="preserve">(28 .csv files) </w:t>
      </w:r>
      <w:r>
        <w:rPr>
          <w:rFonts w:ascii="Times New Roman" w:hAnsi="Times New Roman" w:cs="Times New Roman"/>
          <w:sz w:val="24"/>
          <w:szCs w:val="24"/>
        </w:rPr>
        <w:t xml:space="preserve">between week 43 of 2017 and week 18 of 2018, I </w:t>
      </w:r>
      <w:proofErr w:type="gramStart"/>
      <w:r>
        <w:rPr>
          <w:rFonts w:ascii="Times New Roman" w:hAnsi="Times New Roman" w:cs="Times New Roman"/>
          <w:sz w:val="24"/>
          <w:szCs w:val="24"/>
        </w:rPr>
        <w:t>am able to</w:t>
      </w:r>
      <w:proofErr w:type="gramEnd"/>
      <w:r>
        <w:rPr>
          <w:rFonts w:ascii="Times New Roman" w:hAnsi="Times New Roman" w:cs="Times New Roman"/>
          <w:sz w:val="24"/>
          <w:szCs w:val="24"/>
        </w:rPr>
        <w:t xml:space="preserve"> derive 28 Kolmogorov-Smirnov test statistics derived from the </w:t>
      </w:r>
      <w:proofErr w:type="spellStart"/>
      <w:r>
        <w:rPr>
          <w:rFonts w:ascii="Times New Roman" w:hAnsi="Times New Roman" w:cs="Times New Roman"/>
          <w:sz w:val="24"/>
          <w:szCs w:val="24"/>
        </w:rPr>
        <w:t>eCDFs</w:t>
      </w:r>
      <w:proofErr w:type="spellEnd"/>
      <w:r>
        <w:rPr>
          <w:rFonts w:ascii="Times New Roman" w:hAnsi="Times New Roman" w:cs="Times New Roman"/>
          <w:sz w:val="24"/>
          <w:szCs w:val="24"/>
        </w:rPr>
        <w:t xml:space="preserve"> (which are derived from the PMFs of the predictive </w:t>
      </w:r>
      <w:r>
        <w:rPr>
          <w:rFonts w:ascii="Times New Roman" w:hAnsi="Times New Roman" w:cs="Times New Roman"/>
          <w:sz w:val="24"/>
          <w:szCs w:val="24"/>
        </w:rPr>
        <w:lastRenderedPageBreak/>
        <w:t>distributions’ probabilities assigned to all bins)</w:t>
      </w:r>
      <w:r w:rsidR="005F420E">
        <w:rPr>
          <w:rFonts w:ascii="Times New Roman" w:hAnsi="Times New Roman" w:cs="Times New Roman"/>
          <w:sz w:val="24"/>
          <w:szCs w:val="24"/>
        </w:rPr>
        <w:t>.</w:t>
      </w:r>
      <w:r w:rsidR="00500E2F">
        <w:rPr>
          <w:rFonts w:ascii="Times New Roman" w:hAnsi="Times New Roman" w:cs="Times New Roman"/>
          <w:sz w:val="24"/>
          <w:szCs w:val="24"/>
        </w:rPr>
        <w:t xml:space="preserve">  </w:t>
      </w:r>
      <w:r w:rsidR="003D5974">
        <w:rPr>
          <w:rFonts w:ascii="Times New Roman" w:hAnsi="Times New Roman" w:cs="Times New Roman"/>
          <w:sz w:val="24"/>
          <w:szCs w:val="24"/>
        </w:rPr>
        <w:t xml:space="preserve">Then, I can do the same for two weeks ahead, three weeks ahead, and four weeks ahead.  In this way, I </w:t>
      </w:r>
      <w:proofErr w:type="gramStart"/>
      <w:r w:rsidR="003D5974">
        <w:rPr>
          <w:rFonts w:ascii="Times New Roman" w:hAnsi="Times New Roman" w:cs="Times New Roman"/>
          <w:sz w:val="24"/>
          <w:szCs w:val="24"/>
        </w:rPr>
        <w:t xml:space="preserve">am </w:t>
      </w:r>
      <w:r w:rsidR="000C5D8E">
        <w:rPr>
          <w:rFonts w:ascii="Times New Roman" w:hAnsi="Times New Roman" w:cs="Times New Roman"/>
          <w:sz w:val="24"/>
          <w:szCs w:val="24"/>
        </w:rPr>
        <w:t>able to</w:t>
      </w:r>
      <w:proofErr w:type="gramEnd"/>
      <w:r w:rsidR="000C5D8E">
        <w:rPr>
          <w:rFonts w:ascii="Times New Roman" w:hAnsi="Times New Roman" w:cs="Times New Roman"/>
          <w:sz w:val="24"/>
          <w:szCs w:val="24"/>
        </w:rPr>
        <w:t xml:space="preserve"> create four graphs of Kolmogorov-Smirnov test statistics between two models of my choice (in this case, I mostly focused on comparing Reich Lab’s models).  The results are as follows:  </w:t>
      </w:r>
    </w:p>
    <w:p w14:paraId="3884715F" w14:textId="07D6BC47" w:rsidR="00C8002F" w:rsidRPr="00C8002F" w:rsidRDefault="00C8002F" w:rsidP="007E7B4E">
      <w:pPr>
        <w:spacing w:after="0" w:line="480" w:lineRule="auto"/>
        <w:jc w:val="center"/>
        <w:rPr>
          <w:rFonts w:ascii="Times New Roman" w:hAnsi="Times New Roman" w:cs="Times New Roman"/>
          <w:b/>
          <w:sz w:val="24"/>
          <w:szCs w:val="24"/>
        </w:rPr>
      </w:pPr>
      <w:r w:rsidRPr="00C8002F">
        <w:rPr>
          <w:rFonts w:ascii="Times New Roman" w:hAnsi="Times New Roman" w:cs="Times New Roman"/>
          <w:b/>
          <w:sz w:val="24"/>
          <w:szCs w:val="24"/>
        </w:rPr>
        <w:t>RESULTS:</w:t>
      </w:r>
    </w:p>
    <w:p w14:paraId="19E77449" w14:textId="223355E3" w:rsidR="00C8002F" w:rsidRDefault="006D39D1" w:rsidP="007E7B4E">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4B8BCDF" wp14:editId="7661AF77">
                <wp:simplePos x="0" y="0"/>
                <wp:positionH relativeFrom="margin">
                  <wp:align>left</wp:align>
                </wp:positionH>
                <wp:positionV relativeFrom="paragraph">
                  <wp:posOffset>45720</wp:posOffset>
                </wp:positionV>
                <wp:extent cx="6717030" cy="26670"/>
                <wp:effectExtent l="0" t="0" r="26670" b="30480"/>
                <wp:wrapNone/>
                <wp:docPr id="2" name="Straight Connector 2"/>
                <wp:cNvGraphicFramePr/>
                <a:graphic xmlns:a="http://schemas.openxmlformats.org/drawingml/2006/main">
                  <a:graphicData uri="http://schemas.microsoft.com/office/word/2010/wordprocessingShape">
                    <wps:wsp>
                      <wps:cNvCnPr/>
                      <wps:spPr>
                        <a:xfrm flipH="1">
                          <a:off x="0" y="0"/>
                          <a:ext cx="6717030" cy="26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EFF50" id="Straight Connector 2" o:spid="_x0000_s1026" style="position:absolute;flip:x;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pt" to="528.9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" strokecolor="#4472c4 [3204]" strokeweight=".5pt">
                <v:stroke joinstyle="miter"/>
                <w10:wrap anchorx="margin"/>
              </v:line>
            </w:pict>
          </mc:Fallback>
        </mc:AlternateContent>
      </w:r>
    </w:p>
    <w:p w14:paraId="11126534" w14:textId="50035A75" w:rsidR="00A01089" w:rsidRDefault="004F67F0" w:rsidP="007E7B4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3988">
        <w:rPr>
          <w:rFonts w:ascii="Times New Roman" w:hAnsi="Times New Roman" w:cs="Times New Roman"/>
          <w:sz w:val="24"/>
          <w:szCs w:val="24"/>
        </w:rPr>
        <w:t xml:space="preserve">As Steve said, the KDE model uses Kernel Density Estimation to </w:t>
      </w:r>
      <w:r w:rsidR="00AA6742">
        <w:rPr>
          <w:rFonts w:ascii="Times New Roman" w:hAnsi="Times New Roman" w:cs="Times New Roman"/>
          <w:sz w:val="24"/>
          <w:szCs w:val="24"/>
        </w:rPr>
        <w:t xml:space="preserve">find a distribution for each of the target number of weeks ahead.  </w:t>
      </w:r>
      <w:r w:rsidR="00FC23BE">
        <w:rPr>
          <w:rFonts w:ascii="Times New Roman" w:hAnsi="Times New Roman" w:cs="Times New Roman"/>
          <w:sz w:val="24"/>
          <w:szCs w:val="24"/>
        </w:rPr>
        <w:t>2017 being the first year for the ensemble model</w:t>
      </w:r>
      <w:r w:rsidR="00221167">
        <w:rPr>
          <w:rFonts w:ascii="Times New Roman" w:hAnsi="Times New Roman" w:cs="Times New Roman"/>
          <w:sz w:val="24"/>
          <w:szCs w:val="24"/>
        </w:rPr>
        <w:t xml:space="preserve">’s prediction-making (it was trained on prior years), it was quite difficult to locate data for previous </w:t>
      </w:r>
      <w:proofErr w:type="gramStart"/>
      <w:r w:rsidR="00221167">
        <w:rPr>
          <w:rFonts w:ascii="Times New Roman" w:hAnsi="Times New Roman" w:cs="Times New Roman"/>
          <w:sz w:val="24"/>
          <w:szCs w:val="24"/>
        </w:rPr>
        <w:t>years</w:t>
      </w:r>
      <w:proofErr w:type="gramEnd"/>
      <w:r w:rsidR="00221167">
        <w:rPr>
          <w:rFonts w:ascii="Times New Roman" w:hAnsi="Times New Roman" w:cs="Times New Roman"/>
          <w:sz w:val="24"/>
          <w:szCs w:val="24"/>
        </w:rPr>
        <w:t xml:space="preserve"> so my analysis focuses entirely on a 28-week window.  </w:t>
      </w:r>
      <w:r w:rsidR="003235CF">
        <w:rPr>
          <w:rFonts w:ascii="Times New Roman" w:hAnsi="Times New Roman" w:cs="Times New Roman"/>
          <w:sz w:val="24"/>
          <w:szCs w:val="24"/>
        </w:rPr>
        <w:t xml:space="preserve">Right now, I’m going to focus on the results that I have between KDE and KCDE.  </w:t>
      </w:r>
    </w:p>
    <w:p w14:paraId="3D53663B" w14:textId="2BB224AE" w:rsidR="0095641E" w:rsidRDefault="00A01089" w:rsidP="00E04CAD">
      <w:pPr>
        <w:spacing w:after="0" w:line="240" w:lineRule="auto"/>
        <w:rPr>
          <w:rFonts w:ascii="Times New Roman" w:hAnsi="Times New Roman" w:cs="Times New Roman"/>
          <w:sz w:val="24"/>
          <w:szCs w:val="24"/>
        </w:rPr>
      </w:pPr>
      <w:r w:rsidRPr="00A01089">
        <w:drawing>
          <wp:anchor distT="0" distB="0" distL="114300" distR="114300" simplePos="0" relativeHeight="251662336" behindDoc="0" locked="0" layoutInCell="1" allowOverlap="1" wp14:anchorId="2CED4D2D" wp14:editId="1A0B6C72">
            <wp:simplePos x="0" y="0"/>
            <wp:positionH relativeFrom="column">
              <wp:posOffset>0</wp:posOffset>
            </wp:positionH>
            <wp:positionV relativeFrom="paragraph">
              <wp:posOffset>0</wp:posOffset>
            </wp:positionV>
            <wp:extent cx="3040322" cy="2369775"/>
            <wp:effectExtent l="0" t="0" r="8255" b="0"/>
            <wp:wrapThrough wrapText="bothSides">
              <wp:wrapPolygon edited="0">
                <wp:start x="0" y="0"/>
                <wp:lineTo x="0" y="21363"/>
                <wp:lineTo x="21523" y="21363"/>
                <wp:lineTo x="2152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0322" cy="2369775"/>
                    </a:xfrm>
                    <a:prstGeom prst="rect">
                      <a:avLst/>
                    </a:prstGeom>
                  </pic:spPr>
                </pic:pic>
              </a:graphicData>
            </a:graphic>
            <wp14:sizeRelH relativeFrom="page">
              <wp14:pctWidth>0</wp14:pctWidth>
            </wp14:sizeRelH>
            <wp14:sizeRelV relativeFrom="page">
              <wp14:pctHeight>0</wp14:pctHeight>
            </wp14:sizeRelV>
          </wp:anchor>
        </w:drawing>
      </w:r>
      <w:r w:rsidR="000E7C75">
        <w:rPr>
          <w:rFonts w:ascii="Times New Roman" w:hAnsi="Times New Roman" w:cs="Times New Roman"/>
          <w:b/>
          <w:sz w:val="24"/>
          <w:szCs w:val="24"/>
        </w:rPr>
        <w:t>Figure 1.</w:t>
      </w:r>
      <w:r w:rsidR="000E7C75">
        <w:rPr>
          <w:rFonts w:ascii="Times New Roman" w:hAnsi="Times New Roman" w:cs="Times New Roman"/>
          <w:sz w:val="24"/>
          <w:szCs w:val="24"/>
        </w:rPr>
        <w:t xml:space="preserve">  The first graph represents the actual percent ILI recorded by the CDC</w:t>
      </w:r>
      <w:r w:rsidR="00BF52F4">
        <w:rPr>
          <w:rStyle w:val="FootnoteReference"/>
          <w:rFonts w:ascii="Times New Roman" w:hAnsi="Times New Roman" w:cs="Times New Roman"/>
          <w:sz w:val="24"/>
          <w:szCs w:val="24"/>
        </w:rPr>
        <w:footnoteReference w:id="4"/>
      </w:r>
      <w:r w:rsidR="000E7C75">
        <w:rPr>
          <w:rFonts w:ascii="Times New Roman" w:hAnsi="Times New Roman" w:cs="Times New Roman"/>
          <w:sz w:val="24"/>
          <w:szCs w:val="24"/>
        </w:rPr>
        <w:t xml:space="preserve">.  </w:t>
      </w:r>
      <w:r w:rsidR="00BF52F4">
        <w:rPr>
          <w:rFonts w:ascii="Times New Roman" w:hAnsi="Times New Roman" w:cs="Times New Roman"/>
          <w:sz w:val="24"/>
          <w:szCs w:val="24"/>
        </w:rPr>
        <w:t>The 43</w:t>
      </w:r>
      <w:r w:rsidR="00BF52F4" w:rsidRPr="00BF52F4">
        <w:rPr>
          <w:rFonts w:ascii="Times New Roman" w:hAnsi="Times New Roman" w:cs="Times New Roman"/>
          <w:sz w:val="24"/>
          <w:szCs w:val="24"/>
          <w:vertAlign w:val="superscript"/>
        </w:rPr>
        <w:t>rd</w:t>
      </w:r>
      <w:r w:rsidR="00BF52F4">
        <w:rPr>
          <w:rFonts w:ascii="Times New Roman" w:hAnsi="Times New Roman" w:cs="Times New Roman"/>
          <w:sz w:val="24"/>
          <w:szCs w:val="24"/>
        </w:rPr>
        <w:t xml:space="preserve"> week of 2017 would be October 23 to 29.  The 18</w:t>
      </w:r>
      <w:r w:rsidR="00BF52F4" w:rsidRPr="00BF52F4">
        <w:rPr>
          <w:rFonts w:ascii="Times New Roman" w:hAnsi="Times New Roman" w:cs="Times New Roman"/>
          <w:sz w:val="24"/>
          <w:szCs w:val="24"/>
          <w:vertAlign w:val="superscript"/>
        </w:rPr>
        <w:t>th</w:t>
      </w:r>
      <w:r w:rsidR="00BF52F4">
        <w:rPr>
          <w:rFonts w:ascii="Times New Roman" w:hAnsi="Times New Roman" w:cs="Times New Roman"/>
          <w:sz w:val="24"/>
          <w:szCs w:val="24"/>
        </w:rPr>
        <w:t xml:space="preserve"> week of 2018 would be </w:t>
      </w:r>
      <w:r w:rsidR="006E5C95">
        <w:rPr>
          <w:rFonts w:ascii="Times New Roman" w:hAnsi="Times New Roman" w:cs="Times New Roman"/>
          <w:sz w:val="24"/>
          <w:szCs w:val="24"/>
        </w:rPr>
        <w:t xml:space="preserve">April 30 to May 6.  </w:t>
      </w:r>
    </w:p>
    <w:p w14:paraId="6C35E972" w14:textId="77777777" w:rsidR="00E04CAD" w:rsidRDefault="00E04CAD" w:rsidP="00E04CAD">
      <w:pPr>
        <w:spacing w:after="0" w:line="240" w:lineRule="auto"/>
        <w:rPr>
          <w:rFonts w:ascii="Times New Roman" w:hAnsi="Times New Roman" w:cs="Times New Roman"/>
          <w:sz w:val="24"/>
          <w:szCs w:val="24"/>
        </w:rPr>
      </w:pPr>
    </w:p>
    <w:p w14:paraId="1D7563B5" w14:textId="006793F0" w:rsidR="000F6716" w:rsidRDefault="000F6716" w:rsidP="00E04CAD">
      <w:pPr>
        <w:spacing w:after="0" w:line="240" w:lineRule="auto"/>
        <w:rPr>
          <w:rFonts w:ascii="Times New Roman" w:hAnsi="Times New Roman" w:cs="Times New Roman"/>
          <w:sz w:val="24"/>
          <w:szCs w:val="24"/>
        </w:rPr>
      </w:pPr>
    </w:p>
    <w:p w14:paraId="20A30048" w14:textId="2B431699" w:rsidR="000F6716" w:rsidRPr="000F6716" w:rsidRDefault="000F6716" w:rsidP="00E04CAD">
      <w:pPr>
        <w:spacing w:after="0" w:line="240" w:lineRule="auto"/>
        <w:rPr>
          <w:rFonts w:ascii="Times New Roman" w:hAnsi="Times New Roman" w:cs="Times New Roman"/>
          <w:sz w:val="24"/>
          <w:szCs w:val="24"/>
        </w:rPr>
      </w:pPr>
      <w:r>
        <w:rPr>
          <w:rFonts w:ascii="Times New Roman" w:hAnsi="Times New Roman" w:cs="Times New Roman"/>
          <w:b/>
          <w:sz w:val="24"/>
          <w:szCs w:val="24"/>
        </w:rPr>
        <w:t>Figure 2.</w:t>
      </w:r>
      <w:r>
        <w:rPr>
          <w:rFonts w:ascii="Times New Roman" w:hAnsi="Times New Roman" w:cs="Times New Roman"/>
          <w:sz w:val="24"/>
          <w:szCs w:val="24"/>
        </w:rPr>
        <w:t xml:space="preserve">  </w:t>
      </w:r>
      <w:r w:rsidR="00C409D7">
        <w:rPr>
          <w:rFonts w:ascii="Times New Roman" w:hAnsi="Times New Roman" w:cs="Times New Roman"/>
          <w:sz w:val="24"/>
          <w:szCs w:val="24"/>
        </w:rPr>
        <w:t>Each model makes a point-value prediction for %ILI</w:t>
      </w:r>
      <w:r w:rsidR="003235CF">
        <w:rPr>
          <w:rFonts w:ascii="Times New Roman" w:hAnsi="Times New Roman" w:cs="Times New Roman"/>
          <w:sz w:val="24"/>
          <w:szCs w:val="24"/>
        </w:rPr>
        <w:t xml:space="preserve"> for X weeks ahead</w:t>
      </w:r>
      <w:r w:rsidR="00C409D7">
        <w:rPr>
          <w:rFonts w:ascii="Times New Roman" w:hAnsi="Times New Roman" w:cs="Times New Roman"/>
          <w:sz w:val="24"/>
          <w:szCs w:val="24"/>
        </w:rPr>
        <w:t>.</w:t>
      </w:r>
      <w:r w:rsidR="003235CF">
        <w:rPr>
          <w:rFonts w:ascii="Times New Roman" w:hAnsi="Times New Roman" w:cs="Times New Roman"/>
          <w:sz w:val="24"/>
          <w:szCs w:val="24"/>
        </w:rPr>
        <w:t xml:space="preserve">  </w:t>
      </w:r>
      <w:r w:rsidR="00357CBE">
        <w:rPr>
          <w:rFonts w:ascii="Times New Roman" w:hAnsi="Times New Roman" w:cs="Times New Roman"/>
          <w:sz w:val="24"/>
          <w:szCs w:val="24"/>
        </w:rPr>
        <w:t xml:space="preserve">Index 1 is </w:t>
      </w:r>
      <w:r w:rsidR="003235CF">
        <w:rPr>
          <w:rFonts w:ascii="Times New Roman" w:hAnsi="Times New Roman" w:cs="Times New Roman"/>
          <w:sz w:val="24"/>
          <w:szCs w:val="24"/>
        </w:rPr>
        <w:t xml:space="preserve">at </w:t>
      </w:r>
      <w:r w:rsidR="00357CBE">
        <w:rPr>
          <w:rFonts w:ascii="Times New Roman" w:hAnsi="Times New Roman" w:cs="Times New Roman"/>
          <w:sz w:val="24"/>
          <w:szCs w:val="24"/>
        </w:rPr>
        <w:t xml:space="preserve">week 43 of 2017.  Index 28 is </w:t>
      </w:r>
      <w:r w:rsidR="003235CF">
        <w:rPr>
          <w:rFonts w:ascii="Times New Roman" w:hAnsi="Times New Roman" w:cs="Times New Roman"/>
          <w:sz w:val="24"/>
          <w:szCs w:val="24"/>
        </w:rPr>
        <w:t xml:space="preserve">at </w:t>
      </w:r>
      <w:r w:rsidR="00357CBE">
        <w:rPr>
          <w:rFonts w:ascii="Times New Roman" w:hAnsi="Times New Roman" w:cs="Times New Roman"/>
          <w:sz w:val="24"/>
          <w:szCs w:val="24"/>
        </w:rPr>
        <w:t>week 18 of 2018.</w:t>
      </w:r>
      <w:r w:rsidR="003235CF">
        <w:rPr>
          <w:rFonts w:ascii="Times New Roman" w:hAnsi="Times New Roman" w:cs="Times New Roman"/>
          <w:sz w:val="24"/>
          <w:szCs w:val="24"/>
        </w:rPr>
        <w:t xml:space="preserve">  </w:t>
      </w:r>
    </w:p>
    <w:p w14:paraId="758C9EA9" w14:textId="77777777" w:rsidR="00A01089" w:rsidRDefault="00A01089" w:rsidP="007E7B4E">
      <w:pPr>
        <w:spacing w:after="0" w:line="480" w:lineRule="auto"/>
        <w:rPr>
          <w:rFonts w:ascii="Times New Roman" w:hAnsi="Times New Roman" w:cs="Times New Roman"/>
          <w:b/>
          <w:sz w:val="24"/>
          <w:szCs w:val="24"/>
        </w:rPr>
      </w:pPr>
    </w:p>
    <w:p w14:paraId="26F9EE1F" w14:textId="77777777" w:rsidR="00A01089" w:rsidRDefault="00A01089" w:rsidP="007E7B4E">
      <w:pPr>
        <w:spacing w:after="0" w:line="480" w:lineRule="auto"/>
        <w:rPr>
          <w:rFonts w:ascii="Times New Roman" w:hAnsi="Times New Roman" w:cs="Times New Roman"/>
          <w:b/>
          <w:sz w:val="24"/>
          <w:szCs w:val="24"/>
        </w:rPr>
      </w:pPr>
    </w:p>
    <w:p w14:paraId="3B228687" w14:textId="2B0F718B" w:rsidR="00A01089" w:rsidRDefault="00540BAB" w:rsidP="007E7B4E">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4E3908">
        <w:rPr>
          <w:rFonts w:ascii="Times New Roman" w:hAnsi="Times New Roman" w:cs="Times New Roman"/>
          <w:sz w:val="24"/>
          <w:szCs w:val="24"/>
        </w:rPr>
        <w:t>Steve also explained that</w:t>
      </w:r>
      <w:r>
        <w:rPr>
          <w:rFonts w:ascii="Times New Roman" w:hAnsi="Times New Roman" w:cs="Times New Roman"/>
          <w:sz w:val="24"/>
          <w:szCs w:val="24"/>
        </w:rPr>
        <w:t xml:space="preserve"> the KCDE model uses </w:t>
      </w:r>
      <w:r w:rsidR="00CA3FEF">
        <w:rPr>
          <w:rFonts w:ascii="Times New Roman" w:hAnsi="Times New Roman" w:cs="Times New Roman"/>
          <w:sz w:val="24"/>
          <w:szCs w:val="24"/>
        </w:rPr>
        <w:t xml:space="preserve">weighted </w:t>
      </w:r>
      <w:r>
        <w:rPr>
          <w:rFonts w:ascii="Times New Roman" w:hAnsi="Times New Roman" w:cs="Times New Roman"/>
          <w:sz w:val="24"/>
          <w:szCs w:val="24"/>
        </w:rPr>
        <w:t xml:space="preserve">Gaussian kernels (previous </w:t>
      </w:r>
      <w:r w:rsidR="00795AD1">
        <w:rPr>
          <w:rFonts w:ascii="Times New Roman" w:hAnsi="Times New Roman" w:cs="Times New Roman"/>
          <w:sz w:val="24"/>
          <w:szCs w:val="24"/>
        </w:rPr>
        <w:t>%</w:t>
      </w:r>
      <w:r>
        <w:rPr>
          <w:rFonts w:ascii="Times New Roman" w:hAnsi="Times New Roman" w:cs="Times New Roman"/>
          <w:sz w:val="24"/>
          <w:szCs w:val="24"/>
        </w:rPr>
        <w:t xml:space="preserve">ILI </w:t>
      </w:r>
      <w:r w:rsidR="00795AD1">
        <w:rPr>
          <w:rFonts w:ascii="Times New Roman" w:hAnsi="Times New Roman" w:cs="Times New Roman"/>
          <w:sz w:val="24"/>
          <w:szCs w:val="24"/>
        </w:rPr>
        <w:t xml:space="preserve">values) </w:t>
      </w:r>
      <w:r w:rsidR="00CA3FEF">
        <w:rPr>
          <w:rFonts w:ascii="Times New Roman" w:hAnsi="Times New Roman" w:cs="Times New Roman"/>
          <w:sz w:val="24"/>
          <w:szCs w:val="24"/>
        </w:rPr>
        <w:t xml:space="preserve">to determine the </w:t>
      </w:r>
      <w:r w:rsidR="00CB399D">
        <w:rPr>
          <w:rFonts w:ascii="Times New Roman" w:hAnsi="Times New Roman" w:cs="Times New Roman"/>
          <w:sz w:val="24"/>
          <w:szCs w:val="24"/>
        </w:rPr>
        <w:t xml:space="preserve">predicted %ILI for week X.  </w:t>
      </w:r>
      <w:r w:rsidR="00A060E0">
        <w:rPr>
          <w:rFonts w:ascii="Times New Roman" w:hAnsi="Times New Roman" w:cs="Times New Roman"/>
          <w:sz w:val="24"/>
          <w:szCs w:val="24"/>
        </w:rPr>
        <w:t>Kernel conditional density estimatio</w:t>
      </w:r>
      <w:r w:rsidR="00823CE0">
        <w:rPr>
          <w:rFonts w:ascii="Times New Roman" w:hAnsi="Times New Roman" w:cs="Times New Roman"/>
          <w:sz w:val="24"/>
          <w:szCs w:val="24"/>
        </w:rPr>
        <w:t xml:space="preserve">n was used to </w:t>
      </w:r>
      <w:r w:rsidR="001E0B16">
        <w:rPr>
          <w:rFonts w:ascii="Times New Roman" w:hAnsi="Times New Roman" w:cs="Times New Roman"/>
          <w:sz w:val="24"/>
          <w:szCs w:val="24"/>
        </w:rPr>
        <w:t xml:space="preserve">obtain separate predictive distributions for </w:t>
      </w:r>
      <w:r w:rsidR="00821D09">
        <w:rPr>
          <w:rFonts w:ascii="Times New Roman" w:hAnsi="Times New Roman" w:cs="Times New Roman"/>
          <w:sz w:val="24"/>
          <w:szCs w:val="24"/>
        </w:rPr>
        <w:t xml:space="preserve">flu incidence in each week of the flu season.  </w:t>
      </w:r>
      <w:r w:rsidR="00861E17">
        <w:rPr>
          <w:rFonts w:ascii="Times New Roman" w:hAnsi="Times New Roman" w:cs="Times New Roman"/>
          <w:sz w:val="24"/>
          <w:szCs w:val="24"/>
        </w:rPr>
        <w:t xml:space="preserve">The KCDE model bases its predictions on recent observations of incidence and </w:t>
      </w:r>
      <w:r w:rsidR="00861E17">
        <w:rPr>
          <w:rFonts w:ascii="Times New Roman" w:hAnsi="Times New Roman" w:cs="Times New Roman"/>
          <w:sz w:val="24"/>
          <w:szCs w:val="24"/>
        </w:rPr>
        <w:lastRenderedPageBreak/>
        <w:t>the current week of the season.</w:t>
      </w:r>
      <w:r w:rsidR="00592B9B">
        <w:rPr>
          <w:rFonts w:ascii="Times New Roman" w:hAnsi="Times New Roman" w:cs="Times New Roman"/>
          <w:sz w:val="24"/>
          <w:szCs w:val="24"/>
        </w:rPr>
        <w:t xml:space="preserve">  There are many ways to interpret the second graph.  One thing to note is that as both models extrapolate further into the future</w:t>
      </w:r>
      <w:r w:rsidR="00F54C01">
        <w:rPr>
          <w:rFonts w:ascii="Times New Roman" w:hAnsi="Times New Roman" w:cs="Times New Roman"/>
          <w:sz w:val="24"/>
          <w:szCs w:val="24"/>
        </w:rPr>
        <w:t xml:space="preserve"> (one week ahead to four weeks ahead)</w:t>
      </w:r>
      <w:r w:rsidR="00EA5BC3">
        <w:rPr>
          <w:rFonts w:ascii="Times New Roman" w:hAnsi="Times New Roman" w:cs="Times New Roman"/>
          <w:sz w:val="24"/>
          <w:szCs w:val="24"/>
        </w:rPr>
        <w:t xml:space="preserve">, their point-value predictions become more similar.  Another thing to note is that </w:t>
      </w:r>
      <w:r w:rsidR="00FE2972">
        <w:rPr>
          <w:rFonts w:ascii="Times New Roman" w:hAnsi="Times New Roman" w:cs="Times New Roman"/>
          <w:sz w:val="24"/>
          <w:szCs w:val="24"/>
        </w:rPr>
        <w:t xml:space="preserve">nearing the end of 2017, there is a sudden rise indicating that the KCDE model </w:t>
      </w:r>
      <w:r w:rsidR="007426C9">
        <w:rPr>
          <w:rFonts w:ascii="Times New Roman" w:hAnsi="Times New Roman" w:cs="Times New Roman"/>
          <w:sz w:val="24"/>
          <w:szCs w:val="24"/>
        </w:rPr>
        <w:t xml:space="preserve">makes a very high prediction for %ILI at 4 weeks ahead.  </w:t>
      </w:r>
      <w:r w:rsidR="00E75193">
        <w:rPr>
          <w:rFonts w:ascii="Times New Roman" w:hAnsi="Times New Roman" w:cs="Times New Roman"/>
          <w:sz w:val="24"/>
          <w:szCs w:val="24"/>
        </w:rPr>
        <w:t xml:space="preserve">More broadly, the differences decrease substantially right as 2017 ends, </w:t>
      </w:r>
      <w:r w:rsidR="00F54C01">
        <w:rPr>
          <w:rFonts w:ascii="Times New Roman" w:hAnsi="Times New Roman" w:cs="Times New Roman"/>
          <w:sz w:val="24"/>
          <w:szCs w:val="24"/>
        </w:rPr>
        <w:t xml:space="preserve">which means that the KCDE model behaves more similarly to the KDE model </w:t>
      </w:r>
      <w:proofErr w:type="gramStart"/>
      <w:r w:rsidR="00F54C01">
        <w:rPr>
          <w:rFonts w:ascii="Times New Roman" w:hAnsi="Times New Roman" w:cs="Times New Roman"/>
          <w:sz w:val="24"/>
          <w:szCs w:val="24"/>
        </w:rPr>
        <w:t>at this time</w:t>
      </w:r>
      <w:proofErr w:type="gramEnd"/>
      <w:r w:rsidR="00F54C01">
        <w:rPr>
          <w:rFonts w:ascii="Times New Roman" w:hAnsi="Times New Roman" w:cs="Times New Roman"/>
          <w:sz w:val="24"/>
          <w:szCs w:val="24"/>
        </w:rPr>
        <w:t xml:space="preserve"> of the year.  Another interesting thing to note is that right as the next year begins, their differences increase substantially for all weeks ahead.  </w:t>
      </w:r>
      <w:r w:rsidR="005F70BB">
        <w:rPr>
          <w:rFonts w:ascii="Times New Roman" w:hAnsi="Times New Roman" w:cs="Times New Roman"/>
          <w:sz w:val="24"/>
          <w:szCs w:val="24"/>
        </w:rPr>
        <w:t xml:space="preserve">This indicates that the start of the next year could play a greater role in the KCDE model’s weighting system for predicting the actual %ILI.  </w:t>
      </w:r>
      <w:r w:rsidR="005A3F0C">
        <w:rPr>
          <w:rFonts w:ascii="Times New Roman" w:hAnsi="Times New Roman" w:cs="Times New Roman"/>
          <w:sz w:val="24"/>
          <w:szCs w:val="24"/>
        </w:rPr>
        <w:t xml:space="preserve">Furthermore, larger values of actual %ILI seem to be correlated with larger differences in general.  </w:t>
      </w:r>
    </w:p>
    <w:p w14:paraId="74E9BD59" w14:textId="6CD6D8C6" w:rsidR="005A3F0C" w:rsidRDefault="005A3F0C" w:rsidP="007E7B4E">
      <w:pPr>
        <w:spacing w:after="0" w:line="480" w:lineRule="auto"/>
        <w:rPr>
          <w:rFonts w:ascii="Times New Roman" w:hAnsi="Times New Roman" w:cs="Times New Roman"/>
          <w:sz w:val="24"/>
          <w:szCs w:val="24"/>
        </w:rPr>
      </w:pPr>
    </w:p>
    <w:p w14:paraId="0947124D" w14:textId="0695DCE2" w:rsidR="003D5033" w:rsidRDefault="003D5033" w:rsidP="007E7B4E">
      <w:pPr>
        <w:spacing w:after="0" w:line="480" w:lineRule="auto"/>
        <w:rPr>
          <w:rFonts w:ascii="Times New Roman" w:hAnsi="Times New Roman" w:cs="Times New Roman"/>
          <w:sz w:val="24"/>
          <w:szCs w:val="24"/>
        </w:rPr>
      </w:pPr>
    </w:p>
    <w:p w14:paraId="3E477376" w14:textId="562559E5" w:rsidR="003D5033" w:rsidRDefault="003D5033" w:rsidP="007E7B4E">
      <w:pPr>
        <w:spacing w:after="0" w:line="480" w:lineRule="auto"/>
        <w:rPr>
          <w:rFonts w:ascii="Times New Roman" w:hAnsi="Times New Roman" w:cs="Times New Roman"/>
          <w:sz w:val="24"/>
          <w:szCs w:val="24"/>
        </w:rPr>
      </w:pPr>
    </w:p>
    <w:p w14:paraId="71F692D6" w14:textId="1B6C041F" w:rsidR="003D5033" w:rsidRDefault="003D5033" w:rsidP="007E7B4E">
      <w:pPr>
        <w:spacing w:after="0" w:line="480" w:lineRule="auto"/>
        <w:rPr>
          <w:rFonts w:ascii="Times New Roman" w:hAnsi="Times New Roman" w:cs="Times New Roman"/>
          <w:sz w:val="24"/>
          <w:szCs w:val="24"/>
        </w:rPr>
      </w:pPr>
    </w:p>
    <w:p w14:paraId="19E6CDCA" w14:textId="46717E85" w:rsidR="003D5033" w:rsidRDefault="003D5033" w:rsidP="007E7B4E">
      <w:pPr>
        <w:spacing w:after="0" w:line="480" w:lineRule="auto"/>
        <w:rPr>
          <w:rFonts w:ascii="Times New Roman" w:hAnsi="Times New Roman" w:cs="Times New Roman"/>
          <w:sz w:val="24"/>
          <w:szCs w:val="24"/>
        </w:rPr>
      </w:pPr>
    </w:p>
    <w:p w14:paraId="0B0FA0BE" w14:textId="71964621" w:rsidR="003D5033" w:rsidRDefault="003D5033" w:rsidP="007E7B4E">
      <w:pPr>
        <w:spacing w:after="0" w:line="480" w:lineRule="auto"/>
        <w:rPr>
          <w:rFonts w:ascii="Times New Roman" w:hAnsi="Times New Roman" w:cs="Times New Roman"/>
          <w:sz w:val="24"/>
          <w:szCs w:val="24"/>
        </w:rPr>
      </w:pPr>
    </w:p>
    <w:p w14:paraId="2D0D472B" w14:textId="716FF4BD" w:rsidR="003D5033" w:rsidRDefault="003D5033" w:rsidP="007E7B4E">
      <w:pPr>
        <w:spacing w:after="0" w:line="480" w:lineRule="auto"/>
        <w:rPr>
          <w:rFonts w:ascii="Times New Roman" w:hAnsi="Times New Roman" w:cs="Times New Roman"/>
          <w:sz w:val="24"/>
          <w:szCs w:val="24"/>
        </w:rPr>
      </w:pPr>
    </w:p>
    <w:p w14:paraId="6F0CF8BC" w14:textId="5FAF2AB9" w:rsidR="003D5033" w:rsidRDefault="003D5033" w:rsidP="007E7B4E">
      <w:pPr>
        <w:spacing w:after="0" w:line="480" w:lineRule="auto"/>
        <w:rPr>
          <w:rFonts w:ascii="Times New Roman" w:hAnsi="Times New Roman" w:cs="Times New Roman"/>
          <w:sz w:val="24"/>
          <w:szCs w:val="24"/>
        </w:rPr>
      </w:pPr>
    </w:p>
    <w:p w14:paraId="657E26F0" w14:textId="77777777" w:rsidR="00BA1591" w:rsidRDefault="003D5033" w:rsidP="00BA1591">
      <w:pPr>
        <w:spacing w:after="0" w:line="240" w:lineRule="auto"/>
        <w:rPr>
          <w:rFonts w:ascii="Times New Roman" w:hAnsi="Times New Roman" w:cs="Times New Roman"/>
          <w:sz w:val="24"/>
          <w:szCs w:val="24"/>
        </w:rPr>
      </w:pPr>
      <w:r>
        <w:rPr>
          <w:noProof/>
        </w:rPr>
        <w:lastRenderedPageBreak/>
        <w:drawing>
          <wp:anchor distT="0" distB="0" distL="114300" distR="114300" simplePos="0" relativeHeight="251663360" behindDoc="0" locked="0" layoutInCell="1" allowOverlap="1" wp14:anchorId="2300B61B" wp14:editId="266E18CF">
            <wp:simplePos x="0" y="0"/>
            <wp:positionH relativeFrom="column">
              <wp:posOffset>0</wp:posOffset>
            </wp:positionH>
            <wp:positionV relativeFrom="paragraph">
              <wp:posOffset>0</wp:posOffset>
            </wp:positionV>
            <wp:extent cx="3813810" cy="2972669"/>
            <wp:effectExtent l="0" t="0" r="0" b="0"/>
            <wp:wrapThrough wrapText="bothSides">
              <wp:wrapPolygon edited="0">
                <wp:start x="0" y="0"/>
                <wp:lineTo x="0" y="21457"/>
                <wp:lineTo x="21471" y="21457"/>
                <wp:lineTo x="2147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3810" cy="2972669"/>
                    </a:xfrm>
                    <a:prstGeom prst="rect">
                      <a:avLst/>
                    </a:prstGeom>
                  </pic:spPr>
                </pic:pic>
              </a:graphicData>
            </a:graphic>
            <wp14:sizeRelH relativeFrom="page">
              <wp14:pctWidth>0</wp14:pctWidth>
            </wp14:sizeRelH>
            <wp14:sizeRelV relativeFrom="page">
              <wp14:pctHeight>0</wp14:pctHeight>
            </wp14:sizeRelV>
          </wp:anchor>
        </w:drawing>
      </w:r>
      <w:r w:rsidR="007A1B07">
        <w:rPr>
          <w:rFonts w:ascii="Times New Roman" w:hAnsi="Times New Roman" w:cs="Times New Roman"/>
          <w:b/>
          <w:sz w:val="24"/>
          <w:szCs w:val="24"/>
        </w:rPr>
        <w:t>Figure 3.</w:t>
      </w:r>
      <w:r w:rsidR="007A1B07">
        <w:rPr>
          <w:rFonts w:ascii="Times New Roman" w:hAnsi="Times New Roman" w:cs="Times New Roman"/>
          <w:sz w:val="24"/>
          <w:szCs w:val="24"/>
        </w:rPr>
        <w:t xml:space="preserve">  These are the probability mass functions for each model respectively.</w:t>
      </w:r>
      <w:r w:rsidR="00BF2ADC">
        <w:rPr>
          <w:rFonts w:ascii="Times New Roman" w:hAnsi="Times New Roman" w:cs="Times New Roman"/>
          <w:sz w:val="24"/>
          <w:szCs w:val="24"/>
        </w:rPr>
        <w:t xml:space="preserve">  They are given for weeks 43 through </w:t>
      </w:r>
      <w:r w:rsidR="00E71861">
        <w:rPr>
          <w:rFonts w:ascii="Times New Roman" w:hAnsi="Times New Roman" w:cs="Times New Roman"/>
          <w:sz w:val="24"/>
          <w:szCs w:val="24"/>
        </w:rPr>
        <w:t xml:space="preserve">48, 2017.  1w KCDE, for example, describes the PMF for the KCDE model, one week ahead.  </w:t>
      </w:r>
    </w:p>
    <w:p w14:paraId="69C0E07E" w14:textId="77777777" w:rsidR="00BA1591" w:rsidRDefault="00BA1591" w:rsidP="00BA1591">
      <w:pPr>
        <w:spacing w:after="0" w:line="240" w:lineRule="auto"/>
        <w:rPr>
          <w:rFonts w:ascii="Times New Roman" w:hAnsi="Times New Roman" w:cs="Times New Roman"/>
          <w:sz w:val="24"/>
          <w:szCs w:val="24"/>
        </w:rPr>
      </w:pPr>
    </w:p>
    <w:p w14:paraId="3DE6120A" w14:textId="77777777" w:rsidR="00BA1591" w:rsidRDefault="00BA1591" w:rsidP="00BA1591">
      <w:pPr>
        <w:spacing w:after="0" w:line="240" w:lineRule="auto"/>
        <w:rPr>
          <w:rFonts w:ascii="Times New Roman" w:hAnsi="Times New Roman" w:cs="Times New Roman"/>
          <w:sz w:val="24"/>
          <w:szCs w:val="24"/>
        </w:rPr>
      </w:pPr>
    </w:p>
    <w:p w14:paraId="701271D0" w14:textId="77777777" w:rsidR="00BA1591" w:rsidRDefault="00BA1591" w:rsidP="00BA1591">
      <w:pPr>
        <w:spacing w:after="0" w:line="240" w:lineRule="auto"/>
        <w:rPr>
          <w:rFonts w:ascii="Times New Roman" w:hAnsi="Times New Roman" w:cs="Times New Roman"/>
          <w:sz w:val="24"/>
          <w:szCs w:val="24"/>
        </w:rPr>
      </w:pPr>
    </w:p>
    <w:p w14:paraId="70D647AC" w14:textId="77777777" w:rsidR="00BA1591" w:rsidRDefault="00BA1591" w:rsidP="00BA1591">
      <w:pPr>
        <w:spacing w:after="0" w:line="240" w:lineRule="auto"/>
        <w:rPr>
          <w:rFonts w:ascii="Times New Roman" w:hAnsi="Times New Roman" w:cs="Times New Roman"/>
          <w:sz w:val="24"/>
          <w:szCs w:val="24"/>
        </w:rPr>
      </w:pPr>
    </w:p>
    <w:p w14:paraId="7C330B4D" w14:textId="77777777" w:rsidR="00BA1591" w:rsidRDefault="00BA1591" w:rsidP="00BA1591">
      <w:pPr>
        <w:spacing w:after="0" w:line="240" w:lineRule="auto"/>
        <w:rPr>
          <w:rFonts w:ascii="Times New Roman" w:hAnsi="Times New Roman" w:cs="Times New Roman"/>
          <w:sz w:val="24"/>
          <w:szCs w:val="24"/>
        </w:rPr>
      </w:pPr>
    </w:p>
    <w:p w14:paraId="7E5C044C" w14:textId="77777777" w:rsidR="00BA1591" w:rsidRDefault="00BA1591" w:rsidP="00BA1591">
      <w:pPr>
        <w:spacing w:after="0" w:line="240" w:lineRule="auto"/>
        <w:rPr>
          <w:rFonts w:ascii="Times New Roman" w:hAnsi="Times New Roman" w:cs="Times New Roman"/>
          <w:sz w:val="24"/>
          <w:szCs w:val="24"/>
        </w:rPr>
      </w:pPr>
    </w:p>
    <w:p w14:paraId="32773DB0" w14:textId="77777777" w:rsidR="00BA1591" w:rsidRDefault="00BA1591" w:rsidP="00BA1591">
      <w:pPr>
        <w:spacing w:after="0" w:line="240" w:lineRule="auto"/>
        <w:rPr>
          <w:rFonts w:ascii="Times New Roman" w:hAnsi="Times New Roman" w:cs="Times New Roman"/>
          <w:sz w:val="24"/>
          <w:szCs w:val="24"/>
        </w:rPr>
      </w:pPr>
    </w:p>
    <w:p w14:paraId="7420EE21" w14:textId="77777777" w:rsidR="00BA1591" w:rsidRDefault="00BA1591" w:rsidP="00BA1591">
      <w:pPr>
        <w:spacing w:after="0" w:line="240" w:lineRule="auto"/>
        <w:rPr>
          <w:rFonts w:ascii="Times New Roman" w:hAnsi="Times New Roman" w:cs="Times New Roman"/>
          <w:sz w:val="24"/>
          <w:szCs w:val="24"/>
        </w:rPr>
      </w:pPr>
    </w:p>
    <w:p w14:paraId="26BA7825" w14:textId="77777777" w:rsidR="00BA1591" w:rsidRDefault="00BA1591" w:rsidP="00BA1591">
      <w:pPr>
        <w:spacing w:after="0" w:line="240" w:lineRule="auto"/>
        <w:rPr>
          <w:rFonts w:ascii="Times New Roman" w:hAnsi="Times New Roman" w:cs="Times New Roman"/>
          <w:sz w:val="24"/>
          <w:szCs w:val="24"/>
        </w:rPr>
      </w:pPr>
    </w:p>
    <w:p w14:paraId="203AF5B7" w14:textId="77777777" w:rsidR="00BD26F2" w:rsidRDefault="00BD26F2" w:rsidP="007330D7">
      <w:pPr>
        <w:spacing w:after="0" w:line="480" w:lineRule="auto"/>
        <w:ind w:firstLine="720"/>
        <w:rPr>
          <w:rFonts w:ascii="Times New Roman" w:hAnsi="Times New Roman" w:cs="Times New Roman"/>
          <w:sz w:val="24"/>
          <w:szCs w:val="24"/>
        </w:rPr>
      </w:pPr>
    </w:p>
    <w:p w14:paraId="70D489D9" w14:textId="4B79F1B8" w:rsidR="000F7FA3" w:rsidRDefault="00E407CF" w:rsidP="007330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we can see, the KCDE model has a substantial spike for the end of 2017.  As shown by the previous graph of point-value predictions, this </w:t>
      </w:r>
      <w:r w:rsidR="0092479B">
        <w:rPr>
          <w:rFonts w:ascii="Times New Roman" w:hAnsi="Times New Roman" w:cs="Times New Roman"/>
          <w:sz w:val="24"/>
          <w:szCs w:val="24"/>
        </w:rPr>
        <w:t xml:space="preserve">graph basically shows that </w:t>
      </w:r>
      <w:r w:rsidR="004E6DEA">
        <w:rPr>
          <w:rFonts w:ascii="Times New Roman" w:hAnsi="Times New Roman" w:cs="Times New Roman"/>
          <w:sz w:val="24"/>
          <w:szCs w:val="24"/>
        </w:rPr>
        <w:t>as the beginning of the next year approaches, the KCDE model behaves more similarly to the KDE.</w:t>
      </w:r>
      <w:r w:rsidR="007330D7">
        <w:rPr>
          <w:rFonts w:ascii="Times New Roman" w:hAnsi="Times New Roman" w:cs="Times New Roman"/>
          <w:sz w:val="24"/>
          <w:szCs w:val="24"/>
        </w:rPr>
        <w:t xml:space="preserve">  </w:t>
      </w:r>
      <w:r w:rsidR="004E6DEA">
        <w:rPr>
          <w:rFonts w:ascii="Times New Roman" w:hAnsi="Times New Roman" w:cs="Times New Roman"/>
          <w:sz w:val="24"/>
          <w:szCs w:val="24"/>
        </w:rPr>
        <w:t xml:space="preserve">Why is this the case?  As I said in my conversation with Steve earlier, the </w:t>
      </w:r>
      <w:r w:rsidR="000F7FA3">
        <w:rPr>
          <w:rFonts w:ascii="Times New Roman" w:hAnsi="Times New Roman" w:cs="Times New Roman"/>
          <w:sz w:val="24"/>
          <w:szCs w:val="24"/>
        </w:rPr>
        <w:t xml:space="preserve">KCDE model will put more weight on the seasonal average when it encounters less certainty.  Since the seasonal average is covered by the KDE model, it makes sense that the models would have more similar behavior when the KCDE model perceives less certainty.  </w:t>
      </w:r>
    </w:p>
    <w:p w14:paraId="78D90D5F" w14:textId="0605A567" w:rsidR="000F7FA3" w:rsidRDefault="000F7FA3" w:rsidP="007E7B4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C44BB">
        <w:rPr>
          <w:rFonts w:ascii="Times New Roman" w:hAnsi="Times New Roman" w:cs="Times New Roman"/>
          <w:sz w:val="24"/>
          <w:szCs w:val="24"/>
        </w:rPr>
        <w:t xml:space="preserve">As we know, KDE makes different predictions </w:t>
      </w:r>
      <w:r w:rsidR="00DF46A5">
        <w:rPr>
          <w:rFonts w:ascii="Times New Roman" w:hAnsi="Times New Roman" w:cs="Times New Roman"/>
          <w:sz w:val="24"/>
          <w:szCs w:val="24"/>
        </w:rPr>
        <w:t xml:space="preserve">for say, week 50 when the time-zero is week 43 or 44, etc.  </w:t>
      </w:r>
      <w:r w:rsidR="001B55E2">
        <w:rPr>
          <w:rFonts w:ascii="Times New Roman" w:hAnsi="Times New Roman" w:cs="Times New Roman"/>
          <w:sz w:val="24"/>
          <w:szCs w:val="24"/>
        </w:rPr>
        <w:t xml:space="preserve">But these predictions are very close.  </w:t>
      </w:r>
    </w:p>
    <w:p w14:paraId="7ED8E458" w14:textId="0B41D76A" w:rsidR="003214BF" w:rsidRDefault="003214BF" w:rsidP="007E7B4E">
      <w:pPr>
        <w:spacing w:after="0" w:line="480" w:lineRule="auto"/>
        <w:rPr>
          <w:noProof/>
        </w:rPr>
      </w:pPr>
    </w:p>
    <w:p w14:paraId="77F1A3CB" w14:textId="6B6D2C93" w:rsidR="001D20F5" w:rsidRDefault="001D20F5" w:rsidP="007E7B4E">
      <w:pPr>
        <w:spacing w:after="0" w:line="480" w:lineRule="auto"/>
        <w:rPr>
          <w:rFonts w:ascii="Times New Roman" w:hAnsi="Times New Roman" w:cs="Times New Roman"/>
          <w:sz w:val="24"/>
          <w:szCs w:val="24"/>
        </w:rPr>
      </w:pPr>
    </w:p>
    <w:p w14:paraId="5653F345" w14:textId="6DA87F3F" w:rsidR="001D20F5" w:rsidRDefault="001D20F5" w:rsidP="007E7B4E">
      <w:pPr>
        <w:spacing w:after="0" w:line="480" w:lineRule="auto"/>
        <w:rPr>
          <w:rFonts w:ascii="Times New Roman" w:hAnsi="Times New Roman" w:cs="Times New Roman"/>
          <w:sz w:val="24"/>
          <w:szCs w:val="24"/>
        </w:rPr>
      </w:pPr>
    </w:p>
    <w:p w14:paraId="74268447" w14:textId="04AD8352" w:rsidR="001D20F5" w:rsidRDefault="001D20F5" w:rsidP="007E7B4E">
      <w:pPr>
        <w:spacing w:after="0" w:line="480" w:lineRule="auto"/>
        <w:rPr>
          <w:rFonts w:ascii="Times New Roman" w:hAnsi="Times New Roman" w:cs="Times New Roman"/>
          <w:sz w:val="24"/>
          <w:szCs w:val="24"/>
        </w:rPr>
      </w:pPr>
    </w:p>
    <w:p w14:paraId="0F938715" w14:textId="29B1DD23" w:rsidR="001D20F5" w:rsidRDefault="001D20F5" w:rsidP="007E7B4E">
      <w:pPr>
        <w:spacing w:after="0" w:line="480" w:lineRule="auto"/>
        <w:rPr>
          <w:rFonts w:ascii="Times New Roman" w:hAnsi="Times New Roman" w:cs="Times New Roman"/>
          <w:sz w:val="24"/>
          <w:szCs w:val="24"/>
        </w:rPr>
      </w:pPr>
    </w:p>
    <w:p w14:paraId="277D5D82" w14:textId="0F791D3F" w:rsidR="001D20F5" w:rsidRDefault="001D20F5" w:rsidP="007E7B4E">
      <w:pPr>
        <w:spacing w:after="0" w:line="480" w:lineRule="auto"/>
        <w:rPr>
          <w:rFonts w:ascii="Times New Roman" w:hAnsi="Times New Roman" w:cs="Times New Roman"/>
          <w:sz w:val="24"/>
          <w:szCs w:val="24"/>
        </w:rPr>
      </w:pPr>
    </w:p>
    <w:p w14:paraId="32C3A7B4" w14:textId="005BBB93" w:rsidR="001D20F5" w:rsidRDefault="001D20F5" w:rsidP="008029F8">
      <w:pPr>
        <w:spacing w:after="0" w:line="240" w:lineRule="auto"/>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0A46C5DA" wp14:editId="5C8EAAAB">
            <wp:simplePos x="0" y="0"/>
            <wp:positionH relativeFrom="margin">
              <wp:align>left</wp:align>
            </wp:positionH>
            <wp:positionV relativeFrom="paragraph">
              <wp:posOffset>11430</wp:posOffset>
            </wp:positionV>
            <wp:extent cx="3947795" cy="4279265"/>
            <wp:effectExtent l="0" t="0" r="0" b="6985"/>
            <wp:wrapThrough wrapText="bothSides">
              <wp:wrapPolygon edited="0">
                <wp:start x="0" y="0"/>
                <wp:lineTo x="0" y="21539"/>
                <wp:lineTo x="21471" y="21539"/>
                <wp:lineTo x="2147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47795" cy="42792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 xml:space="preserve">Figure 4. </w:t>
      </w:r>
      <w:r>
        <w:rPr>
          <w:rFonts w:ascii="Times New Roman" w:hAnsi="Times New Roman" w:cs="Times New Roman"/>
          <w:sz w:val="24"/>
          <w:szCs w:val="24"/>
        </w:rPr>
        <w:t xml:space="preserve"> For these plots, I </w:t>
      </w:r>
      <w:r w:rsidR="008029F8">
        <w:rPr>
          <w:rFonts w:ascii="Times New Roman" w:hAnsi="Times New Roman" w:cs="Times New Roman"/>
          <w:sz w:val="24"/>
          <w:szCs w:val="24"/>
        </w:rPr>
        <w:t xml:space="preserve">looked at each individual bin </w:t>
      </w:r>
      <w:r w:rsidR="005F51E5">
        <w:rPr>
          <w:rFonts w:ascii="Times New Roman" w:hAnsi="Times New Roman" w:cs="Times New Roman"/>
          <w:sz w:val="24"/>
          <w:szCs w:val="24"/>
        </w:rPr>
        <w:t xml:space="preserve">and found the magnitude of the difference between the probabilities that each model (KCDE and KDE) assigned to it.  </w:t>
      </w:r>
      <w:r w:rsidR="0003001A">
        <w:rPr>
          <w:rFonts w:ascii="Times New Roman" w:hAnsi="Times New Roman" w:cs="Times New Roman"/>
          <w:sz w:val="24"/>
          <w:szCs w:val="24"/>
        </w:rPr>
        <w:t xml:space="preserve">For the </w:t>
      </w:r>
      <w:r w:rsidR="005F51E5">
        <w:rPr>
          <w:rFonts w:ascii="Times New Roman" w:hAnsi="Times New Roman" w:cs="Times New Roman"/>
          <w:sz w:val="24"/>
          <w:szCs w:val="24"/>
        </w:rPr>
        <w:t xml:space="preserve">I asked the question, over all bins what is the maximum difference of this type?  </w:t>
      </w:r>
      <w:r w:rsidR="00277EA8">
        <w:rPr>
          <w:rFonts w:ascii="Times New Roman" w:hAnsi="Times New Roman" w:cs="Times New Roman"/>
          <w:sz w:val="24"/>
          <w:szCs w:val="24"/>
        </w:rPr>
        <w:t xml:space="preserve">The second plot portrays </w:t>
      </w:r>
      <w:r w:rsidR="00D51B08">
        <w:rPr>
          <w:rFonts w:ascii="Times New Roman" w:hAnsi="Times New Roman" w:cs="Times New Roman"/>
          <w:sz w:val="24"/>
          <w:szCs w:val="24"/>
        </w:rPr>
        <w:t xml:space="preserve">the </w:t>
      </w:r>
      <w:r w:rsidR="00734CA3">
        <w:rPr>
          <w:rFonts w:ascii="Times New Roman" w:hAnsi="Times New Roman" w:cs="Times New Roman"/>
          <w:sz w:val="24"/>
          <w:szCs w:val="24"/>
        </w:rPr>
        <w:t xml:space="preserve">isolated maximum difference for one week ahead.  Because it was not useful for analysis purposes, the window excludes those points that are log-transformed (the log-transformed y-variable is likely to be negative and is not displayed in the plot although it is included in the actual graph).  </w:t>
      </w:r>
      <w:r w:rsidR="00AA6B49">
        <w:rPr>
          <w:rFonts w:ascii="Times New Roman" w:hAnsi="Times New Roman" w:cs="Times New Roman"/>
          <w:sz w:val="24"/>
          <w:szCs w:val="24"/>
        </w:rPr>
        <w:t xml:space="preserve">The third plot describes these maximum differences not against the time of year (week) but against the </w:t>
      </w:r>
      <w:r w:rsidR="00827E72">
        <w:rPr>
          <w:rFonts w:ascii="Times New Roman" w:hAnsi="Times New Roman" w:cs="Times New Roman"/>
          <w:sz w:val="24"/>
          <w:szCs w:val="24"/>
        </w:rPr>
        <w:t xml:space="preserve">CDC’s </w:t>
      </w:r>
      <w:r w:rsidR="00AA6B49">
        <w:rPr>
          <w:rFonts w:ascii="Times New Roman" w:hAnsi="Times New Roman" w:cs="Times New Roman"/>
          <w:sz w:val="24"/>
          <w:szCs w:val="24"/>
        </w:rPr>
        <w:t>weighted %ILI</w:t>
      </w:r>
      <w:r w:rsidR="00827E72">
        <w:rPr>
          <w:rFonts w:ascii="Times New Roman" w:hAnsi="Times New Roman" w:cs="Times New Roman"/>
          <w:sz w:val="24"/>
          <w:szCs w:val="24"/>
        </w:rPr>
        <w:t xml:space="preserve">.  </w:t>
      </w:r>
    </w:p>
    <w:p w14:paraId="5A3795CC" w14:textId="77777777" w:rsidR="00827E72" w:rsidRDefault="00827E72" w:rsidP="008029F8">
      <w:pPr>
        <w:spacing w:after="0" w:line="240" w:lineRule="auto"/>
        <w:rPr>
          <w:rFonts w:ascii="Times New Roman" w:hAnsi="Times New Roman" w:cs="Times New Roman"/>
          <w:sz w:val="24"/>
          <w:szCs w:val="24"/>
        </w:rPr>
      </w:pPr>
    </w:p>
    <w:p w14:paraId="6EC10E87" w14:textId="10412280" w:rsidR="00B729C3" w:rsidRDefault="00B729C3" w:rsidP="009A564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C3CE3">
        <w:rPr>
          <w:rFonts w:ascii="Times New Roman" w:hAnsi="Times New Roman" w:cs="Times New Roman"/>
          <w:sz w:val="24"/>
          <w:szCs w:val="24"/>
        </w:rPr>
        <w:t xml:space="preserve">As </w:t>
      </w:r>
      <w:r w:rsidR="00B517DF">
        <w:rPr>
          <w:rFonts w:ascii="Times New Roman" w:hAnsi="Times New Roman" w:cs="Times New Roman"/>
          <w:sz w:val="24"/>
          <w:szCs w:val="24"/>
        </w:rPr>
        <w:t xml:space="preserve">with the actual Kolmogorov-Smirnov test statistics, looking at the maximum difference across the probabilities assigned to each bin yields some insightful information.  As before, </w:t>
      </w:r>
      <w:r w:rsidR="00F550AF">
        <w:rPr>
          <w:rFonts w:ascii="Times New Roman" w:hAnsi="Times New Roman" w:cs="Times New Roman"/>
          <w:sz w:val="24"/>
          <w:szCs w:val="24"/>
        </w:rPr>
        <w:t>the models KDE and KCDE become much more similar as they go from predicting 1 week ahead to 4 weeks ahead.</w:t>
      </w:r>
      <w:r w:rsidR="009504CE">
        <w:rPr>
          <w:rFonts w:ascii="Times New Roman" w:hAnsi="Times New Roman" w:cs="Times New Roman"/>
          <w:sz w:val="24"/>
          <w:szCs w:val="24"/>
        </w:rPr>
        <w:t xml:space="preserve">  The KCDE and KDE models are constructed on the same basis of kernel density estimation.  This means that, as Steve and I have concluded, </w:t>
      </w:r>
      <w:r w:rsidR="00E62B2B">
        <w:rPr>
          <w:rFonts w:ascii="Times New Roman" w:hAnsi="Times New Roman" w:cs="Times New Roman"/>
          <w:sz w:val="24"/>
          <w:szCs w:val="24"/>
        </w:rPr>
        <w:t xml:space="preserve">Gaussian distributions surrounding different kernels from past years’ information about percent %ILI at each week of the year are used </w:t>
      </w:r>
      <w:proofErr w:type="gramStart"/>
      <w:r w:rsidR="00E62B2B">
        <w:rPr>
          <w:rFonts w:ascii="Times New Roman" w:hAnsi="Times New Roman" w:cs="Times New Roman"/>
          <w:sz w:val="24"/>
          <w:szCs w:val="24"/>
        </w:rPr>
        <w:t>in order to</w:t>
      </w:r>
      <w:proofErr w:type="gramEnd"/>
      <w:r w:rsidR="00E62B2B">
        <w:rPr>
          <w:rFonts w:ascii="Times New Roman" w:hAnsi="Times New Roman" w:cs="Times New Roman"/>
          <w:sz w:val="24"/>
          <w:szCs w:val="24"/>
        </w:rPr>
        <w:t xml:space="preserve"> estimate the </w:t>
      </w:r>
      <w:r w:rsidR="002741AA">
        <w:rPr>
          <w:rFonts w:ascii="Times New Roman" w:hAnsi="Times New Roman" w:cs="Times New Roman"/>
          <w:sz w:val="24"/>
          <w:szCs w:val="24"/>
        </w:rPr>
        <w:t xml:space="preserve">density of the </w:t>
      </w:r>
      <w:r w:rsidR="005F343E">
        <w:rPr>
          <w:rFonts w:ascii="Times New Roman" w:hAnsi="Times New Roman" w:cs="Times New Roman"/>
          <w:sz w:val="24"/>
          <w:szCs w:val="24"/>
        </w:rPr>
        <w:t xml:space="preserve">occurrences of percent %ILIs at particular times of the year.  This density is continuous and thus can be used to estimate the probabilities to assign to %ILI for the upcoming flu season.  Of course, there is one </w:t>
      </w:r>
      <w:r w:rsidR="005F343E">
        <w:rPr>
          <w:rFonts w:ascii="Times New Roman" w:hAnsi="Times New Roman" w:cs="Times New Roman"/>
          <w:sz w:val="24"/>
          <w:szCs w:val="24"/>
        </w:rPr>
        <w:lastRenderedPageBreak/>
        <w:t xml:space="preserve">crucial difference that is described by the “conditional” aspect of the KCDE model.  This conditionality </w:t>
      </w:r>
      <w:r w:rsidR="00A54BB4">
        <w:rPr>
          <w:rFonts w:ascii="Times New Roman" w:hAnsi="Times New Roman" w:cs="Times New Roman"/>
          <w:sz w:val="24"/>
          <w:szCs w:val="24"/>
        </w:rPr>
        <w:t>means that the predictive distributions are not only affected by the density of %ILIs as determined by Gaussian distributions surrounding kernels</w:t>
      </w:r>
      <w:r w:rsidR="00C845DF">
        <w:rPr>
          <w:rFonts w:ascii="Times New Roman" w:hAnsi="Times New Roman" w:cs="Times New Roman"/>
          <w:sz w:val="24"/>
          <w:szCs w:val="24"/>
        </w:rPr>
        <w:t>.  They are conditional on recent observations of flu incidence and the current week of the season</w:t>
      </w:r>
      <w:r w:rsidR="001F4975">
        <w:rPr>
          <w:rStyle w:val="FootnoteReference"/>
          <w:rFonts w:ascii="Times New Roman" w:hAnsi="Times New Roman" w:cs="Times New Roman"/>
          <w:sz w:val="24"/>
          <w:szCs w:val="24"/>
        </w:rPr>
        <w:footnoteReference w:id="5"/>
      </w:r>
      <w:r w:rsidR="00C845DF">
        <w:rPr>
          <w:rFonts w:ascii="Times New Roman" w:hAnsi="Times New Roman" w:cs="Times New Roman"/>
          <w:sz w:val="24"/>
          <w:szCs w:val="24"/>
        </w:rPr>
        <w:t xml:space="preserve">.  Now, </w:t>
      </w:r>
      <w:r w:rsidR="007A7BF0">
        <w:rPr>
          <w:rFonts w:ascii="Times New Roman" w:hAnsi="Times New Roman" w:cs="Times New Roman"/>
          <w:sz w:val="24"/>
          <w:szCs w:val="24"/>
        </w:rPr>
        <w:t xml:space="preserve">what these graphs show (and the following graphs also confirm) is that the KCDE model recognizes that it can rely less on recent observations of flu incidence when it is making predictions further into the future from the time-zero.  </w:t>
      </w:r>
      <w:r w:rsidR="00861FD4">
        <w:rPr>
          <w:rFonts w:ascii="Times New Roman" w:hAnsi="Times New Roman" w:cs="Times New Roman"/>
          <w:sz w:val="24"/>
          <w:szCs w:val="24"/>
        </w:rPr>
        <w:t xml:space="preserve">The current week of the season, of course, does not change so we can make this inference.  </w:t>
      </w:r>
    </w:p>
    <w:p w14:paraId="2DD542CC" w14:textId="4BF3B66E" w:rsidR="00101A2E" w:rsidRDefault="009F72DF" w:rsidP="00711E04">
      <w:pPr>
        <w:spacing w:after="0" w:line="24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79ED649E" wp14:editId="4C11C93F">
            <wp:simplePos x="0" y="0"/>
            <wp:positionH relativeFrom="column">
              <wp:posOffset>0</wp:posOffset>
            </wp:positionH>
            <wp:positionV relativeFrom="paragraph">
              <wp:posOffset>0</wp:posOffset>
            </wp:positionV>
            <wp:extent cx="4206876" cy="4560084"/>
            <wp:effectExtent l="0" t="0" r="3175" b="0"/>
            <wp:wrapThrough wrapText="bothSides">
              <wp:wrapPolygon edited="0">
                <wp:start x="0" y="0"/>
                <wp:lineTo x="0" y="21477"/>
                <wp:lineTo x="21518" y="21477"/>
                <wp:lineTo x="2151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06876" cy="4560084"/>
                    </a:xfrm>
                    <a:prstGeom prst="rect">
                      <a:avLst/>
                    </a:prstGeom>
                  </pic:spPr>
                </pic:pic>
              </a:graphicData>
            </a:graphic>
            <wp14:sizeRelH relativeFrom="page">
              <wp14:pctWidth>0</wp14:pctWidth>
            </wp14:sizeRelH>
            <wp14:sizeRelV relativeFrom="page">
              <wp14:pctHeight>0</wp14:pctHeight>
            </wp14:sizeRelV>
          </wp:anchor>
        </w:drawing>
      </w:r>
      <w:r w:rsidR="00185FFA">
        <w:rPr>
          <w:rFonts w:ascii="Times New Roman" w:hAnsi="Times New Roman" w:cs="Times New Roman"/>
          <w:b/>
          <w:sz w:val="24"/>
          <w:szCs w:val="24"/>
        </w:rPr>
        <w:t>Figure 5.</w:t>
      </w:r>
      <w:r w:rsidR="00185FFA">
        <w:rPr>
          <w:rFonts w:ascii="Times New Roman" w:hAnsi="Times New Roman" w:cs="Times New Roman"/>
          <w:sz w:val="24"/>
          <w:szCs w:val="24"/>
        </w:rPr>
        <w:t xml:space="preserve">  The first plot displayed is truly essential as it describes the actual Kolmogorov-Smirnov test statistics.  The thresholds for significance are displ</w:t>
      </w:r>
      <w:r w:rsidR="00FE73F9">
        <w:rPr>
          <w:rFonts w:ascii="Times New Roman" w:hAnsi="Times New Roman" w:cs="Times New Roman"/>
          <w:sz w:val="24"/>
          <w:szCs w:val="24"/>
        </w:rPr>
        <w:t>ayed as well</w:t>
      </w:r>
      <w:r w:rsidR="00654766">
        <w:rPr>
          <w:rStyle w:val="FootnoteReference"/>
          <w:rFonts w:ascii="Times New Roman" w:hAnsi="Times New Roman" w:cs="Times New Roman"/>
          <w:sz w:val="24"/>
          <w:szCs w:val="24"/>
        </w:rPr>
        <w:footnoteReference w:id="6"/>
      </w:r>
      <w:r w:rsidR="00FE73F9">
        <w:rPr>
          <w:rFonts w:ascii="Times New Roman" w:hAnsi="Times New Roman" w:cs="Times New Roman"/>
          <w:sz w:val="24"/>
          <w:szCs w:val="24"/>
        </w:rPr>
        <w:t xml:space="preserve">.  </w:t>
      </w:r>
      <w:r w:rsidR="00B06CCF">
        <w:rPr>
          <w:rFonts w:ascii="Times New Roman" w:hAnsi="Times New Roman" w:cs="Times New Roman"/>
          <w:sz w:val="24"/>
          <w:szCs w:val="24"/>
        </w:rPr>
        <w:t>Except for the period between week 1 and week 3, it is evident that only 0.01</w:t>
      </w:r>
      <w:r w:rsidR="00711E04">
        <w:rPr>
          <w:rFonts w:ascii="Times New Roman" w:hAnsi="Times New Roman" w:cs="Times New Roman"/>
          <w:sz w:val="24"/>
          <w:szCs w:val="24"/>
        </w:rPr>
        <w:t xml:space="preserve"> or 1% of </w:t>
      </w:r>
      <w:r w:rsidR="00EA45C2">
        <w:rPr>
          <w:rFonts w:ascii="Times New Roman" w:hAnsi="Times New Roman" w:cs="Times New Roman"/>
          <w:sz w:val="24"/>
          <w:szCs w:val="24"/>
        </w:rPr>
        <w:t>the time</w:t>
      </w:r>
      <w:r w:rsidR="005E2675">
        <w:rPr>
          <w:rFonts w:ascii="Times New Roman" w:hAnsi="Times New Roman" w:cs="Times New Roman"/>
          <w:sz w:val="24"/>
          <w:szCs w:val="24"/>
        </w:rPr>
        <w:t xml:space="preserve"> (given some data)</w:t>
      </w:r>
      <w:r w:rsidR="00EA45C2">
        <w:rPr>
          <w:rFonts w:ascii="Times New Roman" w:hAnsi="Times New Roman" w:cs="Times New Roman"/>
          <w:sz w:val="24"/>
          <w:szCs w:val="24"/>
        </w:rPr>
        <w:t xml:space="preserve"> will the KCDE and KDE models reach such high levels of difference if they were </w:t>
      </w:r>
      <w:r w:rsidR="005E2675">
        <w:rPr>
          <w:rFonts w:ascii="Times New Roman" w:hAnsi="Times New Roman" w:cs="Times New Roman"/>
          <w:sz w:val="24"/>
          <w:szCs w:val="24"/>
        </w:rPr>
        <w:t xml:space="preserve">in fact the same model.  Essentially, if a Kolmogorov-Smirnov test statistic is above the threshold then </w:t>
      </w:r>
      <w:r w:rsidR="00547877">
        <w:rPr>
          <w:rFonts w:ascii="Times New Roman" w:hAnsi="Times New Roman" w:cs="Times New Roman"/>
          <w:sz w:val="24"/>
          <w:szCs w:val="24"/>
        </w:rPr>
        <w:t xml:space="preserve">the proportion of times that the K-S test statistic would be at such a value assuming that the models are the same is the threshold value.  </w:t>
      </w:r>
    </w:p>
    <w:p w14:paraId="4559CAF4" w14:textId="0FC72BB8" w:rsidR="003D5033" w:rsidRDefault="00204A3B" w:rsidP="007E7B4E">
      <w:pPr>
        <w:spacing w:after="0" w:line="480" w:lineRule="auto"/>
        <w:rPr>
          <w:rFonts w:ascii="Times New Roman" w:hAnsi="Times New Roman" w:cs="Times New Roman"/>
          <w:b/>
          <w:sz w:val="24"/>
          <w:szCs w:val="24"/>
        </w:rPr>
      </w:pPr>
      <w:r>
        <w:rPr>
          <w:rFonts w:ascii="Times New Roman" w:hAnsi="Times New Roman" w:cs="Times New Roman"/>
          <w:sz w:val="24"/>
          <w:szCs w:val="24"/>
        </w:rPr>
        <w:lastRenderedPageBreak/>
        <w:tab/>
        <w:t xml:space="preserve">The rest of the plots are quite similar.  The second plot displays the K-S statistics for one week ahead and provides </w:t>
      </w:r>
      <w:r w:rsidR="00A04EE9">
        <w:rPr>
          <w:rFonts w:ascii="Times New Roman" w:hAnsi="Times New Roman" w:cs="Times New Roman"/>
          <w:sz w:val="24"/>
          <w:szCs w:val="24"/>
        </w:rPr>
        <w:t xml:space="preserve">a log transformation on the y-axis </w:t>
      </w:r>
      <w:proofErr w:type="gramStart"/>
      <w:r w:rsidR="00A04EE9">
        <w:rPr>
          <w:rFonts w:ascii="Times New Roman" w:hAnsi="Times New Roman" w:cs="Times New Roman"/>
          <w:sz w:val="24"/>
          <w:szCs w:val="24"/>
        </w:rPr>
        <w:t>in order to</w:t>
      </w:r>
      <w:proofErr w:type="gramEnd"/>
      <w:r w:rsidR="00A04EE9">
        <w:rPr>
          <w:rFonts w:ascii="Times New Roman" w:hAnsi="Times New Roman" w:cs="Times New Roman"/>
          <w:sz w:val="24"/>
          <w:szCs w:val="24"/>
        </w:rPr>
        <w:t xml:space="preserve"> determine whether the K-S test statistics happen to follow an exponential distribution (if they did then the log-transformed points would be linear).  The third plot displays the </w:t>
      </w:r>
      <w:r w:rsidR="00BD4FBE">
        <w:rPr>
          <w:rFonts w:ascii="Times New Roman" w:hAnsi="Times New Roman" w:cs="Times New Roman"/>
          <w:sz w:val="24"/>
          <w:szCs w:val="24"/>
        </w:rPr>
        <w:t xml:space="preserve">test statistics against the weighted %ILI in increasing order.  </w:t>
      </w:r>
      <w:r w:rsidR="00E728CA">
        <w:rPr>
          <w:rFonts w:ascii="Times New Roman" w:hAnsi="Times New Roman" w:cs="Times New Roman"/>
          <w:sz w:val="24"/>
          <w:szCs w:val="24"/>
        </w:rPr>
        <w:t xml:space="preserve">As we can see, the KCDE and KDE models become quite similar when they are predicting for four weeks ahead.  </w:t>
      </w:r>
    </w:p>
    <w:p w14:paraId="7C471AC3" w14:textId="376D2A77" w:rsidR="0095641E" w:rsidRPr="0095641E" w:rsidRDefault="0095641E" w:rsidP="007E7B4E">
      <w:pPr>
        <w:spacing w:after="0" w:line="480" w:lineRule="auto"/>
        <w:rPr>
          <w:rFonts w:ascii="Times New Roman" w:hAnsi="Times New Roman" w:cs="Times New Roman"/>
          <w:sz w:val="24"/>
          <w:szCs w:val="24"/>
        </w:rPr>
      </w:pPr>
      <w:r>
        <w:rPr>
          <w:rFonts w:ascii="Times New Roman" w:hAnsi="Times New Roman" w:cs="Times New Roman"/>
          <w:b/>
          <w:sz w:val="24"/>
          <w:szCs w:val="24"/>
        </w:rPr>
        <w:t>Discussion:</w:t>
      </w:r>
    </w:p>
    <w:p w14:paraId="14C549B6" w14:textId="77777777" w:rsidR="00387C9A" w:rsidRDefault="00DF08D7" w:rsidP="007E7B4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F4204">
        <w:rPr>
          <w:rFonts w:ascii="Times New Roman" w:hAnsi="Times New Roman" w:cs="Times New Roman"/>
          <w:sz w:val="24"/>
          <w:szCs w:val="24"/>
        </w:rPr>
        <w:t>All</w:t>
      </w:r>
      <w:r>
        <w:rPr>
          <w:rFonts w:ascii="Times New Roman" w:hAnsi="Times New Roman" w:cs="Times New Roman"/>
          <w:sz w:val="24"/>
          <w:szCs w:val="24"/>
        </w:rPr>
        <w:t xml:space="preserve"> plots were made using ggplot2</w:t>
      </w:r>
      <w:r w:rsidR="006F4204">
        <w:rPr>
          <w:rFonts w:ascii="Times New Roman" w:hAnsi="Times New Roman" w:cs="Times New Roman"/>
          <w:sz w:val="24"/>
          <w:szCs w:val="24"/>
        </w:rPr>
        <w:t xml:space="preserve"> and </w:t>
      </w:r>
      <w:proofErr w:type="spellStart"/>
      <w:r w:rsidR="006F4204">
        <w:rPr>
          <w:rFonts w:ascii="Times New Roman" w:hAnsi="Times New Roman" w:cs="Times New Roman"/>
          <w:sz w:val="24"/>
          <w:szCs w:val="24"/>
        </w:rPr>
        <w:t>gridExtra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source code is available in the file that I have included.</w:t>
      </w:r>
      <w:r w:rsidR="00FC23BE">
        <w:rPr>
          <w:rFonts w:ascii="Times New Roman" w:hAnsi="Times New Roman" w:cs="Times New Roman"/>
          <w:sz w:val="24"/>
          <w:szCs w:val="24"/>
        </w:rPr>
        <w:t xml:space="preserve">  </w:t>
      </w:r>
      <w:r w:rsidR="00A8235D">
        <w:rPr>
          <w:rFonts w:ascii="Times New Roman" w:hAnsi="Times New Roman" w:cs="Times New Roman"/>
          <w:sz w:val="24"/>
          <w:szCs w:val="24"/>
        </w:rPr>
        <w:t xml:space="preserve">I chose the Kolmogorov-Smirnov test due to its simplicity and ease of implementation.  </w:t>
      </w:r>
      <w:r w:rsidR="002E24D3">
        <w:rPr>
          <w:rFonts w:ascii="Times New Roman" w:hAnsi="Times New Roman" w:cs="Times New Roman"/>
          <w:sz w:val="24"/>
          <w:szCs w:val="24"/>
        </w:rPr>
        <w:t xml:space="preserve">There are many directions one could go from here.  </w:t>
      </w:r>
      <w:r w:rsidR="00E50BA2">
        <w:rPr>
          <w:rFonts w:ascii="Times New Roman" w:hAnsi="Times New Roman" w:cs="Times New Roman"/>
          <w:sz w:val="24"/>
          <w:szCs w:val="24"/>
        </w:rPr>
        <w:t xml:space="preserve">You could use </w:t>
      </w:r>
      <w:r w:rsidR="00AD7B12">
        <w:rPr>
          <w:rFonts w:ascii="Times New Roman" w:hAnsi="Times New Roman" w:cs="Times New Roman"/>
          <w:sz w:val="24"/>
          <w:szCs w:val="24"/>
        </w:rPr>
        <w:t>Kuiper’s tes</w:t>
      </w:r>
      <w:r w:rsidR="007978EE">
        <w:rPr>
          <w:rFonts w:ascii="Times New Roman" w:hAnsi="Times New Roman" w:cs="Times New Roman"/>
          <w:sz w:val="24"/>
          <w:szCs w:val="24"/>
        </w:rPr>
        <w:t xml:space="preserve">t to find which models are the best fit for the data.  </w:t>
      </w:r>
      <w:r w:rsidR="00E97352">
        <w:rPr>
          <w:rFonts w:ascii="Times New Roman" w:hAnsi="Times New Roman" w:cs="Times New Roman"/>
          <w:sz w:val="24"/>
          <w:szCs w:val="24"/>
        </w:rPr>
        <w:t>You could also compare mean, variance, skewness, and kurtosis between the models</w:t>
      </w:r>
      <w:r w:rsidR="003903CE">
        <w:rPr>
          <w:rStyle w:val="FootnoteReference"/>
          <w:rFonts w:ascii="Times New Roman" w:hAnsi="Times New Roman" w:cs="Times New Roman"/>
          <w:sz w:val="24"/>
          <w:szCs w:val="24"/>
        </w:rPr>
        <w:footnoteReference w:id="7"/>
      </w:r>
      <w:r w:rsidR="003903CE">
        <w:rPr>
          <w:rFonts w:ascii="Times New Roman" w:hAnsi="Times New Roman" w:cs="Times New Roman"/>
          <w:sz w:val="24"/>
          <w:szCs w:val="24"/>
        </w:rPr>
        <w:t xml:space="preserve">.  </w:t>
      </w:r>
      <w:r w:rsidR="004200E3">
        <w:rPr>
          <w:rFonts w:ascii="Times New Roman" w:hAnsi="Times New Roman" w:cs="Times New Roman"/>
          <w:sz w:val="24"/>
          <w:szCs w:val="24"/>
        </w:rPr>
        <w:t xml:space="preserve">I would look at </w:t>
      </w:r>
      <w:r w:rsidR="00754E7A">
        <w:rPr>
          <w:rFonts w:ascii="Times New Roman" w:hAnsi="Times New Roman" w:cs="Times New Roman"/>
          <w:sz w:val="24"/>
          <w:szCs w:val="24"/>
        </w:rPr>
        <w:t xml:space="preserve">how the models vary from each other from bin to bin rather than at once.  </w:t>
      </w:r>
      <w:r w:rsidR="00E92668">
        <w:rPr>
          <w:rFonts w:ascii="Times New Roman" w:hAnsi="Times New Roman" w:cs="Times New Roman"/>
          <w:sz w:val="24"/>
          <w:szCs w:val="24"/>
        </w:rPr>
        <w:t xml:space="preserve">Other things to look at would be how much models tend to increase or decrease </w:t>
      </w:r>
      <w:r w:rsidR="00B66942">
        <w:rPr>
          <w:rFonts w:ascii="Times New Roman" w:hAnsi="Times New Roman" w:cs="Times New Roman"/>
          <w:sz w:val="24"/>
          <w:szCs w:val="24"/>
        </w:rPr>
        <w:t xml:space="preserve">with each other.  </w:t>
      </w:r>
      <w:r w:rsidR="00327E16">
        <w:rPr>
          <w:rFonts w:ascii="Times New Roman" w:hAnsi="Times New Roman" w:cs="Times New Roman"/>
          <w:sz w:val="24"/>
          <w:szCs w:val="24"/>
        </w:rPr>
        <w:t>The Kruskal-Wallis One-Way Analysis of Variance might also be useful</w:t>
      </w:r>
      <w:r w:rsidR="00327E16">
        <w:rPr>
          <w:rStyle w:val="FootnoteReference"/>
          <w:rFonts w:ascii="Times New Roman" w:hAnsi="Times New Roman" w:cs="Times New Roman"/>
          <w:sz w:val="24"/>
          <w:szCs w:val="24"/>
        </w:rPr>
        <w:footnoteReference w:id="8"/>
      </w:r>
      <w:r w:rsidR="0055512F">
        <w:rPr>
          <w:rFonts w:ascii="Times New Roman" w:hAnsi="Times New Roman" w:cs="Times New Roman"/>
          <w:sz w:val="24"/>
          <w:szCs w:val="24"/>
        </w:rPr>
        <w:t xml:space="preserve">.  </w:t>
      </w:r>
    </w:p>
    <w:p w14:paraId="68247559" w14:textId="77777777" w:rsidR="00387C9A" w:rsidRDefault="006515E2" w:rsidP="00387C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for cases such as KCDE versus SARIMA</w:t>
      </w:r>
      <w:r w:rsidR="00947064">
        <w:rPr>
          <w:rFonts w:ascii="Times New Roman" w:hAnsi="Times New Roman" w:cs="Times New Roman"/>
          <w:sz w:val="24"/>
          <w:szCs w:val="24"/>
        </w:rPr>
        <w:t xml:space="preserve"> with seasonal differencing we might make different conclusions.  In that case, the differences between models seem to increase as we</w:t>
      </w:r>
      <w:r w:rsidR="0008672F">
        <w:rPr>
          <w:rFonts w:ascii="Times New Roman" w:hAnsi="Times New Roman" w:cs="Times New Roman"/>
          <w:sz w:val="24"/>
          <w:szCs w:val="24"/>
        </w:rPr>
        <w:t xml:space="preserve"> extrapolate further into the future.  </w:t>
      </w:r>
      <w:r w:rsidR="00C16AF4">
        <w:rPr>
          <w:rFonts w:ascii="Times New Roman" w:hAnsi="Times New Roman" w:cs="Times New Roman"/>
          <w:sz w:val="24"/>
          <w:szCs w:val="24"/>
        </w:rPr>
        <w:t>If we’re basing our forecasts on the differences between the predictions made in the past between two points 52 weeks apart, then we</w:t>
      </w:r>
      <w:r w:rsidR="00442AFA">
        <w:rPr>
          <w:rFonts w:ascii="Times New Roman" w:hAnsi="Times New Roman" w:cs="Times New Roman"/>
          <w:sz w:val="24"/>
          <w:szCs w:val="24"/>
        </w:rPr>
        <w:t xml:space="preserve"> could possibly conclude that the SARIMA model regresses less to the seasonal average than the KCDE model does.</w:t>
      </w:r>
      <w:r w:rsidR="002C733D">
        <w:rPr>
          <w:rFonts w:ascii="Times New Roman" w:hAnsi="Times New Roman" w:cs="Times New Roman"/>
          <w:sz w:val="24"/>
          <w:szCs w:val="24"/>
        </w:rPr>
        <w:t xml:space="preserve">  </w:t>
      </w:r>
      <w:r w:rsidR="00335D8A">
        <w:rPr>
          <w:rFonts w:ascii="Times New Roman" w:hAnsi="Times New Roman" w:cs="Times New Roman"/>
          <w:sz w:val="24"/>
          <w:szCs w:val="24"/>
        </w:rPr>
        <w:t xml:space="preserve">While the K-S statistics increase as the SARIMA and KCDE models predict further into </w:t>
      </w:r>
      <w:r w:rsidR="00335D8A">
        <w:rPr>
          <w:rFonts w:ascii="Times New Roman" w:hAnsi="Times New Roman" w:cs="Times New Roman"/>
          <w:sz w:val="24"/>
          <w:szCs w:val="24"/>
        </w:rPr>
        <w:lastRenderedPageBreak/>
        <w:t xml:space="preserve">the future, other measures such as the maximum difference between </w:t>
      </w:r>
      <w:r w:rsidR="0078741C">
        <w:rPr>
          <w:rFonts w:ascii="Times New Roman" w:hAnsi="Times New Roman" w:cs="Times New Roman"/>
          <w:sz w:val="24"/>
          <w:szCs w:val="24"/>
        </w:rPr>
        <w:t xml:space="preserve">the probability mass functions decrease as they predict further into the future.  </w:t>
      </w:r>
    </w:p>
    <w:p w14:paraId="5532A30E" w14:textId="48A733ED" w:rsidR="00387C9A" w:rsidRPr="00592D98" w:rsidRDefault="008A66A7" w:rsidP="004A74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consider the K-S test statistics to be a more reliable measure of models’ differences.  </w:t>
      </w:r>
      <w:r w:rsidR="001E6E5B">
        <w:rPr>
          <w:rFonts w:ascii="Times New Roman" w:hAnsi="Times New Roman" w:cs="Times New Roman"/>
          <w:sz w:val="24"/>
          <w:szCs w:val="24"/>
        </w:rPr>
        <w:t>For example,</w:t>
      </w:r>
      <w:r>
        <w:rPr>
          <w:rFonts w:ascii="Times New Roman" w:hAnsi="Times New Roman" w:cs="Times New Roman"/>
          <w:sz w:val="24"/>
          <w:szCs w:val="24"/>
        </w:rPr>
        <w:t xml:space="preserve"> </w:t>
      </w:r>
      <w:r w:rsidR="007469A2">
        <w:rPr>
          <w:rFonts w:ascii="Times New Roman" w:hAnsi="Times New Roman" w:cs="Times New Roman"/>
          <w:sz w:val="24"/>
          <w:szCs w:val="24"/>
        </w:rPr>
        <w:t>a specific model</w:t>
      </w:r>
      <w:r w:rsidR="001E6E5B">
        <w:rPr>
          <w:rFonts w:ascii="Times New Roman" w:hAnsi="Times New Roman" w:cs="Times New Roman"/>
          <w:sz w:val="24"/>
          <w:szCs w:val="24"/>
        </w:rPr>
        <w:t xml:space="preserve">, which is quite </w:t>
      </w:r>
      <w:proofErr w:type="gramStart"/>
      <w:r w:rsidR="001E6E5B">
        <w:rPr>
          <w:rFonts w:ascii="Times New Roman" w:hAnsi="Times New Roman" w:cs="Times New Roman"/>
          <w:sz w:val="24"/>
          <w:szCs w:val="24"/>
        </w:rPr>
        <w:t>similar to</w:t>
      </w:r>
      <w:proofErr w:type="gramEnd"/>
      <w:r w:rsidR="001E6E5B">
        <w:rPr>
          <w:rFonts w:ascii="Times New Roman" w:hAnsi="Times New Roman" w:cs="Times New Roman"/>
          <w:sz w:val="24"/>
          <w:szCs w:val="24"/>
        </w:rPr>
        <w:t xml:space="preserve"> another model otherwise,</w:t>
      </w:r>
      <w:r w:rsidR="007469A2">
        <w:rPr>
          <w:rFonts w:ascii="Times New Roman" w:hAnsi="Times New Roman" w:cs="Times New Roman"/>
          <w:sz w:val="24"/>
          <w:szCs w:val="24"/>
        </w:rPr>
        <w:t xml:space="preserve"> might make an incredibly large prediction for a specific bin and thus skew the maximum difference value</w:t>
      </w:r>
      <w:r w:rsidR="001E6E5B">
        <w:rPr>
          <w:rFonts w:ascii="Times New Roman" w:hAnsi="Times New Roman" w:cs="Times New Roman"/>
          <w:sz w:val="24"/>
          <w:szCs w:val="24"/>
        </w:rPr>
        <w:t>.  On the other hand, the K-S test statistic captures the extent of the deviation</w:t>
      </w:r>
      <w:r w:rsidR="00C324F7">
        <w:rPr>
          <w:rFonts w:ascii="Times New Roman" w:hAnsi="Times New Roman" w:cs="Times New Roman"/>
          <w:sz w:val="24"/>
          <w:szCs w:val="24"/>
        </w:rPr>
        <w:t xml:space="preserve">s in probabilities assigned between models that cumulatively develop over time.  The Kolmogorov-Smirnov test is less affected by temporary jumps in the probabilities assigned to certain bins as was displayed by the KCDE model in the first three weeks (43, 44, 45) of 2017 in my PMF graphs.  </w:t>
      </w:r>
      <w:r w:rsidR="004A747D">
        <w:rPr>
          <w:rFonts w:ascii="Times New Roman" w:hAnsi="Times New Roman" w:cs="Times New Roman"/>
          <w:sz w:val="24"/>
          <w:szCs w:val="24"/>
        </w:rPr>
        <w:t>Although the Kolmogorov-Smirnov test statistic is only a single metric of model similarities and does not address so</w:t>
      </w:r>
      <w:r w:rsidR="00DE47F4">
        <w:rPr>
          <w:rFonts w:ascii="Times New Roman" w:hAnsi="Times New Roman" w:cs="Times New Roman"/>
          <w:sz w:val="24"/>
          <w:szCs w:val="24"/>
        </w:rPr>
        <w:t xml:space="preserve">me of the concerns regarding misspecification raised by </w:t>
      </w:r>
      <w:proofErr w:type="spellStart"/>
      <w:r w:rsidR="00DE47F4">
        <w:rPr>
          <w:rFonts w:ascii="Times New Roman" w:hAnsi="Times New Roman" w:cs="Times New Roman"/>
          <w:sz w:val="24"/>
          <w:szCs w:val="24"/>
        </w:rPr>
        <w:t>Noceti</w:t>
      </w:r>
      <w:proofErr w:type="spellEnd"/>
      <w:r w:rsidR="00DE47F4">
        <w:rPr>
          <w:rFonts w:ascii="Times New Roman" w:hAnsi="Times New Roman" w:cs="Times New Roman"/>
          <w:sz w:val="24"/>
          <w:szCs w:val="24"/>
        </w:rPr>
        <w:t xml:space="preserve"> et al.</w:t>
      </w:r>
      <w:r w:rsidR="00DE47F4">
        <w:rPr>
          <w:rStyle w:val="FootnoteReference"/>
          <w:rFonts w:ascii="Times New Roman" w:hAnsi="Times New Roman" w:cs="Times New Roman"/>
          <w:sz w:val="24"/>
          <w:szCs w:val="24"/>
        </w:rPr>
        <w:footnoteReference w:id="9"/>
      </w:r>
      <w:r w:rsidR="00DE47F4">
        <w:rPr>
          <w:rFonts w:ascii="Times New Roman" w:hAnsi="Times New Roman" w:cs="Times New Roman"/>
          <w:sz w:val="24"/>
          <w:szCs w:val="24"/>
        </w:rPr>
        <w:t xml:space="preserve">, I believe that </w:t>
      </w:r>
      <w:r w:rsidR="00A04B84">
        <w:rPr>
          <w:rFonts w:ascii="Times New Roman" w:hAnsi="Times New Roman" w:cs="Times New Roman"/>
          <w:sz w:val="24"/>
          <w:szCs w:val="24"/>
        </w:rPr>
        <w:t xml:space="preserve">this project should serve as a good starting point for comparing models and inferring their characteristics.  </w:t>
      </w:r>
    </w:p>
    <w:sectPr w:rsidR="00387C9A" w:rsidRPr="00592D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AD826" w14:textId="77777777" w:rsidR="00897BA1" w:rsidRDefault="00897BA1" w:rsidP="00897BA1">
      <w:pPr>
        <w:spacing w:after="0" w:line="240" w:lineRule="auto"/>
      </w:pPr>
      <w:r>
        <w:separator/>
      </w:r>
    </w:p>
  </w:endnote>
  <w:endnote w:type="continuationSeparator" w:id="0">
    <w:p w14:paraId="49F93911" w14:textId="77777777" w:rsidR="00897BA1" w:rsidRDefault="00897BA1" w:rsidP="00897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2A084" w14:textId="77777777" w:rsidR="00897BA1" w:rsidRDefault="00897BA1" w:rsidP="00897BA1">
      <w:pPr>
        <w:spacing w:after="0" w:line="240" w:lineRule="auto"/>
      </w:pPr>
      <w:r>
        <w:separator/>
      </w:r>
    </w:p>
  </w:footnote>
  <w:footnote w:type="continuationSeparator" w:id="0">
    <w:p w14:paraId="75EF00FD" w14:textId="77777777" w:rsidR="00897BA1" w:rsidRDefault="00897BA1" w:rsidP="00897BA1">
      <w:pPr>
        <w:spacing w:after="0" w:line="240" w:lineRule="auto"/>
      </w:pPr>
      <w:r>
        <w:continuationSeparator/>
      </w:r>
    </w:p>
  </w:footnote>
  <w:footnote w:id="1">
    <w:p w14:paraId="74B975FA" w14:textId="5E70913F" w:rsidR="00897BA1" w:rsidRDefault="00897BA1">
      <w:pPr>
        <w:pStyle w:val="FootnoteText"/>
      </w:pPr>
      <w:r>
        <w:rPr>
          <w:rStyle w:val="FootnoteReference"/>
        </w:rPr>
        <w:footnoteRef/>
      </w:r>
      <w:r>
        <w:t xml:space="preserve"> </w:t>
      </w:r>
      <w:r w:rsidR="003869BD" w:rsidRPr="003869BD">
        <w:t>https://ocw.mit.edu/courses/mathematics/18-443-statistics-for-applications-fall-2006/lecture-notes/lecture14.pdf</w:t>
      </w:r>
    </w:p>
  </w:footnote>
  <w:footnote w:id="2">
    <w:p w14:paraId="728F5A0B" w14:textId="38985748" w:rsidR="001F3FE9" w:rsidRDefault="001F3FE9">
      <w:pPr>
        <w:pStyle w:val="FootnoteText"/>
      </w:pPr>
      <w:r>
        <w:rPr>
          <w:rStyle w:val="FootnoteReference"/>
        </w:rPr>
        <w:footnoteRef/>
      </w:r>
      <w:r>
        <w:t xml:space="preserve"> </w:t>
      </w:r>
      <w:r w:rsidRPr="001F3FE9">
        <w:t>https://newonlinecourses.science.psu.edu/stat414/node/322/</w:t>
      </w:r>
    </w:p>
  </w:footnote>
  <w:footnote w:id="3">
    <w:p w14:paraId="7DE8D071" w14:textId="57512140" w:rsidR="001F71BF" w:rsidRDefault="001F71BF">
      <w:pPr>
        <w:pStyle w:val="FootnoteText"/>
      </w:pPr>
      <w:r>
        <w:rPr>
          <w:rStyle w:val="FootnoteReference"/>
        </w:rPr>
        <w:footnoteRef/>
      </w:r>
      <w:r>
        <w:t xml:space="preserve"> </w:t>
      </w:r>
      <w:r w:rsidRPr="001F71BF">
        <w:t>https://arxiv.org/pdf/1703.10936.pdf</w:t>
      </w:r>
    </w:p>
  </w:footnote>
  <w:footnote w:id="4">
    <w:p w14:paraId="2D293E4A" w14:textId="0824DB98" w:rsidR="00BF52F4" w:rsidRDefault="00BF52F4">
      <w:pPr>
        <w:pStyle w:val="FootnoteText"/>
      </w:pPr>
      <w:r>
        <w:rPr>
          <w:rStyle w:val="FootnoteReference"/>
        </w:rPr>
        <w:footnoteRef/>
      </w:r>
      <w:r>
        <w:t xml:space="preserve"> </w:t>
      </w:r>
      <w:r w:rsidRPr="00BF52F4">
        <w:t>https://gis.cdc.gov/grasp/fluview/fluportaldashboard.html</w:t>
      </w:r>
    </w:p>
  </w:footnote>
  <w:footnote w:id="5">
    <w:p w14:paraId="488A03FE" w14:textId="1514664A" w:rsidR="001F4975" w:rsidRDefault="001F4975">
      <w:pPr>
        <w:pStyle w:val="FootnoteText"/>
      </w:pPr>
      <w:r>
        <w:rPr>
          <w:rStyle w:val="FootnoteReference"/>
        </w:rPr>
        <w:footnoteRef/>
      </w:r>
      <w:r>
        <w:t xml:space="preserve"> </w:t>
      </w:r>
      <w:r w:rsidRPr="001F4975">
        <w:t>https://arxiv.org/pdf/1703.10936.pdf</w:t>
      </w:r>
      <w:r>
        <w:t xml:space="preserve">, 5.  </w:t>
      </w:r>
    </w:p>
  </w:footnote>
  <w:footnote w:id="6">
    <w:p w14:paraId="5FAA822F" w14:textId="2A3BE3D4" w:rsidR="00654766" w:rsidRDefault="00654766">
      <w:pPr>
        <w:pStyle w:val="FootnoteText"/>
      </w:pPr>
      <w:r>
        <w:rPr>
          <w:rStyle w:val="FootnoteReference"/>
        </w:rPr>
        <w:footnoteRef/>
      </w:r>
      <w:r>
        <w:t xml:space="preserve"> </w:t>
      </w:r>
      <w:r w:rsidRPr="00654766">
        <w:t>http://www.real-statistics.com/statistics-tables/kolmogorov-smirnov-table/</w:t>
      </w:r>
    </w:p>
  </w:footnote>
  <w:footnote w:id="7">
    <w:p w14:paraId="3E05695D" w14:textId="31B4BB45" w:rsidR="003903CE" w:rsidRDefault="003903CE">
      <w:pPr>
        <w:pStyle w:val="FootnoteText"/>
      </w:pPr>
      <w:r>
        <w:rPr>
          <w:rStyle w:val="FootnoteReference"/>
        </w:rPr>
        <w:footnoteRef/>
      </w:r>
      <w:r>
        <w:t xml:space="preserve"> Stephen Lauer</w:t>
      </w:r>
    </w:p>
  </w:footnote>
  <w:footnote w:id="8">
    <w:p w14:paraId="4B81728E" w14:textId="3B280DE4" w:rsidR="00327E16" w:rsidRDefault="00327E16">
      <w:pPr>
        <w:pStyle w:val="FootnoteText"/>
      </w:pPr>
      <w:r>
        <w:rPr>
          <w:rStyle w:val="FootnoteReference"/>
        </w:rPr>
        <w:footnoteRef/>
      </w:r>
      <w:r>
        <w:t xml:space="preserve"> </w:t>
      </w:r>
      <w:r w:rsidRPr="00327E16">
        <w:t>https://en.wikipedia.org/wiki/Kruskal%E2%80%93Wallis_one-way_analysis_of_variance</w:t>
      </w:r>
    </w:p>
  </w:footnote>
  <w:footnote w:id="9">
    <w:p w14:paraId="2BECDE2A" w14:textId="2907B68A" w:rsidR="00DE47F4" w:rsidRDefault="00DE47F4">
      <w:pPr>
        <w:pStyle w:val="FootnoteText"/>
      </w:pPr>
      <w:r>
        <w:rPr>
          <w:rStyle w:val="FootnoteReference"/>
        </w:rPr>
        <w:footnoteRef/>
      </w:r>
      <w:r>
        <w:t xml:space="preserve"> </w:t>
      </w:r>
      <w:r w:rsidRPr="00DE47F4">
        <w:t>https://vdocuments.mx/an-evaluation-of-tests-of-distributional-forecasts.html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F9"/>
    <w:rsid w:val="0001677C"/>
    <w:rsid w:val="0003001A"/>
    <w:rsid w:val="000317BE"/>
    <w:rsid w:val="000769C9"/>
    <w:rsid w:val="0008672F"/>
    <w:rsid w:val="000914E6"/>
    <w:rsid w:val="000A30FD"/>
    <w:rsid w:val="000C5D8E"/>
    <w:rsid w:val="000E7C75"/>
    <w:rsid w:val="000F6716"/>
    <w:rsid w:val="000F7FA3"/>
    <w:rsid w:val="00101A2E"/>
    <w:rsid w:val="001072BB"/>
    <w:rsid w:val="0017415A"/>
    <w:rsid w:val="00185FFA"/>
    <w:rsid w:val="001B55E2"/>
    <w:rsid w:val="001C5F9B"/>
    <w:rsid w:val="001C6961"/>
    <w:rsid w:val="001D20F5"/>
    <w:rsid w:val="001E0B16"/>
    <w:rsid w:val="001E2ACD"/>
    <w:rsid w:val="001E6E5B"/>
    <w:rsid w:val="001F3FE9"/>
    <w:rsid w:val="001F4975"/>
    <w:rsid w:val="001F71BF"/>
    <w:rsid w:val="00204A3B"/>
    <w:rsid w:val="00221167"/>
    <w:rsid w:val="00265939"/>
    <w:rsid w:val="002741AA"/>
    <w:rsid w:val="00277EA8"/>
    <w:rsid w:val="0029270E"/>
    <w:rsid w:val="00293AD7"/>
    <w:rsid w:val="002B23CC"/>
    <w:rsid w:val="002C733D"/>
    <w:rsid w:val="002E24D3"/>
    <w:rsid w:val="002F3F55"/>
    <w:rsid w:val="003214BF"/>
    <w:rsid w:val="003235CF"/>
    <w:rsid w:val="00327E16"/>
    <w:rsid w:val="00333232"/>
    <w:rsid w:val="00335D8A"/>
    <w:rsid w:val="003373E4"/>
    <w:rsid w:val="00357CBE"/>
    <w:rsid w:val="00374491"/>
    <w:rsid w:val="00376F97"/>
    <w:rsid w:val="003869BD"/>
    <w:rsid w:val="00387C9A"/>
    <w:rsid w:val="003903CE"/>
    <w:rsid w:val="003C0915"/>
    <w:rsid w:val="003D5033"/>
    <w:rsid w:val="003D5974"/>
    <w:rsid w:val="004002FD"/>
    <w:rsid w:val="00413398"/>
    <w:rsid w:val="004200E3"/>
    <w:rsid w:val="00421CF7"/>
    <w:rsid w:val="00432406"/>
    <w:rsid w:val="0043335F"/>
    <w:rsid w:val="004403E7"/>
    <w:rsid w:val="00442AFA"/>
    <w:rsid w:val="004A747D"/>
    <w:rsid w:val="004B77F5"/>
    <w:rsid w:val="004D3988"/>
    <w:rsid w:val="004E3908"/>
    <w:rsid w:val="004E6DEA"/>
    <w:rsid w:val="004F67F0"/>
    <w:rsid w:val="00500E2F"/>
    <w:rsid w:val="005100BD"/>
    <w:rsid w:val="005238D1"/>
    <w:rsid w:val="00540BAB"/>
    <w:rsid w:val="00547877"/>
    <w:rsid w:val="0055512F"/>
    <w:rsid w:val="00565884"/>
    <w:rsid w:val="005678C6"/>
    <w:rsid w:val="00592B9B"/>
    <w:rsid w:val="00592D98"/>
    <w:rsid w:val="005A3F0C"/>
    <w:rsid w:val="005A7913"/>
    <w:rsid w:val="005B2601"/>
    <w:rsid w:val="005C3CE3"/>
    <w:rsid w:val="005E2675"/>
    <w:rsid w:val="005F343E"/>
    <w:rsid w:val="005F420E"/>
    <w:rsid w:val="005F51E5"/>
    <w:rsid w:val="005F70BB"/>
    <w:rsid w:val="006344C0"/>
    <w:rsid w:val="00634BEA"/>
    <w:rsid w:val="006366C7"/>
    <w:rsid w:val="006515E2"/>
    <w:rsid w:val="00654766"/>
    <w:rsid w:val="006718B0"/>
    <w:rsid w:val="006D21EC"/>
    <w:rsid w:val="006D39D1"/>
    <w:rsid w:val="006E5C95"/>
    <w:rsid w:val="006F4204"/>
    <w:rsid w:val="007015F8"/>
    <w:rsid w:val="00706A88"/>
    <w:rsid w:val="007107F9"/>
    <w:rsid w:val="00711E04"/>
    <w:rsid w:val="007330D7"/>
    <w:rsid w:val="00734CA3"/>
    <w:rsid w:val="007426C9"/>
    <w:rsid w:val="007469A2"/>
    <w:rsid w:val="00754E7A"/>
    <w:rsid w:val="00776AF3"/>
    <w:rsid w:val="0078741C"/>
    <w:rsid w:val="007877AB"/>
    <w:rsid w:val="00795AD1"/>
    <w:rsid w:val="007978EE"/>
    <w:rsid w:val="007A1B07"/>
    <w:rsid w:val="007A7BF0"/>
    <w:rsid w:val="007C00AC"/>
    <w:rsid w:val="007E7B4E"/>
    <w:rsid w:val="008023BB"/>
    <w:rsid w:val="008029F8"/>
    <w:rsid w:val="00815281"/>
    <w:rsid w:val="00821D09"/>
    <w:rsid w:val="00823CE0"/>
    <w:rsid w:val="00827E72"/>
    <w:rsid w:val="00861E17"/>
    <w:rsid w:val="00861FD4"/>
    <w:rsid w:val="00897BA1"/>
    <w:rsid w:val="008A66A7"/>
    <w:rsid w:val="008B18FF"/>
    <w:rsid w:val="008E6C7B"/>
    <w:rsid w:val="008F2D1C"/>
    <w:rsid w:val="0092479B"/>
    <w:rsid w:val="00947064"/>
    <w:rsid w:val="009504CE"/>
    <w:rsid w:val="0095641E"/>
    <w:rsid w:val="009A5646"/>
    <w:rsid w:val="009A67E2"/>
    <w:rsid w:val="009B46DE"/>
    <w:rsid w:val="009B5BC1"/>
    <w:rsid w:val="009F72DF"/>
    <w:rsid w:val="00A01089"/>
    <w:rsid w:val="00A04B84"/>
    <w:rsid w:val="00A04EE9"/>
    <w:rsid w:val="00A060E0"/>
    <w:rsid w:val="00A42B9C"/>
    <w:rsid w:val="00A54BB4"/>
    <w:rsid w:val="00A8235D"/>
    <w:rsid w:val="00AA6742"/>
    <w:rsid w:val="00AA6B49"/>
    <w:rsid w:val="00AD5DBB"/>
    <w:rsid w:val="00AD7B12"/>
    <w:rsid w:val="00AE7A6E"/>
    <w:rsid w:val="00B06CCF"/>
    <w:rsid w:val="00B517DF"/>
    <w:rsid w:val="00B66311"/>
    <w:rsid w:val="00B66942"/>
    <w:rsid w:val="00B729C3"/>
    <w:rsid w:val="00BA1591"/>
    <w:rsid w:val="00BD26F2"/>
    <w:rsid w:val="00BD4FBE"/>
    <w:rsid w:val="00BE6111"/>
    <w:rsid w:val="00BF2ADC"/>
    <w:rsid w:val="00BF52F4"/>
    <w:rsid w:val="00C16AF4"/>
    <w:rsid w:val="00C324F7"/>
    <w:rsid w:val="00C409D7"/>
    <w:rsid w:val="00C466B3"/>
    <w:rsid w:val="00C8002F"/>
    <w:rsid w:val="00C845DF"/>
    <w:rsid w:val="00CA25AA"/>
    <w:rsid w:val="00CA3FEF"/>
    <w:rsid w:val="00CB399D"/>
    <w:rsid w:val="00CD229D"/>
    <w:rsid w:val="00D51B08"/>
    <w:rsid w:val="00D54759"/>
    <w:rsid w:val="00D94D68"/>
    <w:rsid w:val="00DB47F9"/>
    <w:rsid w:val="00DC44BB"/>
    <w:rsid w:val="00DC685B"/>
    <w:rsid w:val="00DD6CA2"/>
    <w:rsid w:val="00DE47F4"/>
    <w:rsid w:val="00DF08D7"/>
    <w:rsid w:val="00DF46A5"/>
    <w:rsid w:val="00E02044"/>
    <w:rsid w:val="00E04864"/>
    <w:rsid w:val="00E04CAD"/>
    <w:rsid w:val="00E3209C"/>
    <w:rsid w:val="00E407CF"/>
    <w:rsid w:val="00E50BA2"/>
    <w:rsid w:val="00E62B2B"/>
    <w:rsid w:val="00E71861"/>
    <w:rsid w:val="00E728CA"/>
    <w:rsid w:val="00E75193"/>
    <w:rsid w:val="00E7712A"/>
    <w:rsid w:val="00E81EBA"/>
    <w:rsid w:val="00E92668"/>
    <w:rsid w:val="00E97352"/>
    <w:rsid w:val="00EA45C2"/>
    <w:rsid w:val="00EA5BC3"/>
    <w:rsid w:val="00F222F5"/>
    <w:rsid w:val="00F54C01"/>
    <w:rsid w:val="00F550AF"/>
    <w:rsid w:val="00F7085B"/>
    <w:rsid w:val="00FC23BE"/>
    <w:rsid w:val="00FE2111"/>
    <w:rsid w:val="00FE2972"/>
    <w:rsid w:val="00FE73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52F9"/>
  <w15:chartTrackingRefBased/>
  <w15:docId w15:val="{6AA971AE-61F6-4A61-9F8A-7D23C032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107F9"/>
  </w:style>
  <w:style w:type="character" w:customStyle="1" w:styleId="DateChar">
    <w:name w:val="Date Char"/>
    <w:basedOn w:val="DefaultParagraphFont"/>
    <w:link w:val="Date"/>
    <w:uiPriority w:val="99"/>
    <w:semiHidden/>
    <w:rsid w:val="007107F9"/>
  </w:style>
  <w:style w:type="paragraph" w:styleId="FootnoteText">
    <w:name w:val="footnote text"/>
    <w:basedOn w:val="Normal"/>
    <w:link w:val="FootnoteTextChar"/>
    <w:uiPriority w:val="99"/>
    <w:semiHidden/>
    <w:unhideWhenUsed/>
    <w:rsid w:val="00897B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7BA1"/>
    <w:rPr>
      <w:sz w:val="20"/>
      <w:szCs w:val="20"/>
    </w:rPr>
  </w:style>
  <w:style w:type="character" w:styleId="FootnoteReference">
    <w:name w:val="footnote reference"/>
    <w:basedOn w:val="DefaultParagraphFont"/>
    <w:uiPriority w:val="99"/>
    <w:semiHidden/>
    <w:unhideWhenUsed/>
    <w:rsid w:val="00897BA1"/>
    <w:rPr>
      <w:vertAlign w:val="superscript"/>
    </w:rPr>
  </w:style>
  <w:style w:type="character" w:styleId="Hyperlink">
    <w:name w:val="Hyperlink"/>
    <w:basedOn w:val="DefaultParagraphFont"/>
    <w:uiPriority w:val="99"/>
    <w:unhideWhenUsed/>
    <w:rsid w:val="001F4975"/>
    <w:rPr>
      <w:color w:val="0563C1" w:themeColor="hyperlink"/>
      <w:u w:val="single"/>
    </w:rPr>
  </w:style>
  <w:style w:type="character" w:styleId="UnresolvedMention">
    <w:name w:val="Unresolved Mention"/>
    <w:basedOn w:val="DefaultParagraphFont"/>
    <w:uiPriority w:val="99"/>
    <w:semiHidden/>
    <w:unhideWhenUsed/>
    <w:rsid w:val="001F4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10</Pages>
  <Words>2176</Words>
  <Characters>12404</Characters>
  <Application>Microsoft Office Word</Application>
  <DocSecurity>0</DocSecurity>
  <Lines>103</Lines>
  <Paragraphs>29</Paragraphs>
  <ScaleCrop>false</ScaleCrop>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206</cp:revision>
  <dcterms:created xsi:type="dcterms:W3CDTF">2018-07-20T16:37:00Z</dcterms:created>
  <dcterms:modified xsi:type="dcterms:W3CDTF">2018-07-21T05:37:00Z</dcterms:modified>
</cp:coreProperties>
</file>