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5D070" w14:textId="77777777" w:rsidR="00C80CA9" w:rsidRDefault="00C80CA9" w:rsidP="00C80CA9">
      <w:pPr>
        <w:pBdr>
          <w:bottom w:val="single" w:sz="12" w:space="6" w:color="1C8C8C"/>
        </w:pBdr>
        <w:spacing w:after="80"/>
        <w:jc w:val="center"/>
      </w:pPr>
      <w:r>
        <w:rPr>
          <w:b/>
          <w:bCs/>
          <w:color w:val="1F3A5F"/>
          <w:sz w:val="34"/>
          <w:szCs w:val="34"/>
        </w:rPr>
        <w:t>Ficha de Intenção de Tema</w:t>
      </w:r>
    </w:p>
    <w:p w14:paraId="46AA14DB" w14:textId="77777777" w:rsidR="00C80CA9" w:rsidRDefault="00C80CA9" w:rsidP="00C80CA9">
      <w:pPr>
        <w:spacing w:before="80" w:after="160"/>
        <w:jc w:val="both"/>
      </w:pPr>
      <w:r>
        <w:rPr>
          <w:i/>
          <w:iCs/>
          <w:color w:val="5A6270"/>
          <w:sz w:val="18"/>
          <w:szCs w:val="18"/>
        </w:rPr>
        <w:t>Esta ficha registra sua intenção inicial de tema e subsidia a alocação de orientadores. Ela não é definitiva: pergunta, dados e método serão refinados com o orientador. Seja específico e honesto sobre a situação dos dados.</w:t>
      </w:r>
    </w:p>
    <w:p w14:paraId="05EEE9EF" w14:textId="77777777" w:rsidR="00C80CA9" w:rsidRDefault="00C80CA9" w:rsidP="00C80CA9">
      <w:pPr>
        <w:keepNext/>
        <w:shd w:val="clear" w:color="auto" w:fill="1F3A5F"/>
        <w:spacing w:before="220" w:after="100"/>
      </w:pPr>
      <w:r>
        <w:rPr>
          <w:b/>
          <w:bCs/>
          <w:color w:val="FFFFFF"/>
          <w:sz w:val="21"/>
          <w:szCs w:val="21"/>
        </w:rPr>
        <w:t>1  IDENTIFICAÇÃO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7"/>
        <w:gridCol w:w="6387"/>
      </w:tblGrid>
      <w:tr w:rsidR="00C80CA9" w14:paraId="472EB9CA" w14:textId="77777777" w:rsidTr="00C80CA9">
        <w:tblPrEx>
          <w:tblCellMar>
            <w:top w:w="0" w:type="dxa"/>
            <w:bottom w:w="0" w:type="dxa"/>
          </w:tblCellMar>
        </w:tblPrEx>
        <w:tc>
          <w:tcPr>
            <w:tcW w:w="1141" w:type="pct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3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91172B" w14:textId="77777777" w:rsidR="00C80CA9" w:rsidRDefault="00C80CA9" w:rsidP="000408E7">
            <w:r>
              <w:rPr>
                <w:b/>
                <w:bCs/>
                <w:color w:val="1F3A5F"/>
              </w:rPr>
              <w:t>Nome</w:t>
            </w:r>
          </w:p>
        </w:tc>
        <w:tc>
          <w:tcPr>
            <w:tcW w:w="3859" w:type="pct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t xml:space="preserve">Gladson</w:t>
            </w:r>
          </w:p>
        </w:tc>
      </w:tr>
      <w:tr w:rsidR="00C80CA9" w14:paraId="44255AA5" w14:textId="77777777" w:rsidTr="00C80CA9">
        <w:tblPrEx>
          <w:tblCellMar>
            <w:top w:w="0" w:type="dxa"/>
            <w:bottom w:w="0" w:type="dxa"/>
          </w:tblCellMar>
        </w:tblPrEx>
        <w:tc>
          <w:tcPr>
            <w:tcW w:w="1141" w:type="pct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3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F1FB63" w14:textId="77777777" w:rsidR="00C80CA9" w:rsidRDefault="00C80CA9" w:rsidP="000408E7">
            <w:r>
              <w:rPr>
                <w:b/>
                <w:bCs/>
                <w:color w:val="1F3A5F"/>
              </w:rPr>
              <w:t>E-mail</w:t>
            </w:r>
          </w:p>
        </w:tc>
        <w:tc>
          <w:tcPr>
            <w:tcW w:w="3859" w:type="pct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t xml:space="preserve">gladsonrf1@gmail.com</w:t>
            </w:r>
          </w:p>
        </w:tc>
      </w:tr>
      <w:tr w:rsidR="00C80CA9" w14:paraId="0375AEA0" w14:textId="77777777" w:rsidTr="00C80CA9">
        <w:tblPrEx>
          <w:tblCellMar>
            <w:top w:w="0" w:type="dxa"/>
            <w:bottom w:w="0" w:type="dxa"/>
          </w:tblCellMar>
        </w:tblPrEx>
        <w:tc>
          <w:tcPr>
            <w:tcW w:w="1141" w:type="pct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3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478781" w14:textId="22ECA903" w:rsidR="00C80CA9" w:rsidRDefault="00C80CA9" w:rsidP="000408E7">
            <w:pPr>
              <w:rPr>
                <w:b/>
                <w:bCs/>
                <w:color w:val="1F3A5F"/>
              </w:rPr>
            </w:pPr>
            <w:r>
              <w:rPr>
                <w:b/>
                <w:bCs/>
                <w:color w:val="1F3A5F"/>
              </w:rPr>
              <w:t>Telefone/WhatsApp</w:t>
            </w:r>
          </w:p>
        </w:tc>
        <w:tc>
          <w:tcPr>
            <w:tcW w:w="3859" w:type="pct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261EBA" w14:textId="77777777" w:rsidR="00C80CA9" w:rsidRDefault="00C80CA9" w:rsidP="000408E7"/>
        </w:tc>
      </w:tr>
    </w:tbl>
    <w:p w14:paraId="6EFAFA72" w14:textId="77777777" w:rsidR="00C80CA9" w:rsidRDefault="00C80CA9" w:rsidP="00C80CA9">
      <w:pPr>
        <w:keepNext/>
        <w:shd w:val="clear" w:color="auto" w:fill="1F3A5F"/>
        <w:spacing w:before="220" w:after="100"/>
      </w:pPr>
      <w:r>
        <w:rPr>
          <w:b/>
          <w:bCs/>
          <w:color w:val="FFFFFF"/>
          <w:sz w:val="21"/>
          <w:szCs w:val="21"/>
        </w:rPr>
        <w:t xml:space="preserve">2  TEMA PRINCIPAL</w:t>
      </w:r>
    </w:p>
    <w:p w14:paraId="2D66E00D" w14:textId="77777777" w:rsidR="00C80CA9" w:rsidRDefault="00C80CA9" w:rsidP="00C80CA9">
      <w:pPr>
        <w:keepNext/>
        <w:spacing w:before="100" w:after="20"/>
      </w:pPr>
      <w:r>
        <w:rPr>
          <w:b/>
          <w:bCs/>
          <w:color w:val="1F3A5F"/>
        </w:rPr>
        <w:t xml:space="preserve">2.1  Problema ou oportunidade de negócio</w:t>
      </w:r>
    </w:p>
    <w:p w14:paraId="5EAE1748" w14:textId="47A757F0" w:rsidR="00C80CA9" w:rsidRDefault="00C80CA9" w:rsidP="00C80CA9">
      <w:pPr>
        <w:keepNext/>
        <w:spacing w:after="60"/>
      </w:pPr>
      <w:r>
        <w:rPr>
          <w:i/>
          <w:iCs/>
          <w:color w:val="5A6270"/>
          <w:sz w:val="17"/>
          <w:szCs w:val="17"/>
        </w:rPr>
        <w:t>Qual situação concreta motiva o trabalho? Em qual organização ou setor?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C80CA9" w14:paraId="75C2BCE3" w14:textId="77777777" w:rsidTr="00C80CA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80"/>
            </w:pPr>
            <w:r>
              <w:t xml:space="preserve">O Brasil importa a maior parte dos fertilizantes que consome, e os principais fornecedores de potássio e nitrogenados (Rússia, Belarus, países do Golfo) estão expostos a conflitos e sanções. Choques geopolíticos recentes, como as sanções a Belarus (2021) e a guerra Rússia–Ucrânia (2022), provocaram saltos abruptos no preço de importação, elevando o custo de produção de soja, milho, café e cana.</w:t>
            </w:r>
          </w:p>
          <w:p>
            <w:pPr>
              <w:spacing w:after="80"/>
            </w:pPr>
            <w:r>
              <w:t xml:space="preserve">Produtores, cooperativas e revendas de insumos precisam decidir compras com meses de antecedência, geralmente sem um instrumento quantitativo de previsão. Setor: agronegócio / insumos agrícolas / comércio exterior.</w:t>
            </w:r>
          </w:p>
        </w:tc>
      </w:tr>
    </w:tbl>
    <w:p w14:paraId="4AD53671" w14:textId="77777777" w:rsidR="00C80CA9" w:rsidRDefault="00C80CA9" w:rsidP="00C80CA9">
      <w:pPr>
        <w:keepNext/>
        <w:spacing w:before="100" w:after="20"/>
      </w:pPr>
      <w:r>
        <w:rPr>
          <w:b/>
          <w:bCs/>
          <w:color w:val="1F3A5F"/>
        </w:rPr>
        <w:t xml:space="preserve">2.2  Pergunta ou produto pretendido</w:t>
      </w:r>
    </w:p>
    <w:p w14:paraId="70967CEB" w14:textId="77777777" w:rsidR="00C80CA9" w:rsidRDefault="00C80CA9" w:rsidP="00C80CA9">
      <w:pPr>
        <w:keepNext/>
        <w:spacing w:after="60"/>
      </w:pPr>
      <w:r>
        <w:rPr>
          <w:i/>
          <w:iCs/>
          <w:color w:val="5A6270"/>
          <w:sz w:val="17"/>
          <w:szCs w:val="17"/>
        </w:rPr>
        <w:t>Escreva a pergunta em uma frase. Se for um produto de dados, descreva o que ele fará e quem vai usá-lo.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C80CA9" w14:paraId="59BB6152" w14:textId="77777777" w:rsidTr="00C80CA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80"/>
            </w:pPr>
            <w:r>
              <w:t xml:space="preserve">É possível prever, com 1 a 3 meses de antecedência e erro menor que o de modelos ingênuos, o preço de importação dos principais fertilizantes no Brasil (ureia, cloreto de potássio e MAP/NPK), incorporando indicadores de risco geopolítico e de mercado?</w:t>
            </w:r>
          </w:p>
          <w:p>
            <w:pPr>
              <w:spacing w:after="80"/>
            </w:pPr>
            <w:r>
              <w:t xml:space="preserve">Produto associado: modelo de previsão mensal e um painel simples de acompanhamento, voltado a cooperativas, revendas e compradores de insumos.</w:t>
            </w:r>
          </w:p>
        </w:tc>
      </w:tr>
    </w:tbl>
    <w:p w14:paraId="04917C95" w14:textId="77777777" w:rsidR="00C80CA9" w:rsidRDefault="00C80CA9" w:rsidP="00C80CA9">
      <w:pPr>
        <w:keepNext/>
        <w:spacing w:before="100" w:after="20"/>
      </w:pPr>
      <w:r>
        <w:rPr>
          <w:b/>
          <w:bCs/>
          <w:color w:val="1F3A5F"/>
        </w:rPr>
        <w:t xml:space="preserve">2.3  Decisão apoiada</w:t>
      </w:r>
    </w:p>
    <w:p w14:paraId="5C6501EC" w14:textId="1F9E7A47" w:rsidR="00C80CA9" w:rsidRDefault="00C80CA9" w:rsidP="00C80CA9">
      <w:pPr>
        <w:keepNext/>
        <w:spacing w:after="60"/>
      </w:pPr>
      <w:r>
        <w:rPr>
          <w:i/>
          <w:iCs/>
          <w:color w:val="5A6270"/>
          <w:sz w:val="17"/>
          <w:szCs w:val="17"/>
        </w:rPr>
        <w:t>Que decisão os resultados vão informar?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C80CA9" w14:paraId="7DDEC5C5" w14:textId="77777777" w:rsidTr="00C80CA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80"/>
            </w:pPr>
            <w:r>
              <w:t xml:space="preserve">Momento e volume de compra antecipada e estocagem de fertilizantes; necessidade de proteção de preço (hedge ou contratos a termo); planejamento do orçamento de custeio da safra.</w:t>
            </w:r>
          </w:p>
        </w:tc>
      </w:tr>
    </w:tbl>
    <w:p w14:paraId="66562228" w14:textId="77777777" w:rsidR="00C80CA9" w:rsidRDefault="00C80CA9" w:rsidP="00C80CA9">
      <w:pPr>
        <w:keepNext/>
        <w:spacing w:before="100" w:after="20"/>
      </w:pPr>
      <w:r>
        <w:rPr>
          <w:b/>
          <w:bCs/>
          <w:color w:val="1F3A5F"/>
        </w:rPr>
        <w:t xml:space="preserve">2.4  Tipo de pergunta</w:t>
      </w:r>
    </w:p>
    <w:p w14:paraId="116941A9" w14:textId="77777777" w:rsidR="00C80CA9" w:rsidRDefault="00C80CA9" w:rsidP="00C80CA9">
      <w:pPr>
        <w:spacing w:after="80"/>
      </w:pPr>
      <w:r>
        <w:rPr>
          <w:color w:val="1C8C8C"/>
          <w:sz w:val="22"/>
          <w:szCs w:val="22"/>
        </w:rPr>
        <w:t xml:space="preserve">☐ </w:t>
      </w:r>
      <w:r>
        <w:t xml:space="preserve">Descritiva      </w:t>
      </w:r>
      <w:r>
        <w:rPr>
          <w:color w:val="1C8C8C"/>
          <w:sz w:val="22"/>
          <w:szCs w:val="22"/>
        </w:rPr>
        <w:t xml:space="preserve">☒ </w:t>
      </w:r>
      <w:r>
        <w:t xml:space="preserve">Preditiva      </w:t>
      </w:r>
      <w:r>
        <w:rPr>
          <w:color w:val="1C8C8C"/>
          <w:sz w:val="22"/>
          <w:szCs w:val="22"/>
        </w:rPr>
        <w:t xml:space="preserve">☐ </w:t>
      </w:r>
      <w:r>
        <w:t xml:space="preserve">Causal      </w:t>
      </w:r>
      <w:r>
        <w:rPr>
          <w:color w:val="1C8C8C"/>
          <w:sz w:val="22"/>
          <w:szCs w:val="22"/>
        </w:rPr>
        <w:t xml:space="preserve">☐ </w:t>
      </w:r>
      <w:r>
        <w:t>Ainda não sei</w:t>
      </w:r>
    </w:p>
    <w:p w14:paraId="52F4CB92" w14:textId="77777777" w:rsidR="00C80CA9" w:rsidRDefault="00C80CA9" w:rsidP="00C80CA9">
      <w:pPr>
        <w:spacing w:after="80"/>
      </w:pPr>
    </w:p>
    <w:p w14:paraId="0E089DCE" w14:textId="77777777" w:rsidR="00C80CA9" w:rsidRDefault="00C80CA9" w:rsidP="00C80CA9">
      <w:pPr>
        <w:keepNext/>
        <w:spacing w:before="100" w:after="20"/>
      </w:pPr>
      <w:r>
        <w:rPr>
          <w:b/>
          <w:bCs/>
          <w:color w:val="1F3A5F"/>
        </w:rPr>
        <w:t xml:space="preserve">2.5  Variante do relatório</w:t>
      </w:r>
    </w:p>
    <w:p w14:paraId="7B9A9E28" w14:textId="77777777" w:rsidR="00C80CA9" w:rsidRDefault="00C80CA9" w:rsidP="00C80CA9">
      <w:pPr>
        <w:spacing w:after="80"/>
      </w:pPr>
      <w:r>
        <w:rPr>
          <w:color w:val="1C8C8C"/>
          <w:sz w:val="22"/>
          <w:szCs w:val="22"/>
        </w:rPr>
        <w:t xml:space="preserve">☒ </w:t>
      </w:r>
      <w:r>
        <w:t xml:space="preserve">Relatório analítico      </w:t>
      </w:r>
      <w:r>
        <w:rPr>
          <w:color w:val="1C8C8C"/>
          <w:sz w:val="22"/>
          <w:szCs w:val="22"/>
        </w:rPr>
        <w:t xml:space="preserve">☐ </w:t>
      </w:r>
      <w:r>
        <w:t>Relatório de produto de dados</w:t>
      </w:r>
    </w:p>
    <w:p w14:paraId="75B258D1" w14:textId="77777777" w:rsidR="00C80CA9" w:rsidRDefault="00C80CA9" w:rsidP="00C80CA9">
      <w:pPr>
        <w:keepNext/>
        <w:shd w:val="clear" w:color="auto" w:fill="1F3A5F"/>
        <w:spacing w:before="220" w:after="100"/>
      </w:pPr>
      <w:r>
        <w:rPr>
          <w:b/>
          <w:bCs/>
          <w:color w:val="FFFFFF"/>
          <w:sz w:val="21"/>
          <w:szCs w:val="21"/>
        </w:rPr>
        <w:t>3  DADOS</w:t>
      </w:r>
    </w:p>
    <w:p w14:paraId="56064688" w14:textId="77777777" w:rsidR="00C80CA9" w:rsidRDefault="00C80CA9" w:rsidP="00C80CA9">
      <w:pPr>
        <w:keepNext/>
        <w:spacing w:before="100" w:after="20"/>
      </w:pPr>
      <w:r>
        <w:rPr>
          <w:b/>
          <w:bCs/>
          <w:color w:val="1F3A5F"/>
        </w:rPr>
        <w:t xml:space="preserve">3.1  Descrição dos dados</w:t>
      </w:r>
    </w:p>
    <w:p w14:paraId="49CCABF1" w14:textId="77777777" w:rsidR="00C80CA9" w:rsidRDefault="00C80CA9" w:rsidP="00C80CA9">
      <w:pPr>
        <w:keepNext/>
        <w:spacing w:after="60"/>
      </w:pPr>
      <w:r>
        <w:rPr>
          <w:i/>
          <w:iCs/>
          <w:color w:val="5A6270"/>
          <w:sz w:val="17"/>
          <w:szCs w:val="17"/>
        </w:rPr>
        <w:t>Quais bases? Unidade de observação (cliente, transação, município...), período coberto e volume aproximado.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C80CA9" w14:paraId="56811D6A" w14:textId="77777777" w:rsidTr="00C80CA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Bases (todas públicas):</w:t>
            </w:r>
          </w:p>
          <w:p>
            <w:pPr>
              <w:spacing w:after="80"/>
            </w:pPr>
            <w:r>
              <w:t xml:space="preserve">– ComexStat (MDIC): importações mensais por NCM (capítulo 31: 3102 nitrogenados, 3104 potássicos, 3105 NPK/MAP) e país de origem, com valor FOB (US$) e peso (kg), de onde se obtém o preço unitário (US$/t).</w:t>
            </w:r>
          </w:p>
          <w:p>
            <w:pPr>
              <w:spacing w:after="80"/>
            </w:pPr>
            <w:r>
              <w:t xml:space="preserve">– Banco Mundial, Pink Sheet: preços internacionais mensais de ureia, DAP, cloreto de potássio, gás natural e petróleo.</w:t>
            </w:r>
          </w:p>
          <w:p>
            <w:pPr>
              <w:spacing w:after="80"/>
            </w:pPr>
            <w:r>
              <w:t xml:space="preserve">– Índice de Risco Geopolítico (GPR, Caldara e Iacoviello): mensal, global e por país (ex.: Rússia, Ucrânia).</w:t>
            </w:r>
          </w:p>
          <w:p>
            <w:pPr>
              <w:spacing w:after="80"/>
            </w:pPr>
            <w:r>
              <w:t xml:space="preserve">– Banco Central (SGS): câmbio R$/US$. Complementares: índices de frete marítimo (a verificar) e custos de produção CONAB.</w:t>
            </w:r>
          </w:p>
          <w:p>
            <w:pPr>
              <w:spacing w:after="80"/>
            </w:pPr>
            <w:r>
              <w:t xml:space="preserve">Unidade de observação: produto × mês (com desagregação por país de origem). Período: 1997–2026, cerca de 350 meses por produto.</w:t>
            </w:r>
          </w:p>
        </w:tc>
      </w:tr>
    </w:tbl>
    <w:p w14:paraId="325250F6" w14:textId="77777777" w:rsidR="00C80CA9" w:rsidRDefault="00C80CA9" w:rsidP="00C80CA9">
      <w:pPr>
        <w:keepNext/>
        <w:spacing w:before="100" w:after="20"/>
      </w:pPr>
      <w:r>
        <w:rPr>
          <w:b/>
          <w:bCs/>
          <w:color w:val="1F3A5F"/>
        </w:rPr>
        <w:lastRenderedPageBreak/>
        <w:t>3.2  Origem</w:t>
      </w:r>
    </w:p>
    <w:p w14:paraId="1AF8C4F6" w14:textId="77777777" w:rsidR="00C80CA9" w:rsidRDefault="00C80CA9" w:rsidP="00C80CA9">
      <w:pPr>
        <w:keepNext/>
        <w:spacing w:after="40"/>
      </w:pPr>
      <w:r>
        <w:rPr>
          <w:i/>
          <w:iCs/>
          <w:color w:val="5A6270"/>
          <w:sz w:val="17"/>
          <w:szCs w:val="17"/>
        </w:rPr>
        <w:t>Marque todas as que se aplicam.</w:t>
      </w:r>
    </w:p>
    <w:p w14:paraId="54A8D1CE" w14:textId="61A5A4D6" w:rsidR="00C80CA9" w:rsidRDefault="00C80CA9" w:rsidP="00C80CA9">
      <w:pPr>
        <w:spacing w:after="80"/>
      </w:pPr>
      <w:r>
        <w:rPr>
          <w:color w:val="1C8C8C"/>
          <w:sz w:val="22"/>
          <w:szCs w:val="22"/>
        </w:rPr>
        <w:t xml:space="preserve">☐ </w:t>
      </w:r>
      <w:r>
        <w:t xml:space="preserve">Organização onde trabalho    </w:t>
      </w:r>
      <w:r>
        <w:rPr>
          <w:color w:val="1C8C8C"/>
          <w:sz w:val="22"/>
          <w:szCs w:val="22"/>
        </w:rPr>
        <w:t xml:space="preserve">☐ </w:t>
      </w:r>
      <w:r>
        <w:t xml:space="preserve">Outra organização    </w:t>
      </w:r>
      <w:r>
        <w:rPr>
          <w:color w:val="1C8C8C"/>
          <w:sz w:val="22"/>
          <w:szCs w:val="22"/>
        </w:rPr>
        <w:t xml:space="preserve">☒ </w:t>
      </w:r>
      <w:r>
        <w:t xml:space="preserve">Dados públicos    </w:t>
      </w:r>
      <w:r>
        <w:rPr>
          <w:color w:val="1C8C8C"/>
          <w:sz w:val="22"/>
          <w:szCs w:val="22"/>
        </w:rPr>
        <w:t xml:space="preserve">☐ </w:t>
      </w:r>
      <w:r>
        <w:t>Coleta própria</w:t>
      </w:r>
    </w:p>
    <w:p w14:paraId="7ED6AB93" w14:textId="77777777" w:rsidR="00C80CA9" w:rsidRDefault="00C80CA9" w:rsidP="00C80CA9">
      <w:pPr>
        <w:spacing w:after="80"/>
      </w:pPr>
    </w:p>
    <w:p w14:paraId="6B85ADC4" w14:textId="77777777" w:rsidR="00C80CA9" w:rsidRDefault="00C80CA9" w:rsidP="00C80CA9">
      <w:pPr>
        <w:keepNext/>
        <w:spacing w:before="100" w:after="20"/>
      </w:pPr>
      <w:r>
        <w:rPr>
          <w:b/>
          <w:bCs/>
          <w:color w:val="1F3A5F"/>
        </w:rPr>
        <w:t xml:space="preserve">3.3  Situação do acesso</w:t>
      </w:r>
    </w:p>
    <w:p w14:paraId="0268218E" w14:textId="77777777" w:rsidR="00C80CA9" w:rsidRDefault="00C80CA9" w:rsidP="00C80CA9">
      <w:pPr>
        <w:spacing w:after="80"/>
      </w:pPr>
      <w:r>
        <w:rPr>
          <w:color w:val="1C8C8C"/>
          <w:sz w:val="22"/>
          <w:szCs w:val="22"/>
        </w:rPr>
        <w:t xml:space="preserve">☒ </w:t>
      </w:r>
      <w:r>
        <w:t xml:space="preserve">Já tenho os dados      </w:t>
      </w:r>
      <w:r>
        <w:rPr>
          <w:color w:val="1C8C8C"/>
          <w:sz w:val="22"/>
          <w:szCs w:val="22"/>
        </w:rPr>
        <w:t xml:space="preserve">☐ </w:t>
      </w:r>
      <w:r>
        <w:t xml:space="preserve">Acesso em negociação      </w:t>
      </w:r>
      <w:r>
        <w:rPr>
          <w:color w:val="1C8C8C"/>
          <w:sz w:val="22"/>
          <w:szCs w:val="22"/>
        </w:rPr>
        <w:t xml:space="preserve">☐ </w:t>
      </w:r>
      <w:r>
        <w:t>Ainda não solicitado</w:t>
      </w:r>
    </w:p>
    <w:p w14:paraId="560F6158" w14:textId="77777777" w:rsidR="00C80CA9" w:rsidRDefault="00C80CA9" w:rsidP="00C80CA9">
      <w:pPr>
        <w:spacing w:after="80"/>
      </w:pPr>
    </w:p>
    <w:p w14:paraId="6FDC070B" w14:textId="77777777" w:rsidR="00C80CA9" w:rsidRDefault="00C80CA9" w:rsidP="00C80CA9">
      <w:pPr>
        <w:keepNext/>
        <w:spacing w:before="100" w:after="20"/>
      </w:pPr>
      <w:r>
        <w:rPr>
          <w:b/>
          <w:bCs/>
          <w:color w:val="1F3A5F"/>
        </w:rPr>
        <w:t xml:space="preserve">3.4  Autorização formal para uso e publicação</w:t>
      </w:r>
    </w:p>
    <w:p w14:paraId="6707359F" w14:textId="77777777" w:rsidR="00C80CA9" w:rsidRDefault="00C80CA9" w:rsidP="00C80CA9">
      <w:pPr>
        <w:spacing w:after="80"/>
      </w:pPr>
      <w:r>
        <w:rPr>
          <w:color w:val="1C8C8C"/>
          <w:sz w:val="22"/>
          <w:szCs w:val="22"/>
        </w:rPr>
        <w:t xml:space="preserve">☐ </w:t>
      </w:r>
      <w:r>
        <w:t xml:space="preserve">Sim      </w:t>
      </w:r>
      <w:r>
        <w:rPr>
          <w:color w:val="1C8C8C"/>
          <w:sz w:val="22"/>
          <w:szCs w:val="22"/>
        </w:rPr>
        <w:t xml:space="preserve">☐ </w:t>
      </w:r>
      <w:r>
        <w:t xml:space="preserve">Em andamento      </w:t>
      </w:r>
      <w:r>
        <w:rPr>
          <w:color w:val="1C8C8C"/>
          <w:sz w:val="22"/>
          <w:szCs w:val="22"/>
        </w:rPr>
        <w:t xml:space="preserve">☐ </w:t>
      </w:r>
      <w:r>
        <w:t xml:space="preserve">Não      </w:t>
      </w:r>
      <w:r>
        <w:rPr>
          <w:color w:val="1C8C8C"/>
          <w:sz w:val="22"/>
          <w:szCs w:val="22"/>
        </w:rPr>
        <w:t xml:space="preserve">☒ </w:t>
      </w:r>
      <w:r>
        <w:t>Não se aplica (dados públicos)</w:t>
      </w:r>
    </w:p>
    <w:p w14:paraId="1FA3E279" w14:textId="77777777" w:rsidR="00C80CA9" w:rsidRDefault="00C80CA9" w:rsidP="00C80CA9">
      <w:pPr>
        <w:spacing w:after="80"/>
      </w:pPr>
    </w:p>
    <w:p w14:paraId="1AA0F2A6" w14:textId="77777777" w:rsidR="00C80CA9" w:rsidRDefault="00C80CA9" w:rsidP="00C80CA9">
      <w:pPr>
        <w:keepNext/>
        <w:spacing w:before="100" w:after="20"/>
      </w:pPr>
      <w:r>
        <w:rPr>
          <w:b/>
          <w:bCs/>
          <w:color w:val="1F3A5F"/>
        </w:rPr>
        <w:t xml:space="preserve">3.5  Os dados contêm informações pessoais?</w:t>
      </w:r>
    </w:p>
    <w:p w14:paraId="2B8994A3" w14:textId="77777777" w:rsidR="00C80CA9" w:rsidRDefault="00C80CA9" w:rsidP="00C80CA9">
      <w:pPr>
        <w:spacing w:after="80"/>
      </w:pPr>
      <w:r>
        <w:rPr>
          <w:color w:val="1C8C8C"/>
          <w:sz w:val="22"/>
          <w:szCs w:val="22"/>
        </w:rPr>
        <w:t xml:space="preserve">☐ </w:t>
      </w:r>
      <w:r>
        <w:t xml:space="preserve">Sim      </w:t>
      </w:r>
      <w:r>
        <w:rPr>
          <w:color w:val="1C8C8C"/>
          <w:sz w:val="22"/>
          <w:szCs w:val="22"/>
        </w:rPr>
        <w:t xml:space="preserve">☒ </w:t>
      </w:r>
      <w:r>
        <w:t xml:space="preserve">Não      </w:t>
      </w:r>
      <w:r>
        <w:rPr>
          <w:color w:val="1C8C8C"/>
          <w:sz w:val="22"/>
          <w:szCs w:val="22"/>
        </w:rPr>
        <w:t xml:space="preserve">☐ </w:t>
      </w:r>
      <w:r>
        <w:t>Não sei</w:t>
      </w:r>
    </w:p>
    <w:p w14:paraId="7046953A" w14:textId="77777777" w:rsidR="00C80CA9" w:rsidRDefault="00C80CA9" w:rsidP="00C80CA9">
      <w:pPr>
        <w:spacing w:after="80"/>
      </w:pPr>
    </w:p>
    <w:p w14:paraId="5817EBE2" w14:textId="77777777" w:rsidR="00C80CA9" w:rsidRDefault="00C80CA9" w:rsidP="00C80CA9">
      <w:pPr>
        <w:keepNext/>
        <w:shd w:val="clear" w:color="auto" w:fill="1F3A5F"/>
        <w:spacing w:before="220" w:after="100"/>
      </w:pPr>
      <w:r>
        <w:rPr>
          <w:b/>
          <w:bCs/>
          <w:color w:val="FFFFFF"/>
          <w:sz w:val="21"/>
          <w:szCs w:val="21"/>
        </w:rPr>
        <w:t xml:space="preserve">4  MÉTODO E ORIENTAÇÃO</w:t>
      </w:r>
    </w:p>
    <w:p w14:paraId="28C11F8F" w14:textId="77777777" w:rsidR="00C80CA9" w:rsidRDefault="00C80CA9" w:rsidP="00C80CA9">
      <w:pPr>
        <w:keepNext/>
        <w:spacing w:before="100" w:after="20"/>
      </w:pPr>
      <w:r>
        <w:rPr>
          <w:b/>
          <w:bCs/>
          <w:color w:val="1F3A5F"/>
        </w:rPr>
        <w:t xml:space="preserve">4.1  Métodos e ferramentas que pretende usar</w:t>
      </w:r>
    </w:p>
    <w:p w14:paraId="13E47E5A" w14:textId="77777777" w:rsidR="00C80CA9" w:rsidRDefault="00C80CA9" w:rsidP="00C80CA9">
      <w:pPr>
        <w:keepNext/>
        <w:spacing w:after="60"/>
      </w:pPr>
      <w:r>
        <w:rPr>
          <w:i/>
          <w:iCs/>
          <w:color w:val="5A6270"/>
          <w:sz w:val="17"/>
          <w:szCs w:val="17"/>
        </w:rPr>
        <w:t>Técnicas, modelos, linguagens e bibliotecas. Não precisa ser definitivo.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C80CA9" w14:paraId="7F13BFE2" w14:textId="77777777" w:rsidTr="00C80CA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80"/>
            </w:pPr>
            <w:r>
              <w:t xml:space="preserve">Baselines: passeio aleatório, ingênuo sazonal e SARIMA. Modelos: SARIMAX com variáveis exógenas defasadas (GPR, gás natural, câmbio, preços internacionais), regressão regularizada (LASSO/Elastic Net), gradient boosting (XGBoost/LightGBM) e rede neural recorrente (LSTM) como comparação.</w:t>
            </w:r>
          </w:p>
          <w:p>
            <w:pPr>
              <w:spacing w:after="80"/>
            </w:pPr>
            <w:r>
              <w:t xml:space="preserve">Validação temporal com origem móvel (rolling-origin), horizontes de 1, 2 e 3 meses; métricas MAE, RMSE e MAPE; teste de Diebold-Mariano; avaliação específica no episódio 2021–2022. Interpretação com SHAP (sem leitura causal).</w:t>
            </w:r>
          </w:p>
          <w:p>
            <w:pPr>
              <w:spacing w:after="80"/>
            </w:pPr>
            <w:r>
              <w:t xml:space="preserve">Ferramentas: Python (pandas, statsmodels, sktime/darts, scikit-learn, xgboost, lightgbm, PyTorch/Keras, shap), Git e Quarto.</w:t>
            </w:r>
          </w:p>
        </w:tc>
      </w:tr>
    </w:tbl>
    <w:p w14:paraId="33B53C5C" w14:textId="77777777" w:rsidR="00C80CA9" w:rsidRDefault="00C80CA9" w:rsidP="00C80CA9">
      <w:pPr>
        <w:keepNext/>
        <w:spacing w:before="100" w:after="20"/>
      </w:pPr>
      <w:r>
        <w:rPr>
          <w:b/>
          <w:bCs/>
          <w:color w:val="1F3A5F"/>
        </w:rPr>
        <w:t xml:space="preserve">4.2  Área temática de afinidade</w:t>
      </w:r>
    </w:p>
    <w:p w14:paraId="4AD9679E" w14:textId="77777777" w:rsidR="00C80CA9" w:rsidRDefault="00C80CA9" w:rsidP="00C80CA9">
      <w:pPr>
        <w:keepNext/>
        <w:spacing w:after="60"/>
      </w:pPr>
      <w:r>
        <w:rPr>
          <w:i/>
          <w:iCs/>
          <w:color w:val="5A6270"/>
          <w:sz w:val="17"/>
          <w:szCs w:val="17"/>
        </w:rPr>
        <w:t>Ex.: finanças, varejo, marketing, setor público, saúde, agronegócio, recursos humanos, logística.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C80CA9" w14:paraId="03A02EA3" w14:textId="77777777" w:rsidTr="00C80CA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80"/>
            </w:pPr>
            <w:r>
              <w:t xml:space="preserve">Agronegócio; comércio exterior e commodities.</w:t>
            </w:r>
          </w:p>
        </w:tc>
      </w:tr>
    </w:tbl>
    <w:p w14:paraId="3329CB3A" w14:textId="77777777" w:rsidR="00C80CA9" w:rsidRDefault="00C80CA9" w:rsidP="00C80CA9">
      <w:pPr>
        <w:keepNext/>
        <w:spacing w:before="100" w:after="20"/>
      </w:pPr>
      <w:r>
        <w:rPr>
          <w:b/>
          <w:bCs/>
          <w:color w:val="1F3A5F"/>
        </w:rPr>
        <w:t xml:space="preserve">4.3  Preferência de orientador (opcional)</w:t>
      </w:r>
    </w:p>
    <w:p w14:paraId="656649C2" w14:textId="77777777" w:rsidR="00C80CA9" w:rsidRDefault="00C80CA9" w:rsidP="00C80CA9">
      <w:pPr>
        <w:keepNext/>
        <w:spacing w:after="60"/>
      </w:pPr>
      <w:r>
        <w:rPr>
          <w:i/>
          <w:iCs/>
          <w:color w:val="5A6270"/>
          <w:sz w:val="17"/>
          <w:szCs w:val="17"/>
        </w:rPr>
        <w:t>Indique até dois nomes, se tiver preferência. A alocação considera também a disponibilidade dos docentes.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C80CA9" w14:paraId="4CFFC609" w14:textId="77777777" w:rsidTr="00C80CA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88194" w14:textId="77777777" w:rsidR="00C80CA9" w:rsidRDefault="00C80CA9" w:rsidP="000408E7">
            <w:pPr>
              <w:spacing w:after="120"/>
            </w:pPr>
          </w:p>
        </w:tc>
      </w:tr>
    </w:tbl>
    <w:p w14:paraId="0B5D14C0" w14:textId="77777777" w:rsidR="00C80CA9" w:rsidRDefault="00C80CA9" w:rsidP="00C80CA9">
      <w:pPr>
        <w:keepNext/>
        <w:shd w:val="clear" w:color="auto" w:fill="1F3A5F"/>
        <w:spacing w:before="220" w:after="100"/>
      </w:pPr>
      <w:r>
        <w:rPr>
          <w:b/>
          <w:bCs/>
          <w:color w:val="FFFFFF"/>
          <w:sz w:val="21"/>
          <w:szCs w:val="21"/>
        </w:rPr>
        <w:t xml:space="preserve">5  TEMA ALTERNATIVO (OPCIONAL)</w:t>
      </w:r>
    </w:p>
    <w:p w14:paraId="0CF1B630" w14:textId="77777777" w:rsidR="00C80CA9" w:rsidRDefault="00C80CA9" w:rsidP="00C80CA9">
      <w:pPr>
        <w:keepNext/>
        <w:spacing w:before="100" w:after="20"/>
      </w:pPr>
      <w:r>
        <w:rPr>
          <w:b/>
          <w:bCs/>
          <w:color w:val="1F3A5F"/>
        </w:rPr>
        <w:t xml:space="preserve">5.1  Problema e pergunta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C80CA9" w14:paraId="3A030C5D" w14:textId="77777777" w:rsidTr="00C80CA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Pé-de-Meia e abandono escolar no ensino médio (pergunta causal)</w:t>
            </w:r>
          </w:p>
          <w:p>
            <w:pPr>
              <w:spacing w:after="80"/>
            </w:pPr>
            <w:r>
              <w:t xml:space="preserve">Problema: o abandono no ensino médio público é elevado, e o Pé-de-Meia (Lei 14.818/2024), incentivo financeiro-poupança para estudantes de famílias do CadÚnico, já transferiu mais de R$ 10 bilhões desde 2024.</w:t>
            </w:r>
          </w:p>
          <w:p>
            <w:pPr>
              <w:spacing w:after="80"/>
            </w:pPr>
            <w:r>
              <w:t xml:space="preserve">Pergunta: o Pé-de-Meia reduziu a taxa de abandono no ensino médio público, e o efeito é maior nos municípios com maior proporção de estudantes elegíveis?</w:t>
            </w:r>
          </w:p>
          <w:p>
            <w:pPr>
              <w:spacing w:after="80"/>
            </w:pPr>
            <w:r>
              <w:t xml:space="preserve">Desenho: diferença-em-diferenças com tratamento contínuo (intensidade de exposição municipal medida antes do programa), estudo de evento com anos anteriores (2015–2023) e posteriores (2024 em diante). Extensão possível: modelo preditivo do risco de abandono por escola.</w:t>
            </w:r>
          </w:p>
        </w:tc>
      </w:tr>
    </w:tbl>
    <w:p w14:paraId="21FE2A92" w14:textId="77777777" w:rsidR="00C80CA9" w:rsidRDefault="00C80CA9" w:rsidP="00C80CA9">
      <w:pPr>
        <w:keepNext/>
        <w:spacing w:before="100" w:after="20"/>
      </w:pPr>
      <w:r>
        <w:rPr>
          <w:b/>
          <w:bCs/>
          <w:color w:val="1F3A5F"/>
        </w:rPr>
        <w:t xml:space="preserve">5.2  Dados e situação do acesso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C80CA9" w14:paraId="6A15A51B" w14:textId="77777777" w:rsidTr="00C80CA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80"/>
            </w:pPr>
            <w:r>
              <w:t xml:space="preserve">– INEP: taxas de rendimento (abandono, aprovação, reprovação) por escola, município e rede, anuais; a de 2024 foi publicada em 2025.</w:t>
            </w:r>
          </w:p>
          <w:p>
            <w:pPr>
              <w:spacing w:after="80"/>
            </w:pPr>
            <w:r>
              <w:t xml:space="preserve">– INEP: microdados do Censo Escolar (matrículas e características das escolas).</w:t>
            </w:r>
          </w:p>
          <w:p>
            <w:pPr>
              <w:spacing w:after="80"/>
            </w:pPr>
            <w:r>
              <w:t xml:space="preserve">– Portal da Transparência: pagamentos do Pé-de-Meia por município e mês, desde jan/2024 (sem dados individuais dos estudantes).</w:t>
            </w:r>
          </w:p>
          <w:p>
            <w:pPr>
              <w:spacing w:after="80"/>
            </w:pPr>
            <w:r>
              <w:t xml:space="preserve">– MDS: agregados municipais do CadÚnico, para medir a intensidade de exposição antes do programa.</w:t>
            </w:r>
          </w:p>
          <w:p>
            <w:pPr>
              <w:spacing w:after="80"/>
            </w:pPr>
            <w:r>
              <w:t xml:space="preserve">Situação: todos públicos e de download livre. Não há dado de beneficiário por escola, por isso a análise causal é municipal.</w:t>
            </w:r>
          </w:p>
        </w:tc>
      </w:tr>
    </w:tbl>
    <w:p w14:paraId="5B6BECAD" w14:textId="77777777" w:rsidR="00C80CA9" w:rsidRDefault="00C80CA9" w:rsidP="00C80CA9">
      <w:pPr>
        <w:keepNext/>
        <w:shd w:val="clear" w:color="auto" w:fill="1F3A5F"/>
        <w:spacing w:before="220" w:after="100"/>
      </w:pPr>
      <w:r>
        <w:rPr>
          <w:b/>
          <w:bCs/>
          <w:color w:val="FFFFFF"/>
          <w:sz w:val="21"/>
          <w:szCs w:val="21"/>
        </w:rPr>
        <w:t>6  OBSERVAÇÕES</w:t>
      </w:r>
    </w:p>
    <w:p w14:paraId="566389F4" w14:textId="77777777" w:rsidR="00C80CA9" w:rsidRDefault="00C80CA9" w:rsidP="00C80CA9">
      <w:pPr>
        <w:keepNext/>
        <w:spacing w:before="100" w:after="20"/>
      </w:pPr>
      <w:r>
        <w:rPr>
          <w:b/>
          <w:bCs/>
          <w:color w:val="1F3A5F"/>
        </w:rPr>
        <w:t>Dúvidas, restrições ou informações adicionais relevantes para a orientação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C80CA9" w14:paraId="62186B2D" w14:textId="77777777" w:rsidTr="00C80CA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80"/>
            </w:pPr>
            <w:r>
              <w:t xml:space="preserve">– Tema principal: dados abertos e já acessíveis. Os principais riscos são a série curta (cerca de 350 meses) e as quebras estruturais; se a LSTM não superar os modelos clássicos, isso será reportado como resultado.</w:t>
            </w:r>
          </w:p>
          <w:p>
            <w:pPr>
              <w:spacing w:after="80"/>
            </w:pPr>
            <w:r>
              <w:t xml:space="preserve">– Tema alternativo: atenção ao confundimento com o Novo Ensino Médio (Lei 14.945/2024) e com o período pós-pandemia, e ao número reduzido de anos após o tratamento (depende da divulgação das taxas de 2025).</w:t>
            </w:r>
          </w:p>
          <w:p>
            <w:pPr>
              <w:spacing w:after="80"/>
            </w:pPr>
            <w:r>
              <w:t xml:space="preserve">– Sou mestrando em Economia Aplicada (avaliação de impacto, DEA, economia da saúde), o que dá afinidade com o desenho causal do tema alternativo.</w:t>
            </w:r>
          </w:p>
        </w:tc>
      </w:tr>
    </w:tbl>
    <w:p w14:paraId="55FE91AA" w14:textId="77777777" w:rsidR="00B65799" w:rsidRDefault="00B65799"/>
    <w:sectPr w:rsidR="00B65799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86162" w14:textId="77777777" w:rsidR="00DD2819" w:rsidRDefault="00DD2819" w:rsidP="00C80CA9">
      <w:r>
        <w:separator/>
      </w:r>
    </w:p>
  </w:endnote>
  <w:endnote w:type="continuationSeparator" w:id="0">
    <w:p w14:paraId="6A7060F5" w14:textId="77777777" w:rsidR="00DD2819" w:rsidRDefault="00DD2819" w:rsidP="00C80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A4A89" w14:textId="77777777" w:rsidR="00DD2819" w:rsidRDefault="00DD2819" w:rsidP="00C80CA9">
      <w:r>
        <w:separator/>
      </w:r>
    </w:p>
  </w:footnote>
  <w:footnote w:type="continuationSeparator" w:id="0">
    <w:p w14:paraId="316D05E9" w14:textId="77777777" w:rsidR="00DD2819" w:rsidRDefault="00DD2819" w:rsidP="00C80C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006"/>
      <w:gridCol w:w="2498"/>
    </w:tblGrid>
    <w:tr w:rsidR="00C80CA9" w14:paraId="2451007B" w14:textId="77777777" w:rsidTr="00C80CA9">
      <w:tc>
        <w:tcPr>
          <w:tcW w:w="3531" w:type="pct"/>
        </w:tcPr>
        <w:p w14:paraId="659DC84C" w14:textId="77777777" w:rsidR="00C80CA9" w:rsidRPr="00C80CA9" w:rsidRDefault="00C80CA9" w:rsidP="00C80CA9">
          <w:pPr>
            <w:pStyle w:val="Cabealho"/>
            <w:rPr>
              <w:b/>
              <w:bCs/>
              <w:sz w:val="22"/>
              <w:szCs w:val="22"/>
            </w:rPr>
          </w:pPr>
          <w:r w:rsidRPr="00C80CA9">
            <w:rPr>
              <w:b/>
              <w:bCs/>
              <w:sz w:val="22"/>
              <w:szCs w:val="22"/>
            </w:rPr>
            <w:t>UNIVERSIDADE FEDERAL DO CEARÁ</w:t>
          </w:r>
        </w:p>
        <w:p w14:paraId="711A06DD" w14:textId="77777777" w:rsidR="00C80CA9" w:rsidRPr="00C80CA9" w:rsidRDefault="00C80CA9" w:rsidP="00C80CA9">
          <w:pPr>
            <w:pStyle w:val="Cabealho"/>
            <w:rPr>
              <w:b/>
              <w:bCs/>
              <w:sz w:val="22"/>
              <w:szCs w:val="22"/>
            </w:rPr>
          </w:pPr>
          <w:r w:rsidRPr="00C80CA9">
            <w:rPr>
              <w:b/>
              <w:bCs/>
              <w:sz w:val="22"/>
              <w:szCs w:val="22"/>
            </w:rPr>
            <w:t>MBA EM CIÊNCIA DE DADOS APLICADA À NEGÓCIOS</w:t>
          </w:r>
        </w:p>
        <w:p w14:paraId="62406F22" w14:textId="0050B2B4" w:rsidR="00C80CA9" w:rsidRDefault="00C80CA9">
          <w:pPr>
            <w:pStyle w:val="Cabealho"/>
          </w:pPr>
          <w:r w:rsidRPr="00C80CA9">
            <w:rPr>
              <w:sz w:val="24"/>
              <w:szCs w:val="24"/>
            </w:rPr>
            <w:t>Disciplina: Ciência de Dados Aplicada I</w:t>
          </w:r>
        </w:p>
      </w:tc>
      <w:tc>
        <w:tcPr>
          <w:tcW w:w="1469" w:type="pct"/>
        </w:tcPr>
        <w:p w14:paraId="5CF45440" w14:textId="4C5679AE" w:rsidR="00C80CA9" w:rsidRDefault="00C80CA9">
          <w:pPr>
            <w:pStyle w:val="Cabealho"/>
          </w:pPr>
          <w:r w:rsidRPr="00741B85">
            <w:rPr>
              <w:noProof/>
            </w:rPr>
            <w:drawing>
              <wp:inline distT="0" distB="0" distL="0" distR="0" wp14:anchorId="2C86F828" wp14:editId="2AFD425F">
                <wp:extent cx="1448306" cy="631423"/>
                <wp:effectExtent l="0" t="0" r="0" b="0"/>
                <wp:docPr id="968574738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12244" cy="6592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41ECCE8" w14:textId="77777777" w:rsidR="00C80CA9" w:rsidRDefault="00C80CA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CA9"/>
    <w:rsid w:val="000D73BC"/>
    <w:rsid w:val="004660FE"/>
    <w:rsid w:val="004953D7"/>
    <w:rsid w:val="00696883"/>
    <w:rsid w:val="00B65799"/>
    <w:rsid w:val="00C06C79"/>
    <w:rsid w:val="00C80CA9"/>
    <w:rsid w:val="00DD2819"/>
    <w:rsid w:val="00E00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BFD7FF"/>
  <w15:chartTrackingRefBased/>
  <w15:docId w15:val="{23156C77-50E3-4DC8-AB15-70D07BED7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CA9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C80CA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80CA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0CA9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80CA9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80CA9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80CA9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0CA9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0CA9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0CA9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0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80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0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80C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80CA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80C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0CA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0C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0C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80C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C80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80CA9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C80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0CA9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C80CA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0CA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C80CA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0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0CA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0CA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80CA9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C80CA9"/>
  </w:style>
  <w:style w:type="paragraph" w:styleId="Rodap">
    <w:name w:val="footer"/>
    <w:basedOn w:val="Normal"/>
    <w:link w:val="RodapChar"/>
    <w:uiPriority w:val="99"/>
    <w:unhideWhenUsed/>
    <w:rsid w:val="00C80CA9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C80CA9"/>
  </w:style>
  <w:style w:type="table" w:styleId="Tabelacomgrade">
    <w:name w:val="Table Grid"/>
    <w:basedOn w:val="Tabelanormal"/>
    <w:uiPriority w:val="39"/>
    <w:rsid w:val="00C80C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315</Words>
  <Characters>1702</Characters>
  <Application>Microsoft Office Word</Application>
  <DocSecurity>0</DocSecurity>
  <Lines>14</Lines>
  <Paragraphs>4</Paragraphs>
  <ScaleCrop>false</ScaleCrop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Hugo Miro</dc:creator>
  <cp:keywords/>
  <dc:description/>
  <cp:lastModifiedBy>Vitor Hugo Miro</cp:lastModifiedBy>
  <cp:revision>1</cp:revision>
  <dcterms:created xsi:type="dcterms:W3CDTF">2026-09-26T11:15:00Z</dcterms:created>
  <dcterms:modified xsi:type="dcterms:W3CDTF">2026-09-26T11:26:00Z</dcterms:modified>
</cp:coreProperties>
</file>