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Jamaica’s Edible Bamboo Shoots Value Chain</w:t>
      </w:r>
    </w:p>
    <w:p>
      <w:pPr>
        <w:pStyle w:val="Subtitle"/>
      </w:pPr>
      <w:r>
        <w:t>Illustrative GDP Contribution and Economic Development Potential</w:t>
      </w:r>
    </w:p>
    <w:p>
      <w:r>
        <w:t>Prepared for the Bamboo Industry Association of Jamaica (BIAJ) | 20 October 2026</w:t>
      </w:r>
    </w:p>
    <w:p>
      <w:pPr>
        <w:pStyle w:val="Heading1"/>
      </w:pPr>
      <w:r>
        <w:t>Executive finding</w:t>
      </w:r>
    </w:p>
    <w:p>
      <w:r>
        <w:t>A commercially developed bamboo shoots value chain could contribute approximately J$0.36 billion to J$6.30 billion in annual direct gross value added (GVA) under the three illustrative scenarios below. Using an assumed exchange rate of J$160/US$ and the World Bank’s 2025 Jamaican GDP of US$22.705 billion (approximately J$3,632.8 billion), this represents roughly 0.010%–0.173% of the GDP benchmark. The central scenario is J$1.80 billion, or about 0.050% of GDP. These are planning scenarios, NOT forecasts or observed sector output.</w:t>
      </w:r>
    </w:p>
    <w:p>
      <w:pPr>
        <w:pStyle w:val="Heading1"/>
      </w:pPr>
      <w:r>
        <w:t>1. GDP measurement: what is being estimated?</w:t>
      </w:r>
    </w:p>
    <w:p>
      <w:r>
        <w:t>GDP measures value added, not gross sales. For this exercise, direct GVA = domestic sector output less intermediate inputs consumed in production. It covers cultivation and harvesting, primary handling, processing and canning, and domestic wholesale/distribution margins, without counting transfers between those stages twice. Product taxes less subsidies would be required to move from GVA at basic prices to GDP at market prices. The percentages below compare estimated GVA to GDP as a practical scale indicator, not a precise national-accounts forecast.</w:t>
      </w:r>
    </w:p>
    <w:p>
      <w:pPr>
        <w:pStyle w:val="Heading1"/>
      </w:pPr>
      <w:r>
        <w:t>2. Transparent annual production scenarios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Assumption / result</w:t>
            </w:r>
          </w:p>
        </w:tc>
        <w:tc>
          <w:tcPr>
            <w:tcW w:type="dxa" w:w="2160"/>
          </w:tcPr>
          <w:p>
            <w:r>
              <w:t>Conservative</w:t>
            </w:r>
          </w:p>
        </w:tc>
        <w:tc>
          <w:tcPr>
            <w:tcW w:type="dxa" w:w="2160"/>
          </w:tcPr>
          <w:p>
            <w:r>
              <w:t>Moderate</w:t>
            </w:r>
          </w:p>
        </w:tc>
        <w:tc>
          <w:tcPr>
            <w:tcW w:type="dxa" w:w="2160"/>
          </w:tcPr>
          <w:p>
            <w:r>
              <w:t>Ambitious</w:t>
            </w:r>
          </w:p>
        </w:tc>
      </w:tr>
      <w:tr>
        <w:tc>
          <w:tcPr>
            <w:tcW w:type="dxa" w:w="2160"/>
          </w:tcPr>
          <w:p>
            <w:r>
              <w:t>Productive hectares</w:t>
            </w:r>
          </w:p>
        </w:tc>
        <w:tc>
          <w:tcPr>
            <w:tcW w:type="dxa" w:w="2160"/>
          </w:tcPr>
          <w:p>
            <w:r>
              <w:t>200</w:t>
            </w:r>
          </w:p>
        </w:tc>
        <w:tc>
          <w:tcPr>
            <w:tcW w:type="dxa" w:w="2160"/>
          </w:tcPr>
          <w:p>
            <w:r>
              <w:t>600</w:t>
            </w:r>
          </w:p>
        </w:tc>
        <w:tc>
          <w:tcPr>
            <w:tcW w:type="dxa" w:w="2160"/>
          </w:tcPr>
          <w:p>
            <w:r>
              <w:t>1,500</w:t>
            </w:r>
          </w:p>
        </w:tc>
      </w:tr>
      <w:tr>
        <w:tc>
          <w:tcPr>
            <w:tcW w:type="dxa" w:w="2160"/>
          </w:tcPr>
          <w:p>
            <w:r>
              <w:t>Marketable fresh shoots, tonnes/ha/year</w:t>
            </w:r>
          </w:p>
        </w:tc>
        <w:tc>
          <w:tcPr>
            <w:tcW w:type="dxa" w:w="2160"/>
          </w:tcPr>
          <w:p>
            <w:r>
              <w:t>4</w:t>
            </w:r>
          </w:p>
        </w:tc>
        <w:tc>
          <w:tcPr>
            <w:tcW w:type="dxa" w:w="2160"/>
          </w:tcPr>
          <w:p>
            <w:r>
              <w:t>6</w:t>
            </w:r>
          </w:p>
        </w:tc>
        <w:tc>
          <w:tcPr>
            <w:tcW w:type="dxa" w:w="2160"/>
          </w:tcPr>
          <w:p>
            <w:r>
              <w:t>8</w:t>
            </w:r>
          </w:p>
        </w:tc>
      </w:tr>
      <w:tr>
        <w:tc>
          <w:tcPr>
            <w:tcW w:type="dxa" w:w="2160"/>
          </w:tcPr>
          <w:p>
            <w:r>
              <w:t>Annual fresh shoots, tonnes</w:t>
            </w:r>
          </w:p>
        </w:tc>
        <w:tc>
          <w:tcPr>
            <w:tcW w:type="dxa" w:w="2160"/>
          </w:tcPr>
          <w:p>
            <w:r>
              <w:t>800</w:t>
            </w:r>
          </w:p>
        </w:tc>
        <w:tc>
          <w:tcPr>
            <w:tcW w:type="dxa" w:w="2160"/>
          </w:tcPr>
          <w:p>
            <w:r>
              <w:t>3,600</w:t>
            </w:r>
          </w:p>
        </w:tc>
        <w:tc>
          <w:tcPr>
            <w:tcW w:type="dxa" w:w="2160"/>
          </w:tcPr>
          <w:p>
            <w:r>
              <w:t>12,000</w:t>
            </w:r>
          </w:p>
        </w:tc>
      </w:tr>
      <w:tr>
        <w:tc>
          <w:tcPr>
            <w:tcW w:type="dxa" w:w="2160"/>
          </w:tcPr>
          <w:p>
            <w:r>
              <w:t>Domestic value added per kg fresh equivalent (J$)</w:t>
            </w:r>
          </w:p>
        </w:tc>
        <w:tc>
          <w:tcPr>
            <w:tcW w:type="dxa" w:w="2160"/>
          </w:tcPr>
          <w:p>
            <w:r>
              <w:t>450</w:t>
            </w:r>
          </w:p>
        </w:tc>
        <w:tc>
          <w:tcPr>
            <w:tcW w:type="dxa" w:w="2160"/>
          </w:tcPr>
          <w:p>
            <w:r>
              <w:t>500</w:t>
            </w:r>
          </w:p>
        </w:tc>
        <w:tc>
          <w:tcPr>
            <w:tcW w:type="dxa" w:w="2160"/>
          </w:tcPr>
          <w:p>
            <w:r>
              <w:t>525</w:t>
            </w:r>
          </w:p>
        </w:tc>
      </w:tr>
      <w:tr>
        <w:tc>
          <w:tcPr>
            <w:tcW w:type="dxa" w:w="2160"/>
          </w:tcPr>
          <w:p>
            <w:r>
              <w:t>Annual direct GVA (J$ million)</w:t>
            </w:r>
          </w:p>
        </w:tc>
        <w:tc>
          <w:tcPr>
            <w:tcW w:type="dxa" w:w="2160"/>
          </w:tcPr>
          <w:p>
            <w:r>
              <w:t>360</w:t>
            </w:r>
          </w:p>
        </w:tc>
        <w:tc>
          <w:tcPr>
            <w:tcW w:type="dxa" w:w="2160"/>
          </w:tcPr>
          <w:p>
            <w:r>
              <w:t>1,800</w:t>
            </w:r>
          </w:p>
        </w:tc>
        <w:tc>
          <w:tcPr>
            <w:tcW w:type="dxa" w:w="2160"/>
          </w:tcPr>
          <w:p>
            <w:r>
              <w:t>6,300</w:t>
            </w:r>
          </w:p>
        </w:tc>
      </w:tr>
      <w:tr>
        <w:tc>
          <w:tcPr>
            <w:tcW w:type="dxa" w:w="2160"/>
          </w:tcPr>
          <w:p>
            <w:r>
              <w:t>Annual direct GVA (US$ million at 160)</w:t>
            </w:r>
          </w:p>
        </w:tc>
        <w:tc>
          <w:tcPr>
            <w:tcW w:type="dxa" w:w="2160"/>
          </w:tcPr>
          <w:p>
            <w:r>
              <w:t>2.25</w:t>
            </w:r>
          </w:p>
        </w:tc>
        <w:tc>
          <w:tcPr>
            <w:tcW w:type="dxa" w:w="2160"/>
          </w:tcPr>
          <w:p>
            <w:r>
              <w:t>11.25</w:t>
            </w:r>
          </w:p>
        </w:tc>
        <w:tc>
          <w:tcPr>
            <w:tcW w:type="dxa" w:w="2160"/>
          </w:tcPr>
          <w:p>
            <w:r>
              <w:t>39.38</w:t>
            </w:r>
          </w:p>
        </w:tc>
      </w:tr>
      <w:tr>
        <w:tc>
          <w:tcPr>
            <w:tcW w:type="dxa" w:w="2160"/>
          </w:tcPr>
          <w:p>
            <w:r>
              <w:t>Share of 2025 GDP benchmark</w:t>
            </w:r>
          </w:p>
        </w:tc>
        <w:tc>
          <w:tcPr>
            <w:tcW w:type="dxa" w:w="2160"/>
          </w:tcPr>
          <w:p>
            <w:r>
              <w:t>0.010%</w:t>
            </w:r>
          </w:p>
        </w:tc>
        <w:tc>
          <w:tcPr>
            <w:tcW w:type="dxa" w:w="2160"/>
          </w:tcPr>
          <w:p>
            <w:r>
              <w:t>0.050%</w:t>
            </w:r>
          </w:p>
        </w:tc>
        <w:tc>
          <w:tcPr>
            <w:tcW w:type="dxa" w:w="2160"/>
          </w:tcPr>
          <w:p>
            <w:r>
              <w:t>0.173%</w:t>
            </w:r>
          </w:p>
        </w:tc>
      </w:tr>
    </w:tbl>
    <w:p>
      <w:r>
        <w:t>All cultivated area, yields, unit value added and exchange-rate inputs are explicit analyst assumptions requiring validation through field trials, commercial costing and market studies. A hectare is counted only when producing marketable shoots; this is not an estimate of current planted area.</w:t>
      </w:r>
    </w:p>
    <w:p>
      <w:pPr>
        <w:pStyle w:val="Heading1"/>
      </w:pPr>
      <w:r>
        <w:t>3. How the central estimate is calculated</w:t>
      </w:r>
    </w:p>
    <w:p>
      <w:r>
        <w:t>600 productive hectares × 6 tonnes of marketable shoots per hectare = 3,600 tonnes/year = 3,600,000 kg/year. At J$500 of domestic direct value added per kilogram of fresh-shoot equivalent, annual GVA = J$1,800,000,000. GDP benchmark = US$22,704,903,218 × J$160/US$ = J$3,632,784,514,880. Therefore, J$1.8 billion ÷ J$3,632.8 billion × 100 = approximately 0.0495%.</w:t>
      </w:r>
    </w:p>
    <w:p>
      <w:pPr>
        <w:pStyle w:val="Heading1"/>
      </w:pPr>
      <w:r>
        <w:t>4. Where economic value would arise</w:t>
      </w:r>
    </w:p>
    <w:p>
      <w:r>
        <w:t>Illustrative allocation of the central J$1.8 billion direct GVA: cultivation and harvest 40% (J$720m); washing, trimming and preprocessing 15% (J$270m); thermal processing/canning and quality assurance 35% (J$630m); domestic logistics and distribution margins 10% (J$180m). These shares are assumptions for planning, not industry measurements. Do not add the gross revenues of these activities: doing so would double count intermediate sales.</w:t>
      </w:r>
    </w:p>
    <w:p>
      <w:pPr>
        <w:pStyle w:val="Heading1"/>
      </w:pPr>
      <w:r>
        <w:t>5. Trade, competitiveness and wider benefits</w:t>
      </w:r>
    </w:p>
    <w:p>
      <w:r>
        <w:t>Domestic canned bamboo shoots could substitute for some imports if quality, price, food safety and consumer acceptance are competitive. Export opportunities may exist in Caribbean, diaspora and specialty-food markets, subject to verified demand, shelf-life validation, import requirements, labeling and dependable volumes. Employment, rural household income, skills development and foreign-exchange savings are potential complementary outcomes. Indirect supplier effects and induced household spending are deliberately excluded from the GDP figures to avoid unsupported multiplier claims.</w:t>
      </w:r>
    </w:p>
    <w:p>
      <w:pPr>
        <w:pStyle w:val="Heading1"/>
      </w:pPr>
      <w:r>
        <w:t>6. Critical qualifications and evidence gaps</w:t>
      </w:r>
    </w:p>
    <w:p>
      <w:pPr>
        <w:pStyle w:val="ListBullet"/>
      </w:pPr>
      <w:r>
        <w:t>The production and unit-GVA assumptions have not been demonstrated for commercial Bambusa vulgaris shoot operations in Jamaica.</w:t>
      </w:r>
    </w:p>
    <w:p>
      <w:pPr>
        <w:pStyle w:val="ListBullet"/>
      </w:pPr>
      <w:r>
        <w:t>Processing recovery rates, seasonal harvest windows, farm-gate prices, canning costs, plant utilization and domestic demand must be measured.</w:t>
      </w:r>
    </w:p>
    <w:p>
      <w:pPr>
        <w:pStyle w:val="ListBullet"/>
      </w:pPr>
      <w:r>
        <w:t>Food safety controls must address cyanogenic compounds, microbiological safety, validated processing, can integrity and applicable Jamaican standards.</w:t>
      </w:r>
    </w:p>
    <w:p>
      <w:pPr>
        <w:pStyle w:val="ListBullet"/>
      </w:pPr>
      <w:r>
        <w:t>GDP percentage comparisons use a fixed 2025 nominal GDP and illustrative J$160/US$ conversion; future GDP, inflation and exchange rates will change the shares.</w:t>
      </w:r>
    </w:p>
    <w:p>
      <w:pPr>
        <w:pStyle w:val="ListBullet"/>
      </w:pPr>
      <w:r>
        <w:t>Net national economic gains may be lower if production displaces existing agricultural activity, imports substantial inputs or cannot sell at assumed prices.</w:t>
      </w:r>
    </w:p>
    <w:p>
      <w:pPr>
        <w:pStyle w:val="Heading1"/>
      </w:pPr>
      <w:r>
        <w:t>7. Recommended phased validation programme</w:t>
      </w:r>
    </w:p>
    <w:p>
      <w:pPr>
        <w:pStyle w:val="ListNumber"/>
      </w:pPr>
      <w:r>
        <w:t>Phase 1 (0–12 months): conduct SRC pilot processing, food-safety testing, consumer tests, farm yield trials, full per-can costing and import-market verification.</w:t>
      </w:r>
    </w:p>
    <w:p>
      <w:pPr>
        <w:pStyle w:val="ListNumber"/>
      </w:pPr>
      <w:r>
        <w:t>Phase 2 (years 1–3): establish contract grower plots, standard harvesting specifications, certified processing and initial institutional/retail sales; measure actual GVA per kilogram.</w:t>
      </w:r>
    </w:p>
    <w:p>
      <w:pPr>
        <w:pStyle w:val="ListNumber"/>
      </w:pPr>
      <w:r>
        <w:t>Phase 3 (years 3–7): scale acreage and processing capacity only against confirmed demand, validated yields, capital availability and regulatory approvals.</w:t>
      </w:r>
    </w:p>
    <w:p>
      <w:pPr>
        <w:pStyle w:val="Heading1"/>
      </w:pPr>
      <w:r>
        <w:t>8. Policy request and measurable indicators</w:t>
      </w:r>
    </w:p>
    <w:p>
      <w:r>
        <w:t>BIAJ could request government support for agronomic research, a compliant processing pilot, laboratory verification, farmer training, investment facilitation and market intelligence. Annual monitoring should record productive hectares, tonnes accepted, processing yield, domestic sales, export sales, imported input costs, wages, operating surplus and calculated direct GVA. Publish revised GDP estimates after two full commercial seasons.</w:t>
      </w:r>
    </w:p>
    <w:p>
      <w:pPr>
        <w:pStyle w:val="Heading1"/>
      </w:pPr>
      <w:r>
        <w:t>Sources and basis</w:t>
      </w:r>
    </w:p>
    <w:p>
      <w:r>
        <w:t>World Bank, World Development Indicators, “GDP (current US$) – Jamaica,” 2025: US$22,704,903,218 (accessed October 2026). https://data.worldbank.org/indicator/NY.GDP.MKTP.CD?locations=JM</w:t>
      </w:r>
    </w:p>
    <w:p>
      <w:r>
        <w:t>World Bank/FRED, “Gross Domestic Product for Jamaica,” 2025: US$22,704,903,217.56. https://fred.stlouisfed.org/series/MKTGDPJMA646NWDB</w:t>
      </w:r>
    </w:p>
    <w:p>
      <w:r>
        <w:t>All sector-specific volumes, yields, GVA coefficients, stage allocations and J$160/US$ exchange rate: illustrative assumptions developed for this concept note; not official statistics. No unsupported country-to-country bamboo-sector GDP comparisons are asserted.</w:t>
      </w:r>
    </w:p>
    <w:sectPr w:rsidR="00FC693F" w:rsidRPr="0006063C" w:rsidSect="00034616">
      <w:footerReference w:type="default" r:id="rId9"/>
      <w:pgSz w:w="12240" w:h="15840"/>
      <w:pgMar w:top="1440" w:right="1800" w:bottom="1440"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BIAJ | Economic opportunity assessment • Illustrative, not an official GDP forecast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59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9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59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