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40"/>
      </w:pPr>
      <w:r>
        <w:rPr>
          <w:rFonts w:ascii="Calibri" w:cs="Calibri" w:eastAsia="Calibri" w:hAnsi="Calibri"/>
          <w:b/>
          <w:bCs/>
          <w:color w:val="222222"/>
          <w:sz w:val="40"/>
          <w:szCs w:val="40"/>
        </w:rPr>
        <w:t xml:space="preserve">Hospital Drug Supply Risk &amp; Inventory Planner</w:t>
      </w:r>
    </w:p>
    <w:p>
      <w:pPr>
        <w:spacing w:after="40" w:line="240"/>
      </w:pPr>
      <w:r>
        <w:rPr>
          <w:rFonts w:ascii="Calibri" w:cs="Calibri" w:eastAsia="Calibri" w:hAnsi="Calibri"/>
          <w:i/>
          <w:iCs/>
          <w:color w:val="1B6FA8"/>
          <w:sz w:val="24"/>
          <w:szCs w:val="24"/>
        </w:rPr>
        <w:t xml:space="preserve">A Data Pipeline, Risk Model, and Power BI Dashboard — Case Study</w:t>
      </w:r>
    </w:p>
    <w:p>
      <w:pPr>
        <w:spacing w:after="220" w:line="24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Glad Wong  |  August 2026  |  Portfolio Project</w:t>
      </w:r>
    </w:p>
    <w:p>
      <w:pPr>
        <w:spacing w:after="240" w:line="276" w:lineRule="auto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Most hospitals learn about a drug shortage only after it starts affecting care. This project builds a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composite risk score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for every drug and therapeutic category a hospital stocks, by combining real FDA shortage data, real CDC seasonal illness surveillance, and real de-identified hospital prescription data, then surfaces it in an interactive Power BI dashboard.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 synthetic or placeholder data appears anywhere in the final pipeline.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CEAF3" w:sz="4"/>
              <w:left w:val="single" w:color="DCEAF3" w:sz="4"/>
              <w:bottom w:val="single" w:color="DCEAF3" w:sz="4"/>
              <w:right w:val="single" w:color="DCEAF3" w:sz="4"/>
            </w:tcBorders>
            <w:shd w:fill="F2F7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FA8"/>
                <w:sz w:val="30"/>
                <w:szCs w:val="30"/>
              </w:rPr>
              <w:t xml:space="preserve">1,581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real FDA shortage records</w:t>
            </w:r>
          </w:p>
        </w:tc>
        <w:tc>
          <w:tcPr>
            <w:tcW w:type="pct" w:w="25%"/>
            <w:tcBorders>
              <w:top w:val="single" w:color="DCEAF3" w:sz="4"/>
              <w:left w:val="single" w:color="DCEAF3" w:sz="4"/>
              <w:bottom w:val="single" w:color="DCEAF3" w:sz="4"/>
              <w:right w:val="single" w:color="DCEAF3" w:sz="4"/>
            </w:tcBorders>
            <w:shd w:fill="F2F7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FA8"/>
                <w:sz w:val="30"/>
                <w:szCs w:val="30"/>
              </w:rPr>
              <w:t xml:space="preserve">59,525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CDC seasonal surveillance rows</w:t>
            </w:r>
          </w:p>
        </w:tc>
        <w:tc>
          <w:tcPr>
            <w:tcW w:type="pct" w:w="25%"/>
            <w:tcBorders>
              <w:top w:val="single" w:color="DCEAF3" w:sz="4"/>
              <w:left w:val="single" w:color="DCEAF3" w:sz="4"/>
              <w:bottom w:val="single" w:color="DCEAF3" w:sz="4"/>
              <w:right w:val="single" w:color="DCEAF3" w:sz="4"/>
            </w:tcBorders>
            <w:shd w:fill="F2F7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FA8"/>
                <w:sz w:val="30"/>
                <w:szCs w:val="30"/>
              </w:rPr>
              <w:t xml:space="preserve">71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real per-drug demand rows (MIMIC-IV)</w:t>
            </w:r>
          </w:p>
        </w:tc>
        <w:tc>
          <w:tcPr>
            <w:tcW w:type="pct" w:w="25%"/>
            <w:tcBorders>
              <w:top w:val="single" w:color="DCEAF3" w:sz="4"/>
              <w:left w:val="single" w:color="DCEAF3" w:sz="4"/>
              <w:bottom w:val="single" w:color="DCEAF3" w:sz="4"/>
              <w:right w:val="single" w:color="DCEAF3" w:sz="4"/>
            </w:tcBorders>
            <w:shd w:fill="F2F7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FA8"/>
                <w:sz w:val="30"/>
                <w:szCs w:val="30"/>
              </w:rPr>
              <w:t xml:space="preserve">81.8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top composite risk score</w:t>
            </w:r>
          </w:p>
        </w:tc>
      </w:tr>
    </w:tbl>
    <w:p>
      <w:pPr>
        <w:spacing w:after="260"/>
      </w:pPr>
    </w:p>
    <w:p>
      <w:pPr>
        <w:pBdr>
          <w:bottom w:val="single" w:color="DDDDDD" w:sz="6" w:space="4"/>
        </w:pBdr>
        <w:spacing w:after="140" w:before="340" w:line="240"/>
      </w:pPr>
      <w:r>
        <w:rPr>
          <w:rFonts w:ascii="Calibri" w:cs="Calibri" w:eastAsia="Calibri" w:hAnsi="Calibri"/>
          <w:b/>
          <w:bCs/>
          <w:color w:val="1B6FA8"/>
          <w:sz w:val="28"/>
          <w:szCs w:val="28"/>
        </w:rPr>
        <w:t xml:space="preserve">The Dashboard</w:t>
      </w:r>
    </w:p>
    <w:p>
      <w:pPr>
        <w:spacing w:after="160" w:line="276" w:lineRule="auto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Filter by therapeutic category and see the highest-risk drugs, active shortage count, and quarterly shortage trend update together — built on a relational model with a category table as the hub.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Hospital Drug Supply Risk dashboard in Power BI Desktop: category slicer, composite risk score by drug, quarterly shortage trend by status, and two KPI cards.</w:t>
      </w:r>
    </w:p>
    <w:p>
      <w:pPr>
        <w:pBdr>
          <w:bottom w:val="single" w:color="DDDDDD" w:sz="6" w:space="4"/>
        </w:pBdr>
        <w:spacing w:after="140" w:before="340" w:line="240"/>
      </w:pPr>
      <w:r>
        <w:rPr>
          <w:rFonts w:ascii="Calibri" w:cs="Calibri" w:eastAsia="Calibri" w:hAnsi="Calibri"/>
          <w:b/>
          <w:bCs/>
          <w:color w:val="1B6FA8"/>
          <w:sz w:val="28"/>
          <w:szCs w:val="28"/>
        </w:rPr>
        <w:t xml:space="preserve">Data Sources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5E5" w:sz="2"/>
          <w:insideV w:val="single" w:color="E5E5E5" w:sz="2"/>
        </w:tblBorders>
      </w:tblPr>
      <w:tblGrid>
        <w:gridCol w:w="100"/>
        <w:gridCol w:w="100"/>
        <w:gridCol w:w="100"/>
      </w:tblGrid>
      <w:tr>
        <w:tc>
          <w:tcPr>
            <w:shd w:fill="1B6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shd w:fill="1B6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provides</w:t>
            </w:r>
          </w:p>
        </w:tc>
        <w:tc>
          <w:tcPr>
            <w:shd w:fill="1B6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Volume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openFDA Drug Shortages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Active / resolved / discontinuing shortage records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1,581 records, 24 categories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CDC RESP-NET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Seasonal respiratory illness surveillance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59,525 rows, 4 networks, 2018–2026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FDA NDC Directory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Backfills proprietary drug names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1,676 rows; 1,369/1,581 matched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MIMIC-IV Clinical Database Demo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Real per-drug hospital demand (Beth Israel Deaconess / Harvard Medical School, via MIT)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71 demand rows from 1,374/18,087 matched prescriptions</w:t>
            </w:r>
          </w:p>
        </w:tc>
      </w:tr>
    </w:tbl>
    <w:p>
      <w:pPr>
        <w:spacing w:after="200"/>
      </w:pPr>
    </w:p>
    <w:p>
      <w:pPr>
        <w:pBdr>
          <w:bottom w:val="single" w:color="DDDDDD" w:sz="6" w:space="4"/>
        </w:pBdr>
        <w:spacing w:after="140" w:before="340" w:line="240"/>
      </w:pPr>
      <w:r>
        <w:rPr>
          <w:rFonts w:ascii="Calibri" w:cs="Calibri" w:eastAsia="Calibri" w:hAnsi="Calibri"/>
          <w:b/>
          <w:bCs/>
          <w:color w:val="1B6FA8"/>
          <w:sz w:val="28"/>
          <w:szCs w:val="28"/>
        </w:rPr>
        <w:t xml:space="preserve">Approach</w:t>
      </w:r>
    </w:p>
    <w:p>
      <w:pPr>
        <w:spacing w:after="100" w:before="180" w:lin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Why MIMIC-IV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eICU-CRD has more admissions (200k+) but anonymizes hospital identity and uses proprietary HICL/GTC medication codes, not NDC — would need a paid crosswalk.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AmsterdamUMCdb and HiRID are prestigious academic-hospital datasets but European, coded in ATC, not NDC.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MIMIC-IV (Beth Israel Deaconess, via MIT) uses real NDC codes that join directly to the shortage table — no crosswalk needed.</w:t>
      </w:r>
    </w:p>
    <w:p>
      <w:pPr>
        <w:spacing w:after="100" w:before="180" w:lin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The NDC matching problem</w:t>
      </w:r>
    </w:p>
    <w:p>
      <w:pPr>
        <w:spacing w:after="160" w:line="276" w:lineRule="auto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openFDA's package NDC field uses three different dash layouts (4-4-2, 5-3-2, 5-4-1). Naively zero-padding the digit string produces the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wrong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11-digit code for two of the three layouts. A segment-aware normalizer (Appendix A) fixes this by padding the correct segment based on where the dashes actually fall.</w:t>
      </w:r>
    </w:p>
    <w:p>
      <w:pPr>
        <w:spacing w:after="100" w:before="180" w:lin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 real bug, caught by validating against live data</w:t>
      </w:r>
    </w:p>
    <w:p>
      <w:pPr>
        <w:spacing w:after="160" w:line="276" w:lineRule="auto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seasonal view filtered CDC records where sex and race_ethnicity equal “Overall,” matching the documented schema used for age_group and site. CDC's live data actually labels those two fields “All.” This silently zeroed every seasonal number for four categories (Antiviral, Anti-Infective, Pulmonary/Allergy, Pediatric), which scored a flat 60.0 baseline. After the fix, those categories scored 84–98 — correctly outranking categories with no seasonal driver.</w:t>
      </w:r>
    </w:p>
    <w:p>
      <w:pPr>
        <w:pBdr>
          <w:bottom w:val="single" w:color="DDDDDD" w:sz="6" w:space="4"/>
        </w:pBdr>
        <w:spacing w:after="140" w:before="340" w:line="240"/>
      </w:pPr>
      <w:r>
        <w:rPr>
          <w:rFonts w:ascii="Calibri" w:cs="Calibri" w:eastAsia="Calibri" w:hAnsi="Calibri"/>
          <w:b/>
          <w:bCs/>
          <w:color w:val="1B6FA8"/>
          <w:sz w:val="28"/>
          <w:szCs w:val="28"/>
        </w:rPr>
        <w:t xml:space="preserve">Key Findings</w:t>
      </w:r>
    </w:p>
    <w:p>
      <w:pPr>
        <w:spacing w:after="160" w:line="276" w:lineRule="auto"/>
        <w:jc w:val="left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Metronidazole Injection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ranks highest (risk score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81.8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— active shortage plus Anti-Infective seasonal amplification.</w:t>
      </w:r>
    </w:p>
    <w:p>
      <w:pPr>
        <w:spacing w:after="60" w:before="80"/>
        <w:jc w:val="center"/>
      </w:pPr>
      <w:r>
        <w:drawing>
          <wp:inline distT="0" distB="0" distL="0" distR="0">
            <wp:extent cx="14478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Metronidazole Injection, USP — 500 mg/100 mL</w:t>
      </w:r>
    </w:p>
    <w:p>
      <w:pPr>
        <w:spacing w:after="160" w:line="276" w:lineRule="auto"/>
        <w:jc w:val="left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Clindamycin Phosphate Injection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follows at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76.8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same drivers.</w:t>
      </w:r>
    </w:p>
    <w:p>
      <w:pPr>
        <w:spacing w:after="60" w:before="8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Clindamycin Phosphate Injection, USP (Cleocin Phosphate®) — 600 mg/4 mL</w:t>
      </w:r>
    </w:p>
    <w:p>
      <w:pPr>
        <w:spacing w:after="160" w:line="276" w:lineRule="auto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cluster of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“To Be Discontinued”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drugs score high on discontinuation risk even at low volume — a signal a purely volume-based model would miss.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7716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20"/>
                <w:szCs w:val="20"/>
              </w:rPr>
              <w:t xml:space="preserve">Belladonna 16.2 mg and Opium 30 mg Suppositories</w:t>
            </w:r>
          </w:p>
        </w:tc>
        <w:tc>
          <w:tcPr>
            <w:tcW w:type="pct" w:w="33%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20"/>
                <w:szCs w:val="20"/>
              </w:rPr>
              <w:t xml:space="preserve">Lidocaine HCl Injection, USP 1%</w:t>
            </w:r>
          </w:p>
        </w:tc>
        <w:tc>
          <w:tcPr>
            <w:tcW w:type="pct" w:w="33%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20980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20"/>
                <w:szCs w:val="20"/>
              </w:rPr>
              <w:t xml:space="preserve">Doxercalciferol Injection 4 mcg/2 mL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Image sources: 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Metronidazole — </w:t>
      </w:r>
      <w:hyperlink w:history="1" r:id="rIdofriy4k0fgczwn2ajfdlw">
        <w:r>
          <w:rPr>
            <w:rFonts w:ascii="Calibri" w:cs="Calibri" w:eastAsia="Calibri" w:hAnsi="Calibri"/>
            <w:i/>
            <w:iCs/>
            <w:color w:val="1B6FA8"/>
            <w:sz w:val="18"/>
            <w:szCs w:val="18"/>
            <w:u w:val="single"/>
          </w:rPr>
          <w:t xml:space="preserve">WG Critical Care</w:t>
        </w:r>
      </w:hyperlink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   |   Clindamycin — </w:t>
      </w:r>
      <w:hyperlink w:history="1" r:id="rId0cu9utzvaqkpz2gs57bhp">
        <w:r>
          <w:rPr>
            <w:rFonts w:ascii="Calibri" w:cs="Calibri" w:eastAsia="Calibri" w:hAnsi="Calibri"/>
            <w:i/>
            <w:iCs/>
            <w:color w:val="1B6FA8"/>
            <w:sz w:val="18"/>
            <w:szCs w:val="18"/>
            <w:u w:val="single"/>
          </w:rPr>
          <w:t xml:space="preserve">McGuff Medical</w:t>
        </w:r>
      </w:hyperlink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   |   Belladonna/Opium — </w:t>
      </w:r>
      <w:hyperlink w:history="1" r:id="rId0tg6w8cgwmhqxhxe7w_op">
        <w:r>
          <w:rPr>
            <w:rFonts w:ascii="Calibri" w:cs="Calibri" w:eastAsia="Calibri" w:hAnsi="Calibri"/>
            <w:i/>
            <w:iCs/>
            <w:color w:val="1B6FA8"/>
            <w:sz w:val="18"/>
            <w:szCs w:val="18"/>
            <w:u w:val="single"/>
          </w:rPr>
          <w:t xml:space="preserve">GoodRx</w:t>
        </w:r>
      </w:hyperlink>
    </w:p>
    <w:p>
      <w:pPr>
        <w:spacing w:after="240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Lidocaine — </w:t>
      </w:r>
      <w:hyperlink w:history="1" r:id="rIdja0no2kdlihoneeo75q18">
        <w:r>
          <w:rPr>
            <w:rFonts w:ascii="Calibri" w:cs="Calibri" w:eastAsia="Calibri" w:hAnsi="Calibri"/>
            <w:i/>
            <w:iCs/>
            <w:color w:val="1B6FA8"/>
            <w:sz w:val="18"/>
            <w:szCs w:val="18"/>
            <w:u w:val="single"/>
          </w:rPr>
          <w:t xml:space="preserve">McGuff Medical</w:t>
        </w:r>
      </w:hyperlink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   |   Doxercalciferol — </w:t>
      </w:r>
      <w:hyperlink w:history="1" r:id="rIdannrcmd02fzg_11njs_g7">
        <w:r>
          <w:rPr>
            <w:rFonts w:ascii="Calibri" w:cs="Calibri" w:eastAsia="Calibri" w:hAnsi="Calibri"/>
            <w:i/>
            <w:iCs/>
            <w:color w:val="1B6FA8"/>
            <w:sz w:val="18"/>
            <w:szCs w:val="18"/>
            <w:u w:val="single"/>
          </w:rPr>
          <w:t xml:space="preserve">Drug Store News</w:t>
        </w:r>
      </w:hyperlink>
    </w:p>
    <w:p>
      <w:pPr>
        <w:pBdr>
          <w:bottom w:val="single" w:color="DDDDDD" w:sz="6" w:space="4"/>
        </w:pBdr>
        <w:spacing w:after="140" w:before="340" w:line="240"/>
      </w:pPr>
      <w:r>
        <w:rPr>
          <w:rFonts w:ascii="Calibri" w:cs="Calibri" w:eastAsia="Calibri" w:hAnsi="Calibri"/>
          <w:b/>
          <w:bCs/>
          <w:color w:val="1B6FA8"/>
          <w:sz w:val="28"/>
          <w:szCs w:val="28"/>
        </w:rPr>
        <w:t xml:space="preserve">Tech Stack</w:t>
      </w:r>
    </w:p>
    <w:p>
      <w:pPr>
        <w:spacing w:after="240" w:line="276" w:lineRule="auto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Python (pandas, duckdb) · DuckDB · SQL · Power BI Desktop</w:t>
      </w:r>
    </w:p>
    <w:p>
      <w:pPr>
        <w:pBdr>
          <w:bottom w:val="single" w:color="DDDDDD" w:sz="6" w:space="4"/>
        </w:pBdr>
        <w:spacing w:after="140" w:before="340" w:line="240"/>
      </w:pPr>
      <w:r>
        <w:rPr>
          <w:rFonts w:ascii="Calibri" w:cs="Calibri" w:eastAsia="Calibri" w:hAnsi="Calibri"/>
          <w:b/>
          <w:bCs/>
          <w:color w:val="1B6FA8"/>
          <w:sz w:val="28"/>
          <w:szCs w:val="28"/>
        </w:rPr>
        <w:t xml:space="preserve">Limitations &amp; Next Steps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Demand data currently comes from the free 100-patient MIMIC-IV demo. Full credentialed access (364,627 patients) is pending through PhysioNet — the pipeline swaps in with zero code changes once granted.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Rankings may shift once demand is calculated from the full patient population instead of the 100-patient sample.</w:t>
      </w:r>
    </w:p>
    <w:p>
      <w:pPr>
        <w:spacing w:after="200"/>
      </w:pPr>
    </w:p>
    <w:p>
      <w:pPr>
        <w:pBdr>
          <w:bottom w:val="single" w:color="DDDDDD" w:sz="6" w:space="4"/>
        </w:pBdr>
        <w:spacing w:after="140" w:before="340" w:line="240"/>
      </w:pPr>
      <w:r>
        <w:rPr>
          <w:rFonts w:ascii="Calibri" w:cs="Calibri" w:eastAsia="Calibri" w:hAnsi="Calibri"/>
          <w:b/>
          <w:bCs/>
          <w:color w:val="1B6FA8"/>
          <w:sz w:val="28"/>
          <w:szCs w:val="28"/>
        </w:rPr>
        <w:t xml:space="preserve">Technical Appendix</w:t>
      </w:r>
    </w:p>
    <w:p>
      <w:pPr>
        <w:spacing w:after="100" w:before="180" w:lin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A. NDC Normalization</w:t>
      </w:r>
    </w:p>
    <w:p>
      <w:pPr>
        <w:spacing w:after="120" w:line="276" w:lineRule="auto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Converts a dashed openFDA package NDC (any of the three real segment layouts) to the standard 11-digit form by zero-padding the correct segment.</w:t>
      </w:r>
    </w:p>
    <w:tbl>
      <w:tblPr>
        <w:tblW w:type="pct" w:w="100%"/>
        <w:tblBorders>
          <w:top w:val="single" w:color="3A3A3A" w:sz="4"/>
          <w:left w:val="single" w:color="3A3A3A" w:sz="4"/>
          <w:bottom w:val="single" w:color="3A3A3A" w:sz="4"/>
          <w:right w:val="single" w:color="3A3A3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normalize_dashed_ndc(package_ndc: str):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"""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Convert a DASHED openFDA package_ndc (4-4-2, 5-3-2, or 5-4-1)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to the standard 11-digit (5-4-2) form by zero-padding whichever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segment is short -- using the real segment boundaries from the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dashes, not a naive whole-string pad (only correct for 4-4-2).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"""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not package_ndc: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None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parts = package_ndc.strip().split("-")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len(parts) != 3: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None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labeler, product, pkg = parts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not (labeler.isdigit() and product.isdigit() and pkg.isdigit()):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None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labeler = labeler.zfill(5)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product = product.zfill(4)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pkg = pkg.zfill(2)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labeler + product + pkg</w:t>
            </w:r>
          </w:p>
        </w:tc>
      </w:tr>
    </w:tbl>
    <w:p>
      <w:pPr>
        <w:spacing w:after="200"/>
      </w:pPr>
    </w:p>
    <w:p>
      <w:pPr>
        <w:spacing w:after="100" w:before="180" w:lin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 Composite Risk Score</w:t>
      </w:r>
    </w:p>
    <w:p>
      <w:pPr>
        <w:spacing w:after="120" w:line="276" w:lineRule="auto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Derives safety stock, reorder point, and the final composite risk score once demand, seasonal, and supply-status data are joined for a drug.</w:t>
      </w:r>
    </w:p>
    <w:tbl>
      <w:tblPr>
        <w:tblW w:type="pct" w:w="100%"/>
        <w:tblBorders>
          <w:top w:val="single" w:color="3A3A3A" w:sz="4"/>
          <w:left w:val="single" w:color="3A3A3A" w:sz="4"/>
          <w:bottom w:val="single" w:color="3A3A3A" w:sz="4"/>
          <w:right w:val="single" w:color="3A3A3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 = norm_ppf(d["service_level"])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d_avg, d_std = d["avg_weekly_demand_units"], d["demand_std_units"]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lt_avg, lt_std = d["lead_time_weeks"], d["lead_time_std_weeks"]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base_ss = z * math.sqrt(lt_avg * d_std**2 + d_avg**2 * lt_std**2)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base_rop = d_avg * lt_avg + base_ss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seasonal_amp = (1.0 + seasonal_cv) if (network and seasonal_cv is not None) else 1.0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supply = SUPPLY_RISK_PARAMS.get(shortage_status, DEFAULT_SUPPLY_RISK)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d_std_eff = d_std * seasonal_amp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lt_avg_eff = lt_avg * supply["lt_mean_mult"]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lt_std_eff = lt_std * supply["lt_std_mult"]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vol_ss = z * math.sqrt(lt_avg_eff * d_std_eff**2 + d_avg**2 * lt_std_eff**2)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vol_rop = d_avg * lt_avg_eff + vol_ss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ss_inflation_norm = min(max((vol_ss / base_ss - 1.0) if base_ss &gt; 0 else 0.0, 0.0), 1.0)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seasonal_norm = min(max(seasonal_amp - 1.0, 0.0), 1.0)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composite = 100.0 * (0.45 * supply["risk_component"]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+ 0.30 * seasonal_norm</w:t>
            </w:r>
          </w:p>
          <w:p>
            <w:pPr>
              <w:spacing w:after="0" w:line="220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+ 0.25 * ss_inflation_norm)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friy4k0fgczwn2ajfdlw" Type="http://schemas.openxmlformats.org/officeDocument/2006/relationships/hyperlink" Target="https://www.wgcriticalcare.com/injectable-pharmaceuticals/our-products/metronidazole-for-injection-usp/" TargetMode="External"/><Relationship Id="rId0cu9utzvaqkpz2gs57bhp" Type="http://schemas.openxmlformats.org/officeDocument/2006/relationships/hyperlink" Target="https://www.mcguff.com/cleocin-phosphatereg-clindamycin-600mgvial-sdv-4ml-25-vialstray" TargetMode="External"/><Relationship Id="rId0tg6w8cgwmhqxhxe7w_op" Type="http://schemas.openxmlformats.org/officeDocument/2006/relationships/hyperlink" Target="https://www.goodrx.com/belladonna-opium/what-is" TargetMode="External"/><Relationship Id="rIdja0no2kdlihoneeo75q18" Type="http://schemas.openxmlformats.org/officeDocument/2006/relationships/hyperlink" Target="https://www.mcguff.com/lidocaine-1-no-preservatives-glass-10mgml-sdv-30ml" TargetMode="External"/><Relationship Id="rIdannrcmd02fzg_11njs_g7" Type="http://schemas.openxmlformats.org/officeDocument/2006/relationships/hyperlink" Target="https://drugstorenews.com/alembic-debuts-generic-hectorol" TargetMode="External"/><Relationship Id="rId7" Type="http://schemas.openxmlformats.org/officeDocument/2006/relationships/image" Target="media/c2b3c910302a7d0ca6c847de53137e6b6e3a500c.png"/><Relationship Id="rId8" Type="http://schemas.openxmlformats.org/officeDocument/2006/relationships/image" Target="media/54c5d136e0eac49dcae4c807cf1012f2db6a3e1a.png"/><Relationship Id="rId9" Type="http://schemas.openxmlformats.org/officeDocument/2006/relationships/image" Target="media/fb305f60ba6bcde4ed969ad477cbb5eb576d1c9c.png"/><Relationship Id="rId10" Type="http://schemas.openxmlformats.org/officeDocument/2006/relationships/image" Target="media/bf6765f27eb9894a245423716c9897548e8dbd25.png"/><Relationship Id="rId11" Type="http://schemas.openxmlformats.org/officeDocument/2006/relationships/image" Target="media/2e27fb7e0465224e13541c5605f597c40592a524.png"/><Relationship Id="rId12" Type="http://schemas.openxmlformats.org/officeDocument/2006/relationships/image" Target="media/664577ff56d9e0c22fbf615cf910f99a9be79ac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2026-08-26T18:57:20.337Z</dcterms:created>
  <dcterms:modified xsi:type="dcterms:W3CDTF">2026-08-26T18:57:20.337Z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