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line="240"/>
      </w:pPr>
      <w:r>
        <w:rPr>
          <w:rFonts w:ascii="Calibri" w:cs="Calibri" w:eastAsia="Calibri" w:hAnsi="Calibri"/>
          <w:b/>
          <w:bCs/>
          <w:color w:val="222222"/>
          <w:sz w:val="40"/>
          <w:szCs w:val="40"/>
        </w:rPr>
        <w:t xml:space="preserve">Hospital Drug Supply Risk &amp; Inventory Planner</w:t>
      </w:r>
    </w:p>
    <w:p>
      <w:pPr>
        <w:spacing w:after="40" w:line="240"/>
      </w:pPr>
      <w:r>
        <w:rPr>
          <w:rFonts w:ascii="Calibri" w:cs="Calibri" w:eastAsia="Calibri" w:hAnsi="Calibri"/>
          <w:i/>
          <w:iCs/>
          <w:color w:val="1B6FA8"/>
          <w:sz w:val="24"/>
          <w:szCs w:val="24"/>
        </w:rPr>
        <w:t xml:space="preserve">A Data Pipeline, Risk Model, and Power BI Dashboard — Case Study</w:t>
      </w:r>
    </w:p>
    <w:p>
      <w:pPr>
        <w:spacing w:after="220" w:line="240"/>
      </w:pPr>
      <w:r>
        <w:rPr>
          <w:rFonts w:ascii="Calibri" w:cs="Calibri" w:eastAsia="Calibri" w:hAnsi="Calibri"/>
          <w:color w:val="5A5A5A"/>
          <w:sz w:val="20"/>
          <w:szCs w:val="20"/>
        </w:rPr>
        <w:t xml:space="preserve">Glad Wong  |  August 2026  |  Portfolio Project</w:t>
      </w:r>
    </w:p>
    <w:p>
      <w:pPr>
        <w:spacing w:after="240" w:line="276" w:lineRule="auto"/>
        <w:jc w:val="left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Most hospitals learn about a drug shortage only after it starts affecting care. This project builds a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composite risk score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for every drug and therapeutic category a hospital stocks, by combining real FDA shortage data, real CDC seasonal illness surveillance, and real de-identified hospital prescription data, then surfaces it in an interactive Power BI dashboard.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No synthetic or placeholder data appears anywhere in the final pipeline.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tcBorders>
              <w:top w:val="single" w:color="DCEAF3" w:sz="4"/>
              <w:left w:val="single" w:color="DCEAF3" w:sz="4"/>
              <w:bottom w:val="single" w:color="DCEAF3" w:sz="4"/>
              <w:right w:val="single" w:color="DCEAF3" w:sz="4"/>
            </w:tcBorders>
            <w:shd w:fill="F2F7FB" w:val="clear"/>
            <w:tcMar>
              <w:top w:type="dxa" w:w="160"/>
              <w:left w:type="dxa" w:w="120"/>
              <w:bottom w:type="dxa" w:w="160"/>
              <w:right w:type="dxa" w:w="12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6FA8"/>
                <w:sz w:val="30"/>
                <w:szCs w:val="30"/>
              </w:rPr>
              <w:t xml:space="preserve">1,581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A5A5A"/>
                <w:sz w:val="20"/>
                <w:szCs w:val="20"/>
              </w:rPr>
              <w:t xml:space="preserve">real FDA shortage records</w:t>
            </w:r>
          </w:p>
        </w:tc>
        <w:tc>
          <w:tcPr>
            <w:tcW w:type="pct" w:w="25%"/>
            <w:tcBorders>
              <w:top w:val="single" w:color="DCEAF3" w:sz="4"/>
              <w:left w:val="single" w:color="DCEAF3" w:sz="4"/>
              <w:bottom w:val="single" w:color="DCEAF3" w:sz="4"/>
              <w:right w:val="single" w:color="DCEAF3" w:sz="4"/>
            </w:tcBorders>
            <w:shd w:fill="F2F7FB" w:val="clear"/>
            <w:tcMar>
              <w:top w:type="dxa" w:w="160"/>
              <w:left w:type="dxa" w:w="120"/>
              <w:bottom w:type="dxa" w:w="160"/>
              <w:right w:type="dxa" w:w="12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6FA8"/>
                <w:sz w:val="30"/>
                <w:szCs w:val="30"/>
              </w:rPr>
              <w:t xml:space="preserve">59,525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A5A5A"/>
                <w:sz w:val="20"/>
                <w:szCs w:val="20"/>
              </w:rPr>
              <w:t xml:space="preserve">CDC seasonal surveillance rows</w:t>
            </w:r>
          </w:p>
        </w:tc>
        <w:tc>
          <w:tcPr>
            <w:tcW w:type="pct" w:w="25%"/>
            <w:tcBorders>
              <w:top w:val="single" w:color="DCEAF3" w:sz="4"/>
              <w:left w:val="single" w:color="DCEAF3" w:sz="4"/>
              <w:bottom w:val="single" w:color="DCEAF3" w:sz="4"/>
              <w:right w:val="single" w:color="DCEAF3" w:sz="4"/>
            </w:tcBorders>
            <w:shd w:fill="F2F7FB" w:val="clear"/>
            <w:tcMar>
              <w:top w:type="dxa" w:w="160"/>
              <w:left w:type="dxa" w:w="120"/>
              <w:bottom w:type="dxa" w:w="160"/>
              <w:right w:type="dxa" w:w="12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6FA8"/>
                <w:sz w:val="30"/>
                <w:szCs w:val="30"/>
              </w:rPr>
              <w:t xml:space="preserve">71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A5A5A"/>
                <w:sz w:val="20"/>
                <w:szCs w:val="20"/>
              </w:rPr>
              <w:t xml:space="preserve">real per-drug demand rows (MIMIC-IV)</w:t>
            </w:r>
          </w:p>
        </w:tc>
        <w:tc>
          <w:tcPr>
            <w:tcW w:type="pct" w:w="25%"/>
            <w:tcBorders>
              <w:top w:val="single" w:color="DCEAF3" w:sz="4"/>
              <w:left w:val="single" w:color="DCEAF3" w:sz="4"/>
              <w:bottom w:val="single" w:color="DCEAF3" w:sz="4"/>
              <w:right w:val="single" w:color="DCEAF3" w:sz="4"/>
            </w:tcBorders>
            <w:shd w:fill="F2F7FB" w:val="clear"/>
            <w:tcMar>
              <w:top w:type="dxa" w:w="160"/>
              <w:left w:type="dxa" w:w="120"/>
              <w:bottom w:type="dxa" w:w="160"/>
              <w:right w:type="dxa" w:w="12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6FA8"/>
                <w:sz w:val="30"/>
                <w:szCs w:val="30"/>
              </w:rPr>
              <w:t xml:space="preserve">81.8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A5A5A"/>
                <w:sz w:val="20"/>
                <w:szCs w:val="20"/>
              </w:rPr>
              <w:t xml:space="preserve">top composite risk score</w:t>
            </w:r>
          </w:p>
        </w:tc>
      </w:tr>
    </w:tbl>
    <w:p>
      <w:pPr>
        <w:spacing w:after="260"/>
      </w:pPr>
    </w:p>
    <w:p>
      <w:pPr>
        <w:pBdr>
          <w:bottom w:val="single" w:color="DDDDDD" w:sz="6" w:space="4"/>
        </w:pBdr>
        <w:spacing w:after="140" w:before="340" w:line="240"/>
      </w:pPr>
      <w:r>
        <w:rPr>
          <w:rFonts w:ascii="Calibri" w:cs="Calibri" w:eastAsia="Calibri" w:hAnsi="Calibri"/>
          <w:b/>
          <w:bCs/>
          <w:color w:val="1B6FA8"/>
          <w:sz w:val="28"/>
          <w:szCs w:val="28"/>
        </w:rPr>
        <w:t xml:space="preserve">The Dashboard</w:t>
      </w:r>
    </w:p>
    <w:p>
      <w:pPr>
        <w:spacing w:after="160" w:line="276" w:lineRule="auto"/>
        <w:jc w:val="left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Filter by therapeutic category and see the highest-risk drugs, active shortage count, and quarterly shortage trend update together — built on a relational model with a category table as the hub.</w:t>
      </w:r>
    </w:p>
    <w:p>
      <w:pPr>
        <w:spacing w:after="100" w:before="100"/>
        <w:jc w:val="center"/>
      </w:pPr>
      <w:r>
        <w:drawing>
          <wp:inline distT="0" distB="0" distL="0" distR="0">
            <wp:extent cx="5524500" cy="3048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rFonts w:ascii="Calibri" w:cs="Calibri" w:eastAsia="Calibri" w:hAnsi="Calibri"/>
          <w:i/>
          <w:iCs/>
          <w:color w:val="5A5A5A"/>
          <w:sz w:val="20"/>
          <w:szCs w:val="20"/>
        </w:rPr>
        <w:t xml:space="preserve">Hospital Drug Supply Risk dashboard in Power BI Desktop: category slicer, composite risk score by drug, quarterly shortage trend by status, and two KPI cards.</w:t>
      </w:r>
    </w:p>
    <w:p>
      <w:pPr>
        <w:pBdr>
          <w:bottom w:val="single" w:color="DDDDDD" w:sz="6" w:space="4"/>
        </w:pBdr>
        <w:spacing w:after="140" w:before="340" w:line="240"/>
      </w:pPr>
      <w:r>
        <w:rPr>
          <w:rFonts w:ascii="Calibri" w:cs="Calibri" w:eastAsia="Calibri" w:hAnsi="Calibri"/>
          <w:b/>
          <w:bCs/>
          <w:color w:val="1B6FA8"/>
          <w:sz w:val="28"/>
          <w:szCs w:val="28"/>
        </w:rPr>
        <w:t xml:space="preserve">Data Sources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E5E5E5" w:sz="2"/>
          <w:insideV w:val="single" w:color="E5E5E5" w:sz="2"/>
        </w:tblBorders>
      </w:tblPr>
      <w:tblGrid>
        <w:gridCol w:w="100"/>
        <w:gridCol w:w="100"/>
        <w:gridCol w:w="100"/>
      </w:tblGrid>
      <w:tr>
        <w:tc>
          <w:tcPr>
            <w:shd w:fill="1B6FA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Source</w:t>
            </w:r>
          </w:p>
        </w:tc>
        <w:tc>
          <w:tcPr>
            <w:shd w:fill="1B6FA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What it provides</w:t>
            </w:r>
          </w:p>
        </w:tc>
        <w:tc>
          <w:tcPr>
            <w:shd w:fill="1B6FA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Volume</w:t>
            </w:r>
          </w:p>
        </w:tc>
      </w:tr>
      <w:tr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2"/>
                <w:szCs w:val="22"/>
              </w:rPr>
              <w:t xml:space="preserve">openFDA Drug Shortages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2"/>
                <w:szCs w:val="22"/>
              </w:rPr>
              <w:t xml:space="preserve">Active / resolved / discontinuing shortage records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2"/>
                <w:szCs w:val="22"/>
              </w:rPr>
              <w:t xml:space="preserve">1,581 records, 24 categories</w:t>
            </w:r>
          </w:p>
        </w:tc>
      </w:tr>
      <w:tr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2"/>
                <w:szCs w:val="22"/>
              </w:rPr>
              <w:t xml:space="preserve">CDC RESP-NET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2"/>
                <w:szCs w:val="22"/>
              </w:rPr>
              <w:t xml:space="preserve">Seasonal respiratory illness surveillance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2"/>
                <w:szCs w:val="22"/>
              </w:rPr>
              <w:t xml:space="preserve">59,525 rows, 4 networks, 2018–2026</w:t>
            </w:r>
          </w:p>
        </w:tc>
      </w:tr>
      <w:tr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2"/>
                <w:szCs w:val="22"/>
              </w:rPr>
              <w:t xml:space="preserve">FDA NDC Directory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2"/>
                <w:szCs w:val="22"/>
              </w:rPr>
              <w:t xml:space="preserve">Backfills proprietary drug names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2"/>
                <w:szCs w:val="22"/>
              </w:rPr>
              <w:t xml:space="preserve">1,676 rows; 1,369/1,581 matched</w:t>
            </w:r>
          </w:p>
        </w:tc>
      </w:tr>
      <w:tr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2"/>
                <w:szCs w:val="22"/>
              </w:rPr>
              <w:t xml:space="preserve">MIMIC-IV Clinical Database Demo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2"/>
                <w:szCs w:val="22"/>
              </w:rPr>
              <w:t xml:space="preserve">Real per-drug hospital demand (Beth Israel Deaconess / Harvard Medical School, via MIT)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2"/>
                <w:szCs w:val="22"/>
              </w:rPr>
              <w:t xml:space="preserve">71 demand rows from 1,374/18,087 matched prescriptions</w:t>
            </w:r>
          </w:p>
        </w:tc>
      </w:tr>
    </w:tbl>
    <w:p>
      <w:pPr>
        <w:spacing w:after="200"/>
      </w:pPr>
    </w:p>
    <w:p>
      <w:pPr>
        <w:pBdr>
          <w:bottom w:val="single" w:color="DDDDDD" w:sz="6" w:space="4"/>
        </w:pBdr>
        <w:spacing w:after="140" w:before="340" w:line="240"/>
      </w:pPr>
      <w:r>
        <w:rPr>
          <w:rFonts w:ascii="Calibri" w:cs="Calibri" w:eastAsia="Calibri" w:hAnsi="Calibri"/>
          <w:b/>
          <w:bCs/>
          <w:color w:val="1B6FA8"/>
          <w:sz w:val="28"/>
          <w:szCs w:val="28"/>
        </w:rPr>
        <w:t xml:space="preserve">Approach</w:t>
      </w:r>
    </w:p>
    <w:p>
      <w:pPr>
        <w:spacing w:after="100" w:before="180" w:line="240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Why MIMIC-IV</w:t>
      </w:r>
    </w:p>
    <w:p>
      <w:pPr>
        <w:pStyle w:val="ListParagraph"/>
        <w:numPr>
          <w:ilvl w:val="0"/>
          <w:numId w:val="1"/>
        </w:numPr>
        <w:spacing w:after="100" w:line="276" w:lineRule="auto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eICU-CRD has more admissions (200k+) but anonymizes hospital identity and uses proprietary HICL/GTC medication codes, not NDC — would need a paid crosswalk.</w:t>
      </w:r>
    </w:p>
    <w:p>
      <w:pPr>
        <w:pStyle w:val="ListParagraph"/>
        <w:numPr>
          <w:ilvl w:val="0"/>
          <w:numId w:val="1"/>
        </w:numPr>
        <w:spacing w:after="100" w:line="276" w:lineRule="auto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AmsterdamUMCdb and HiRID are prestigious academic-hospital datasets but European, coded in ATC, not NDC.</w:t>
      </w:r>
    </w:p>
    <w:p>
      <w:pPr>
        <w:pStyle w:val="ListParagraph"/>
        <w:numPr>
          <w:ilvl w:val="0"/>
          <w:numId w:val="1"/>
        </w:numPr>
        <w:spacing w:after="100" w:line="276" w:lineRule="auto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MIMIC-IV (Beth Israel Deaconess, via MIT) uses real NDC codes that join directly to the shortage table — no crosswalk needed.</w:t>
      </w:r>
    </w:p>
    <w:p>
      <w:pPr>
        <w:spacing w:after="100" w:before="180" w:line="240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The NDC matching problem</w:t>
      </w:r>
    </w:p>
    <w:p>
      <w:pPr>
        <w:spacing w:after="160" w:line="276" w:lineRule="auto"/>
        <w:jc w:val="left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openFDA's package NDC field uses three different dash layouts (4-4-2, 5-3-2, 5-4-1). Naively zero-padding the digit string produces the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wrong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11-digit code for two of the three layouts. A segment-aware normalizer (Appendix A) fixes this by padding the correct segment based on where the dashes actually fall.</w:t>
      </w:r>
    </w:p>
    <w:p>
      <w:pPr>
        <w:spacing w:after="100" w:before="180" w:line="240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A real bug, caught by validating against live data</w:t>
      </w:r>
    </w:p>
    <w:p>
      <w:pPr>
        <w:spacing w:after="160" w:line="276" w:lineRule="auto"/>
        <w:jc w:val="left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The seasonal view filtered CDC records where sex and race_ethnicity equal “Overall,” matching the documented schema used for age_group and site. CDC's live data actually labels those two fields “All.” This silently zeroed every seasonal number for four categories (Antiviral, Anti-Infective, Pulmonary/Allergy, Pediatric), which scored a flat 60.0 baseline. After the fix, those categories scored 84–98 — correctly outranking categories with no seasonal driver.</w:t>
      </w:r>
    </w:p>
    <w:p>
      <w:pPr>
        <w:pBdr>
          <w:bottom w:val="single" w:color="DDDDDD" w:sz="6" w:space="4"/>
        </w:pBdr>
        <w:spacing w:after="140" w:before="340" w:line="240"/>
      </w:pPr>
      <w:r>
        <w:rPr>
          <w:rFonts w:ascii="Calibri" w:cs="Calibri" w:eastAsia="Calibri" w:hAnsi="Calibri"/>
          <w:b/>
          <w:bCs/>
          <w:color w:val="1B6FA8"/>
          <w:sz w:val="28"/>
          <w:szCs w:val="28"/>
        </w:rPr>
        <w:t xml:space="preserve">Key Findings</w:t>
      </w:r>
    </w:p>
    <w:p>
      <w:pPr>
        <w:spacing w:after="160" w:line="276" w:lineRule="auto"/>
        <w:jc w:val="left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Metronidazole Injection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ranks highest (risk score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81.8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) — active shortage plus Anti-Infective seasonal amplification.</w:t>
      </w:r>
    </w:p>
    <w:p>
      <w:pPr>
        <w:spacing w:after="60" w:before="80"/>
        <w:jc w:val="center"/>
      </w:pPr>
      <w:r>
        <w:drawing>
          <wp:inline distT="0" distB="0" distL="0" distR="0">
            <wp:extent cx="1447800" cy="1905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78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A5A5A"/>
          <w:sz w:val="20"/>
          <w:szCs w:val="20"/>
        </w:rPr>
        <w:t xml:space="preserve">Metronidazole Injection, USP — 500 mg/100 mL</w:t>
      </w:r>
    </w:p>
    <w:p>
      <w:pPr>
        <w:spacing w:after="160" w:line="276" w:lineRule="auto"/>
        <w:jc w:val="left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Clindamycin Phosphate Injection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follows at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76.8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, same drivers.</w:t>
      </w:r>
    </w:p>
    <w:p>
      <w:pPr>
        <w:spacing w:after="60" w:before="80"/>
        <w:jc w:val="center"/>
      </w:pPr>
      <w:r>
        <w:drawing>
          <wp:inline distT="0" distB="0" distL="0" distR="0">
            <wp:extent cx="1905000" cy="1905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A5A5A"/>
          <w:sz w:val="20"/>
          <w:szCs w:val="20"/>
        </w:rPr>
        <w:t xml:space="preserve">Clindamycin Phosphate Injection, USP (Cleocin Phosphate®) — 600 mg/4 mL</w:t>
      </w:r>
    </w:p>
    <w:p>
      <w:pPr>
        <w:spacing w:after="160" w:line="276" w:lineRule="auto"/>
        <w:jc w:val="left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A cluster of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“To Be Discontinued”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drugs score high on discontinuation risk even at low volume — a signal a purely volume-based model would miss.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  <w:gridCol w:w="100"/>
      </w:tblGrid>
      <w:tr>
        <w:tc>
          <w:tcPr>
            <w:tcW w:type="pct" w:w="33%"/>
            <w:tcMar>
              <w:top w:type="dxa" w:w="100"/>
              <w:left w:type="dxa" w:w="80"/>
              <w:bottom w:type="dxa" w:w="100"/>
              <w:right w:type="dxa" w:w="80"/>
            </w:tcMar>
          </w:tcPr>
          <w:p>
            <w:pPr>
              <w:spacing w:after="60"/>
              <w:jc w:val="center"/>
            </w:pPr>
            <w:r>
              <w:drawing>
                <wp:inline distT="0" distB="0" distL="0" distR="0">
                  <wp:extent cx="1771650" cy="1238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71650" cy="1238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A5A5A"/>
                <w:sz w:val="20"/>
                <w:szCs w:val="20"/>
              </w:rPr>
              <w:t xml:space="preserve">Belladonna 16.2 mg and Opium 30 mg Suppositories</w:t>
            </w:r>
          </w:p>
        </w:tc>
        <w:tc>
          <w:tcPr>
            <w:tcW w:type="pct" w:w="33%"/>
            <w:tcMar>
              <w:top w:type="dxa" w:w="100"/>
              <w:left w:type="dxa" w:w="80"/>
              <w:bottom w:type="dxa" w:w="100"/>
              <w:right w:type="dxa" w:w="80"/>
            </w:tcMar>
          </w:tcPr>
          <w:p>
            <w:pPr>
              <w:spacing w:after="60"/>
              <w:jc w:val="center"/>
            </w:pPr>
            <w:r>
              <w:drawing>
                <wp:inline distT="0" distB="0" distL="0" distR="0">
                  <wp:extent cx="1238250" cy="1238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0" cy="1238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A5A5A"/>
                <w:sz w:val="20"/>
                <w:szCs w:val="20"/>
              </w:rPr>
              <w:t xml:space="preserve">Lidocaine HCl Injection, USP 1%</w:t>
            </w:r>
          </w:p>
        </w:tc>
        <w:tc>
          <w:tcPr>
            <w:tcW w:type="pct" w:w="33%"/>
            <w:tcMar>
              <w:top w:type="dxa" w:w="100"/>
              <w:left w:type="dxa" w:w="80"/>
              <w:bottom w:type="dxa" w:w="100"/>
              <w:right w:type="dxa" w:w="80"/>
            </w:tcMar>
          </w:tcPr>
          <w:p>
            <w:pPr>
              <w:spacing w:after="60"/>
              <w:jc w:val="center"/>
            </w:pPr>
            <w:r>
              <w:drawing>
                <wp:inline distT="0" distB="0" distL="0" distR="0">
                  <wp:extent cx="2209800" cy="1238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09800" cy="1238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A5A5A"/>
                <w:sz w:val="20"/>
                <w:szCs w:val="20"/>
              </w:rPr>
              <w:t xml:space="preserve">Doxercalciferol Injection 4 mcg/2 mL</w:t>
            </w:r>
          </w:p>
        </w:tc>
      </w:tr>
    </w:tbl>
    <w:p>
      <w:pPr>
        <w:spacing w:after="40" w:before="100"/>
      </w:pPr>
      <w:r>
        <w:rPr>
          <w:rFonts w:ascii="Calibri" w:cs="Calibri" w:eastAsia="Calibri" w:hAnsi="Calibri"/>
          <w:i/>
          <w:iCs/>
          <w:color w:val="5A5A5A"/>
          <w:sz w:val="18"/>
          <w:szCs w:val="18"/>
        </w:rPr>
        <w:t xml:space="preserve">Image sources: 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5A5A5A"/>
          <w:sz w:val="18"/>
          <w:szCs w:val="18"/>
        </w:rPr>
        <w:t xml:space="preserve">Metronidazole — </w:t>
      </w:r>
      <w:hyperlink w:history="1" r:id="rIdwerxxxfnhlhqqca9wf9jr">
        <w:r>
          <w:rPr>
            <w:rFonts w:ascii="Calibri" w:cs="Calibri" w:eastAsia="Calibri" w:hAnsi="Calibri"/>
            <w:i/>
            <w:iCs/>
            <w:color w:val="1B6FA8"/>
            <w:sz w:val="18"/>
            <w:szCs w:val="18"/>
            <w:u w:val="single"/>
          </w:rPr>
          <w:t xml:space="preserve">WG Critical Care</w:t>
        </w:r>
      </w:hyperlink>
      <w:r>
        <w:rPr>
          <w:rFonts w:ascii="Calibri" w:cs="Calibri" w:eastAsia="Calibri" w:hAnsi="Calibri"/>
          <w:i/>
          <w:iCs/>
          <w:color w:val="5A5A5A"/>
          <w:sz w:val="18"/>
          <w:szCs w:val="18"/>
        </w:rPr>
        <w:t xml:space="preserve">   |   Clindamycin — </w:t>
      </w:r>
      <w:hyperlink w:history="1" r:id="rIdw82fkdwaz2ayrxs-u4hub">
        <w:r>
          <w:rPr>
            <w:rFonts w:ascii="Calibri" w:cs="Calibri" w:eastAsia="Calibri" w:hAnsi="Calibri"/>
            <w:i/>
            <w:iCs/>
            <w:color w:val="1B6FA8"/>
            <w:sz w:val="18"/>
            <w:szCs w:val="18"/>
            <w:u w:val="single"/>
          </w:rPr>
          <w:t xml:space="preserve">McGuff Medical</w:t>
        </w:r>
      </w:hyperlink>
      <w:r>
        <w:rPr>
          <w:rFonts w:ascii="Calibri" w:cs="Calibri" w:eastAsia="Calibri" w:hAnsi="Calibri"/>
          <w:i/>
          <w:iCs/>
          <w:color w:val="5A5A5A"/>
          <w:sz w:val="18"/>
          <w:szCs w:val="18"/>
        </w:rPr>
        <w:t xml:space="preserve">   |   Belladonna/Opium — </w:t>
      </w:r>
      <w:hyperlink w:history="1" r:id="rIdggrpus19itp3awe89t3al">
        <w:r>
          <w:rPr>
            <w:rFonts w:ascii="Calibri" w:cs="Calibri" w:eastAsia="Calibri" w:hAnsi="Calibri"/>
            <w:i/>
            <w:iCs/>
            <w:color w:val="1B6FA8"/>
            <w:sz w:val="18"/>
            <w:szCs w:val="18"/>
            <w:u w:val="single"/>
          </w:rPr>
          <w:t xml:space="preserve">GoodRx</w:t>
        </w:r>
      </w:hyperlink>
    </w:p>
    <w:p>
      <w:pPr>
        <w:spacing w:after="240"/>
      </w:pPr>
      <w:r>
        <w:rPr>
          <w:rFonts w:ascii="Calibri" w:cs="Calibri" w:eastAsia="Calibri" w:hAnsi="Calibri"/>
          <w:i/>
          <w:iCs/>
          <w:color w:val="5A5A5A"/>
          <w:sz w:val="18"/>
          <w:szCs w:val="18"/>
        </w:rPr>
        <w:t xml:space="preserve">Lidocaine — </w:t>
      </w:r>
      <w:hyperlink w:history="1" r:id="rId4bmd68ku7t248zkjdgcu8">
        <w:r>
          <w:rPr>
            <w:rFonts w:ascii="Calibri" w:cs="Calibri" w:eastAsia="Calibri" w:hAnsi="Calibri"/>
            <w:i/>
            <w:iCs/>
            <w:color w:val="1B6FA8"/>
            <w:sz w:val="18"/>
            <w:szCs w:val="18"/>
            <w:u w:val="single"/>
          </w:rPr>
          <w:t xml:space="preserve">McGuff Medical</w:t>
        </w:r>
      </w:hyperlink>
      <w:r>
        <w:rPr>
          <w:rFonts w:ascii="Calibri" w:cs="Calibri" w:eastAsia="Calibri" w:hAnsi="Calibri"/>
          <w:i/>
          <w:iCs/>
          <w:color w:val="5A5A5A"/>
          <w:sz w:val="18"/>
          <w:szCs w:val="18"/>
        </w:rPr>
        <w:t xml:space="preserve">   |   Doxercalciferol — </w:t>
      </w:r>
      <w:hyperlink w:history="1" r:id="rIdm3_0ya1oej9dltf_bn2bk">
        <w:r>
          <w:rPr>
            <w:rFonts w:ascii="Calibri" w:cs="Calibri" w:eastAsia="Calibri" w:hAnsi="Calibri"/>
            <w:i/>
            <w:iCs/>
            <w:color w:val="1B6FA8"/>
            <w:sz w:val="18"/>
            <w:szCs w:val="18"/>
            <w:u w:val="single"/>
          </w:rPr>
          <w:t xml:space="preserve">Drug Store News</w:t>
        </w:r>
      </w:hyperlink>
    </w:p>
    <w:p>
      <w:pPr>
        <w:pBdr>
          <w:bottom w:val="single" w:color="DDDDDD" w:sz="6" w:space="4"/>
        </w:pBdr>
        <w:spacing w:after="140" w:before="340" w:line="240"/>
      </w:pPr>
      <w:r>
        <w:rPr>
          <w:rFonts w:ascii="Calibri" w:cs="Calibri" w:eastAsia="Calibri" w:hAnsi="Calibri"/>
          <w:b/>
          <w:bCs/>
          <w:color w:val="1B6FA8"/>
          <w:sz w:val="28"/>
          <w:szCs w:val="28"/>
        </w:rPr>
        <w:t xml:space="preserve">Tech Stack</w:t>
      </w:r>
    </w:p>
    <w:p>
      <w:pPr>
        <w:spacing w:after="240" w:line="276" w:lineRule="auto"/>
        <w:jc w:val="left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Python (pandas, duckdb) · DuckDB · SQL · Power BI Desktop</w:t>
      </w:r>
    </w:p>
    <w:p>
      <w:pPr>
        <w:pBdr>
          <w:bottom w:val="single" w:color="DDDDDD" w:sz="6" w:space="4"/>
        </w:pBdr>
        <w:spacing w:after="140" w:before="340" w:line="240"/>
      </w:pPr>
      <w:r>
        <w:rPr>
          <w:rFonts w:ascii="Calibri" w:cs="Calibri" w:eastAsia="Calibri" w:hAnsi="Calibri"/>
          <w:b/>
          <w:bCs/>
          <w:color w:val="1B6FA8"/>
          <w:sz w:val="28"/>
          <w:szCs w:val="28"/>
        </w:rPr>
        <w:t xml:space="preserve">Limitations &amp; Next Steps</w:t>
      </w:r>
    </w:p>
    <w:p>
      <w:pPr>
        <w:pStyle w:val="ListParagraph"/>
        <w:numPr>
          <w:ilvl w:val="0"/>
          <w:numId w:val="1"/>
        </w:numPr>
        <w:spacing w:after="100" w:line="276" w:lineRule="auto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Demand data currently comes from the free 100-patient MIMIC-IV demo. Full credentialed access (364,627 patients) is pending through PhysioNet — the pipeline swaps in with zero code changes once granted.</w:t>
      </w:r>
    </w:p>
    <w:p>
      <w:pPr>
        <w:pStyle w:val="ListParagraph"/>
        <w:numPr>
          <w:ilvl w:val="0"/>
          <w:numId w:val="1"/>
        </w:numPr>
        <w:spacing w:after="100" w:line="276" w:lineRule="auto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Rankings may shift once demand is calculated from the full patient population instead of the 100-patient sample.</w:t>
      </w:r>
    </w:p>
    <w:p>
      <w:pPr>
        <w:pStyle w:val="ListParagraph"/>
        <w:numPr>
          <w:ilvl w:val="0"/>
          <w:numId w:val="1"/>
        </w:numPr>
        <w:spacing w:after="100" w:line="276" w:lineRule="auto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A natural next step is automating this into a hospital's existing inventory or supply chain management (SCM) system, so that reorder points and high-risk alerts are pushed directly into the workflow a pharmacy team already uses, rather than requiring someone to check a separate dashboard.</w:t>
      </w:r>
    </w:p>
    <w:p>
      <w:pPr>
        <w:spacing w:after="200"/>
      </w:pPr>
    </w:p>
    <w:p>
      <w:pPr>
        <w:pBdr>
          <w:bottom w:val="single" w:color="DDDDDD" w:sz="6" w:space="4"/>
        </w:pBdr>
        <w:spacing w:after="140" w:before="340" w:line="240"/>
      </w:pPr>
      <w:r>
        <w:rPr>
          <w:rFonts w:ascii="Calibri" w:cs="Calibri" w:eastAsia="Calibri" w:hAnsi="Calibri"/>
          <w:b/>
          <w:bCs/>
          <w:color w:val="1B6FA8"/>
          <w:sz w:val="28"/>
          <w:szCs w:val="28"/>
        </w:rPr>
        <w:t xml:space="preserve">Technical Appendix</w:t>
      </w:r>
    </w:p>
    <w:p>
      <w:pPr>
        <w:spacing w:after="100" w:before="180" w:line="240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A. NDC Normalization</w:t>
      </w:r>
    </w:p>
    <w:p>
      <w:pPr>
        <w:spacing w:after="120" w:line="276" w:lineRule="auto"/>
        <w:jc w:val="left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Converts a dashed openFDA package NDC (any of the three real segment layouts) to the standard 11-digit form by zero-padding the correct segment.</w:t>
      </w:r>
    </w:p>
    <w:tbl>
      <w:tblPr>
        <w:tblW w:type="pct" w:w="100%"/>
        <w:tblBorders>
          <w:top w:val="single" w:color="3A3A3A" w:sz="4"/>
          <w:left w:val="single" w:color="3A3A3A" w:sz="4"/>
          <w:bottom w:val="single" w:color="3A3A3A" w:sz="4"/>
          <w:right w:val="single" w:color="3A3A3A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5F5F5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0" w:line="220" w:lineRule="auto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def normalize_dashed_ndc(package_ndc: str):</w:t>
            </w:r>
          </w:p>
          <w:p>
            <w:pPr>
              <w:spacing w:after="0" w:line="220" w:lineRule="auto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"""</w:t>
            </w:r>
          </w:p>
          <w:p>
            <w:pPr>
              <w:spacing w:after="0" w:line="220" w:lineRule="auto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Convert a DASHED openFDA package_ndc (4-4-2, 5-3-2, or 5-4-1)</w:t>
            </w:r>
          </w:p>
          <w:p>
            <w:pPr>
              <w:spacing w:after="0" w:line="220" w:lineRule="auto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to the standard 11-digit (5-4-2) form by zero-padding whichever</w:t>
            </w:r>
          </w:p>
          <w:p>
            <w:pPr>
              <w:spacing w:after="0" w:line="220" w:lineRule="auto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segment is short -- using the real segment boundaries from the</w:t>
            </w:r>
          </w:p>
          <w:p>
            <w:pPr>
              <w:spacing w:after="0" w:line="220" w:lineRule="auto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dashes, not a naive whole-string pad (only correct for 4-4-2).</w:t>
            </w:r>
          </w:p>
          <w:p>
            <w:pPr>
              <w:spacing w:after="0" w:line="220" w:lineRule="auto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"""</w:t>
            </w:r>
          </w:p>
          <w:p>
            <w:pPr>
              <w:spacing w:after="0" w:line="220" w:lineRule="auto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if not package_ndc:</w:t>
            </w:r>
          </w:p>
          <w:p>
            <w:pPr>
              <w:spacing w:after="0" w:line="220" w:lineRule="auto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    return None</w:t>
            </w:r>
          </w:p>
          <w:p>
            <w:pPr>
              <w:spacing w:after="0" w:line="220" w:lineRule="auto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parts = package_ndc.strip().split("-")</w:t>
            </w:r>
          </w:p>
          <w:p>
            <w:pPr>
              <w:spacing w:after="0" w:line="220" w:lineRule="auto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if len(parts) != 3:</w:t>
            </w:r>
          </w:p>
          <w:p>
            <w:pPr>
              <w:spacing w:after="0" w:line="220" w:lineRule="auto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    return None</w:t>
            </w:r>
          </w:p>
          <w:p>
            <w:pPr>
              <w:spacing w:after="0" w:line="220" w:lineRule="auto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labeler, product, pkg = parts</w:t>
            </w:r>
          </w:p>
          <w:p>
            <w:pPr>
              <w:spacing w:after="0" w:line="220" w:lineRule="auto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if not (labeler.isdigit() and product.isdigit() and pkg.isdigit()):</w:t>
            </w:r>
          </w:p>
          <w:p>
            <w:pPr>
              <w:spacing w:after="0" w:line="220" w:lineRule="auto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    return None</w:t>
            </w:r>
          </w:p>
          <w:p>
            <w:pPr>
              <w:spacing w:after="0" w:line="220" w:lineRule="auto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labeler = labeler.zfill(5)</w:t>
            </w:r>
          </w:p>
          <w:p>
            <w:pPr>
              <w:spacing w:after="0" w:line="220" w:lineRule="auto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product = product.zfill(4)</w:t>
            </w:r>
          </w:p>
          <w:p>
            <w:pPr>
              <w:spacing w:after="0" w:line="220" w:lineRule="auto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pkg = pkg.zfill(2)</w:t>
            </w:r>
          </w:p>
          <w:p>
            <w:pPr>
              <w:spacing w:after="0" w:line="220" w:lineRule="auto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return labeler + product + pkg</w:t>
            </w:r>
          </w:p>
        </w:tc>
      </w:tr>
    </w:tbl>
    <w:p>
      <w:pPr>
        <w:spacing w:after="200"/>
      </w:pPr>
    </w:p>
    <w:p>
      <w:pPr>
        <w:spacing w:after="100" w:before="180" w:line="240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B. Composite Risk Score</w:t>
      </w:r>
    </w:p>
    <w:p>
      <w:pPr>
        <w:spacing w:after="120" w:line="276" w:lineRule="auto"/>
        <w:jc w:val="left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Derives safety stock, reorder point, and the final composite risk score once demand, seasonal, and supply-status data are joined for a drug.</w:t>
      </w:r>
    </w:p>
    <w:tbl>
      <w:tblPr>
        <w:tblW w:type="pct" w:w="100%"/>
        <w:tblBorders>
          <w:top w:val="single" w:color="3A3A3A" w:sz="4"/>
          <w:left w:val="single" w:color="3A3A3A" w:sz="4"/>
          <w:bottom w:val="single" w:color="3A3A3A" w:sz="4"/>
          <w:right w:val="single" w:color="3A3A3A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5F5F5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0" w:line="220" w:lineRule="auto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z = norm_ppf(d["service_level"])</w:t>
            </w:r>
          </w:p>
          <w:p>
            <w:pPr>
              <w:spacing w:after="0" w:line="220" w:lineRule="auto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d_avg, d_std = d["avg_weekly_demand_units"], d["demand_std_units"]</w:t>
            </w:r>
          </w:p>
          <w:p>
            <w:pPr>
              <w:spacing w:after="0" w:line="220" w:lineRule="auto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lt_avg, lt_std = d["lead_time_weeks"], d["lead_time_std_weeks"]</w:t>
            </w:r>
          </w:p>
          <w:p>
            <w:pPr>
              <w:spacing w:after="0" w:line="220" w:lineRule="auto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0" w:line="220" w:lineRule="auto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base_ss = z * math.sqrt(lt_avg * d_std**2 + d_avg**2 * lt_std**2)</w:t>
            </w:r>
          </w:p>
          <w:p>
            <w:pPr>
              <w:spacing w:after="0" w:line="220" w:lineRule="auto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base_rop = d_avg * lt_avg + base_ss</w:t>
            </w:r>
          </w:p>
          <w:p>
            <w:pPr>
              <w:spacing w:after="0" w:line="220" w:lineRule="auto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0" w:line="220" w:lineRule="auto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seasonal_amp = (1.0 + seasonal_cv) if (network and seasonal_cv is not None) else 1.0</w:t>
            </w:r>
          </w:p>
          <w:p>
            <w:pPr>
              <w:spacing w:after="0" w:line="220" w:lineRule="auto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supply = SUPPLY_RISK_PARAMS.get(shortage_status, DEFAULT_SUPPLY_RISK)</w:t>
            </w:r>
          </w:p>
          <w:p>
            <w:pPr>
              <w:spacing w:after="0" w:line="220" w:lineRule="auto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0" w:line="220" w:lineRule="auto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d_std_eff = d_std * seasonal_amp</w:t>
            </w:r>
          </w:p>
          <w:p>
            <w:pPr>
              <w:spacing w:after="0" w:line="220" w:lineRule="auto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lt_avg_eff = lt_avg * supply["lt_mean_mult"]</w:t>
            </w:r>
          </w:p>
          <w:p>
            <w:pPr>
              <w:spacing w:after="0" w:line="220" w:lineRule="auto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lt_std_eff = lt_std * supply["lt_std_mult"]</w:t>
            </w:r>
          </w:p>
          <w:p>
            <w:pPr>
              <w:spacing w:after="0" w:line="220" w:lineRule="auto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0" w:line="220" w:lineRule="auto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vol_ss = z * math.sqrt(lt_avg_eff * d_std_eff**2 + d_avg**2 * lt_std_eff**2)</w:t>
            </w:r>
          </w:p>
          <w:p>
            <w:pPr>
              <w:spacing w:after="0" w:line="220" w:lineRule="auto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vol_rop = d_avg * lt_avg_eff + vol_ss</w:t>
            </w:r>
          </w:p>
          <w:p>
            <w:pPr>
              <w:spacing w:after="0" w:line="220" w:lineRule="auto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0" w:line="220" w:lineRule="auto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ss_inflation_norm = min(max((vol_ss / base_ss - 1.0) if base_ss &gt; 0 else 0.0, 0.0), 1.0)</w:t>
            </w:r>
          </w:p>
          <w:p>
            <w:pPr>
              <w:spacing w:after="0" w:line="220" w:lineRule="auto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seasonal_norm = min(max(seasonal_amp - 1.0, 0.0), 1.0)</w:t>
            </w:r>
          </w:p>
          <w:p>
            <w:pPr>
              <w:spacing w:after="0" w:line="220" w:lineRule="auto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composite = 100.0 * (0.45 * supply["risk_component"]</w:t>
            </w:r>
          </w:p>
          <w:p>
            <w:pPr>
              <w:spacing w:after="0" w:line="220" w:lineRule="auto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                  + 0.30 * seasonal_norm</w:t>
            </w:r>
          </w:p>
          <w:p>
            <w:pPr>
              <w:spacing w:after="0" w:line="220" w:lineRule="auto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                  + 0.25 * ss_inflation_norm)</w:t>
            </w:r>
          </w:p>
        </w:tc>
      </w:tr>
    </w:tbl>
    <w:sectPr>
      <w:pgSz w:w="12240" w:h="15840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line="276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werxxxfnhlhqqca9wf9jr" Type="http://schemas.openxmlformats.org/officeDocument/2006/relationships/hyperlink" Target="https://www.wgcriticalcare.com/injectable-pharmaceuticals/our-products/metronidazole-for-injection-usp/" TargetMode="External"/><Relationship Id="rIdw82fkdwaz2ayrxs-u4hub" Type="http://schemas.openxmlformats.org/officeDocument/2006/relationships/hyperlink" Target="https://www.mcguff.com/cleocin-phosphatereg-clindamycin-600mgvial-sdv-4ml-25-vialstray" TargetMode="External"/><Relationship Id="rIdggrpus19itp3awe89t3al" Type="http://schemas.openxmlformats.org/officeDocument/2006/relationships/hyperlink" Target="https://www.goodrx.com/belladonna-opium/what-is" TargetMode="External"/><Relationship Id="rId4bmd68ku7t248zkjdgcu8" Type="http://schemas.openxmlformats.org/officeDocument/2006/relationships/hyperlink" Target="https://www.mcguff.com/lidocaine-1-no-preservatives-glass-10mgml-sdv-30ml" TargetMode="External"/><Relationship Id="rIdm3_0ya1oej9dltf_bn2bk" Type="http://schemas.openxmlformats.org/officeDocument/2006/relationships/hyperlink" Target="https://drugstorenews.com/alembic-debuts-generic-hectorol" TargetMode="External"/><Relationship Id="rId7" Type="http://schemas.openxmlformats.org/officeDocument/2006/relationships/image" Target="media/c2b3c910302a7d0ca6c847de53137e6b6e3a500c.png"/><Relationship Id="rId8" Type="http://schemas.openxmlformats.org/officeDocument/2006/relationships/image" Target="media/54c5d136e0eac49dcae4c807cf1012f2db6a3e1a.png"/><Relationship Id="rId9" Type="http://schemas.openxmlformats.org/officeDocument/2006/relationships/image" Target="media/fb305f60ba6bcde4ed969ad477cbb5eb576d1c9c.png"/><Relationship Id="rId10" Type="http://schemas.openxmlformats.org/officeDocument/2006/relationships/image" Target="media/bf6765f27eb9894a245423716c9897548e8dbd25.png"/><Relationship Id="rId11" Type="http://schemas.openxmlformats.org/officeDocument/2006/relationships/image" Target="media/2e27fb7e0465224e13541c5605f597c40592a524.png"/><Relationship Id="rId12" Type="http://schemas.openxmlformats.org/officeDocument/2006/relationships/image" Target="media/664577ff56d9e0c22fbf615cf910f99a9be79ac4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2026-08-26T20:18:25.149Z</dcterms:created>
  <dcterms:modified xsi:type="dcterms:W3CDTF">2026-08-26T20:18:25.149Z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