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Diamantes</w:t>
      </w:r>
      <w:r>
        <w:t xml:space="preserve"> </w:t>
      </w:r>
      <w:r>
        <w:t xml:space="preserve">(Práctica</w:t>
      </w:r>
      <w:r>
        <w:t xml:space="preserve"> </w:t>
      </w:r>
      <w:r>
        <w:t xml:space="preserve">AFI)</w:t>
      </w:r>
    </w:p>
    <w:p>
      <w:pPr>
        <w:pStyle w:val="Author"/>
      </w:pPr>
      <w:r>
        <w:t xml:space="preserve">Gerardo</w:t>
      </w:r>
      <w:r>
        <w:t xml:space="preserve"> </w:t>
      </w:r>
      <w:r>
        <w:t xml:space="preserve">Alcalá</w:t>
      </w:r>
    </w:p>
    <w:p>
      <w:pPr>
        <w:pStyle w:val="Heading2"/>
      </w:pPr>
      <w:bookmarkStart w:id="21" w:name="analisis-descriptivo-dataset-de-diamantes."/>
      <w:bookmarkEnd w:id="21"/>
      <w:r>
        <w:t xml:space="preserve">Análisis descriptivo: Dataset de diamantes.</w:t>
      </w:r>
    </w:p>
    <w:p>
      <w:pPr>
        <w:pStyle w:val="FirstParagraph"/>
      </w:pPr>
      <w:r>
        <w:t xml:space="preserve">El Dataset de diamantes se encuentra disponible en (</w:t>
      </w:r>
      <w:hyperlink r:id="rId22">
        <w:r>
          <w:rPr>
            <w:rStyle w:val="Hyperlink"/>
          </w:rPr>
          <w:t xml:space="preserve">http://ggplot2.tidyverse.org/reference/diamonds.html</w:t>
        </w:r>
      </w:hyperlink>
      <w:r>
        <w:t xml:space="preserve">)[</w:t>
      </w:r>
      <w:hyperlink r:id="rId22">
        <w:r>
          <w:rPr>
            <w:rStyle w:val="Hyperlink"/>
          </w:rPr>
          <w:t xml:space="preserve">http://ggplot2.tidyverse.org/reference/diamonds.html</w:t>
        </w:r>
      </w:hyperlink>
      <w:r>
        <w:t xml:space="preserve">] y está compuesto por 53,940 diamantes de los cuales se dispone de los siguientes atributos:</w:t>
      </w:r>
    </w:p>
    <w:p>
      <w:pPr>
        <w:pStyle w:val="Heading4"/>
      </w:pPr>
      <w:bookmarkStart w:id="23" w:name="lista-de-atributos-del-dataset."/>
      <w:bookmarkEnd w:id="23"/>
      <w:r>
        <w:t xml:space="preserve">Lista de atributos del dataset.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Variables continuas:</w:t>
      </w:r>
    </w:p>
    <w:p>
      <w:pPr>
        <w:pStyle w:val="Compact"/>
        <w:numPr>
          <w:numId w:val="1002"/>
          <w:ilvl w:val="1"/>
        </w:numPr>
      </w:pPr>
      <w:r>
        <w:t xml:space="preserve">price</w:t>
      </w:r>
    </w:p>
    <w:p>
      <w:pPr>
        <w:pStyle w:val="Compact"/>
        <w:numPr>
          <w:numId w:val="1002"/>
          <w:ilvl w:val="1"/>
        </w:numPr>
      </w:pPr>
      <w:r>
        <w:t xml:space="preserve">carat</w:t>
      </w:r>
    </w:p>
    <w:p>
      <w:pPr>
        <w:pStyle w:val="Compact"/>
        <w:numPr>
          <w:numId w:val="1002"/>
          <w:ilvl w:val="1"/>
        </w:numPr>
      </w:pPr>
      <w:r>
        <w:t xml:space="preserve">depth</w:t>
      </w:r>
    </w:p>
    <w:p>
      <w:pPr>
        <w:pStyle w:val="Compact"/>
        <w:numPr>
          <w:numId w:val="1002"/>
          <w:ilvl w:val="1"/>
        </w:numPr>
      </w:pPr>
      <w:r>
        <w:t xml:space="preserve">table</w:t>
      </w:r>
    </w:p>
    <w:p>
      <w:pPr>
        <w:pStyle w:val="Compact"/>
        <w:numPr>
          <w:numId w:val="1002"/>
          <w:ilvl w:val="1"/>
        </w:numPr>
      </w:pPr>
      <w:r>
        <w:t xml:space="preserve">x</w:t>
      </w:r>
    </w:p>
    <w:p>
      <w:pPr>
        <w:pStyle w:val="Compact"/>
        <w:numPr>
          <w:numId w:val="1002"/>
          <w:ilvl w:val="1"/>
        </w:numPr>
      </w:pPr>
      <w:r>
        <w:t xml:space="preserve">y</w:t>
      </w:r>
    </w:p>
    <w:p>
      <w:pPr>
        <w:pStyle w:val="Compact"/>
        <w:numPr>
          <w:numId w:val="1002"/>
          <w:ilvl w:val="1"/>
        </w:numPr>
      </w:pPr>
      <w:r>
        <w:t xml:space="preserve">z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Variables categóricas:</w:t>
      </w:r>
    </w:p>
    <w:p>
      <w:pPr>
        <w:pStyle w:val="Compact"/>
        <w:numPr>
          <w:numId w:val="1003"/>
          <w:ilvl w:val="1"/>
        </w:numPr>
      </w:pPr>
      <w:r>
        <w:t xml:space="preserve">cut (ordinal)</w:t>
      </w:r>
    </w:p>
    <w:p>
      <w:pPr>
        <w:pStyle w:val="Compact"/>
        <w:numPr>
          <w:numId w:val="1003"/>
          <w:ilvl w:val="1"/>
        </w:numPr>
      </w:pPr>
      <w:r>
        <w:t xml:space="preserve">color (ordinal)</w:t>
      </w:r>
    </w:p>
    <w:p>
      <w:pPr>
        <w:pStyle w:val="Compact"/>
        <w:numPr>
          <w:numId w:val="1003"/>
          <w:ilvl w:val="1"/>
        </w:numPr>
      </w:pPr>
      <w:r>
        <w:t xml:space="preserve">clarity (ordinal)</w:t>
      </w:r>
    </w:p>
    <w:p>
      <w:pPr>
        <w:pStyle w:val="Heading3"/>
      </w:pPr>
      <w:bookmarkStart w:id="24" w:name="analisis-exploratorio-de-los-datos."/>
      <w:bookmarkEnd w:id="24"/>
      <w:r>
        <w:t xml:space="preserve">Análisis exploratorio de los datos.</w:t>
      </w:r>
    </w:p>
    <w:p>
      <w:pPr>
        <w:pStyle w:val="FirstParagraph"/>
      </w:pPr>
      <w:r>
        <w:t xml:space="preserve">Las variables categóricas de la base de datos son ordinales y sólo son 3. A continuación presentamos las tablas de frecuencias: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Relativa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p>
            <w:pPr>
              <w:pStyle w:val="Compact"/>
              <w:jc w:val="right"/>
            </w:pPr>
            <w:r>
              <w:t xml:space="preserve">1610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p>
            <w:pPr>
              <w:pStyle w:val="Compact"/>
              <w:jc w:val="right"/>
            </w:pPr>
            <w:r>
              <w:t xml:space="preserve">4906</w:t>
            </w:r>
          </w:p>
        </w:tc>
        <w:tc>
          <w:p>
            <w:pPr>
              <w:pStyle w:val="Compact"/>
              <w:jc w:val="right"/>
            </w:pPr>
            <w:r>
              <w:t xml:space="preserve">9.10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Very Good</w:t>
            </w:r>
          </w:p>
        </w:tc>
        <w:tc>
          <w:p>
            <w:pPr>
              <w:pStyle w:val="Compact"/>
              <w:jc w:val="right"/>
            </w:pPr>
            <w:r>
              <w:t xml:space="preserve">12082</w:t>
            </w:r>
          </w:p>
        </w:tc>
        <w:tc>
          <w:p>
            <w:pPr>
              <w:pStyle w:val="Compact"/>
              <w:jc w:val="right"/>
            </w:pPr>
            <w:r>
              <w:t xml:space="preserve">22.40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p>
            <w:pPr>
              <w:pStyle w:val="Compact"/>
              <w:jc w:val="right"/>
            </w:pPr>
            <w:r>
              <w:t xml:space="preserve">13791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p>
            <w:pPr>
              <w:pStyle w:val="Compact"/>
              <w:jc w:val="right"/>
            </w:pPr>
            <w:r>
              <w:t xml:space="preserve">21551</w:t>
            </w:r>
          </w:p>
        </w:tc>
        <w:tc>
          <w:p>
            <w:pPr>
              <w:pStyle w:val="Compact"/>
              <w:jc w:val="right"/>
            </w:pPr>
            <w:r>
              <w:t xml:space="preserve">39.95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Relativa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6775</w:t>
            </w:r>
          </w:p>
        </w:tc>
        <w:tc>
          <w:p>
            <w:pPr>
              <w:pStyle w:val="Compact"/>
              <w:jc w:val="right"/>
            </w:pPr>
            <w:r>
              <w:t xml:space="preserve">12.56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9797</w:t>
            </w:r>
          </w:p>
        </w:tc>
        <w:tc>
          <w:p>
            <w:pPr>
              <w:pStyle w:val="Compact"/>
              <w:jc w:val="right"/>
            </w:pPr>
            <w:r>
              <w:t xml:space="preserve">18.16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9542</w:t>
            </w:r>
          </w:p>
        </w:tc>
        <w:tc>
          <w:p>
            <w:pPr>
              <w:pStyle w:val="Compact"/>
              <w:jc w:val="right"/>
            </w:pPr>
            <w:r>
              <w:t xml:space="preserve">17.69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right"/>
            </w:pPr>
            <w:r>
              <w:t xml:space="preserve">11292</w:t>
            </w:r>
          </w:p>
        </w:tc>
        <w:tc>
          <w:p>
            <w:pPr>
              <w:pStyle w:val="Compact"/>
              <w:jc w:val="right"/>
            </w:pPr>
            <w:r>
              <w:t xml:space="preserve">20.93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8304</w:t>
            </w:r>
          </w:p>
        </w:tc>
        <w:tc>
          <w:p>
            <w:pPr>
              <w:pStyle w:val="Compact"/>
              <w:jc w:val="right"/>
            </w:pPr>
            <w:r>
              <w:t xml:space="preserve">15.39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right"/>
            </w:pPr>
            <w:r>
              <w:t xml:space="preserve">5422</w:t>
            </w:r>
          </w:p>
        </w:tc>
        <w:tc>
          <w:p>
            <w:pPr>
              <w:pStyle w:val="Compact"/>
              <w:jc w:val="right"/>
            </w:pPr>
            <w:r>
              <w:t xml:space="preserve">10.05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right"/>
            </w:pPr>
            <w:r>
              <w:t xml:space="preserve">2808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Relativa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p>
            <w:pPr>
              <w:pStyle w:val="Compact"/>
              <w:jc w:val="right"/>
            </w:pPr>
            <w:r>
              <w:t xml:space="preserve">741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p>
            <w:pPr>
              <w:pStyle w:val="Compact"/>
              <w:jc w:val="right"/>
            </w:pPr>
            <w:r>
              <w:t xml:space="preserve">9194</w:t>
            </w:r>
          </w:p>
        </w:tc>
        <w:tc>
          <w:p>
            <w:pPr>
              <w:pStyle w:val="Compact"/>
              <w:jc w:val="right"/>
            </w:pPr>
            <w:r>
              <w:t xml:space="preserve">17.04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SI1</w:t>
            </w:r>
          </w:p>
        </w:tc>
        <w:tc>
          <w:p>
            <w:pPr>
              <w:pStyle w:val="Compact"/>
              <w:jc w:val="right"/>
            </w:pPr>
            <w:r>
              <w:t xml:space="preserve">13065</w:t>
            </w:r>
          </w:p>
        </w:tc>
        <w:tc>
          <w:p>
            <w:pPr>
              <w:pStyle w:val="Compact"/>
              <w:jc w:val="right"/>
            </w:pPr>
            <w:r>
              <w:t xml:space="preserve">24.22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VS2</w:t>
            </w:r>
          </w:p>
        </w:tc>
        <w:tc>
          <w:p>
            <w:pPr>
              <w:pStyle w:val="Compact"/>
              <w:jc w:val="right"/>
            </w:pPr>
            <w:r>
              <w:t xml:space="preserve">12258</w:t>
            </w:r>
          </w:p>
        </w:tc>
        <w:tc>
          <w:p>
            <w:pPr>
              <w:pStyle w:val="Compact"/>
              <w:jc w:val="right"/>
            </w:pPr>
            <w:r>
              <w:t xml:space="preserve">22.73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VS1</w:t>
            </w:r>
          </w:p>
        </w:tc>
        <w:tc>
          <w:p>
            <w:pPr>
              <w:pStyle w:val="Compact"/>
              <w:jc w:val="right"/>
            </w:pPr>
            <w:r>
              <w:t xml:space="preserve">8171</w:t>
            </w:r>
          </w:p>
        </w:tc>
        <w:tc>
          <w:p>
            <w:pPr>
              <w:pStyle w:val="Compact"/>
              <w:jc w:val="right"/>
            </w:pPr>
            <w:r>
              <w:t xml:space="preserve">15.15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VVS2</w:t>
            </w:r>
          </w:p>
        </w:tc>
        <w:tc>
          <w:p>
            <w:pPr>
              <w:pStyle w:val="Compact"/>
              <w:jc w:val="right"/>
            </w:pPr>
            <w:r>
              <w:t xml:space="preserve">5066</w:t>
            </w:r>
          </w:p>
        </w:tc>
        <w:tc>
          <w:p>
            <w:pPr>
              <w:pStyle w:val="Compact"/>
              <w:jc w:val="right"/>
            </w:pPr>
            <w:r>
              <w:t xml:space="preserve">9.39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VVS1</w:t>
            </w:r>
          </w:p>
        </w:tc>
        <w:tc>
          <w:p>
            <w:pPr>
              <w:pStyle w:val="Compact"/>
              <w:jc w:val="right"/>
            </w:pPr>
            <w:r>
              <w:t xml:space="preserve">3655</w:t>
            </w:r>
          </w:p>
        </w:tc>
        <w:tc>
          <w:p>
            <w:pPr>
              <w:pStyle w:val="Compact"/>
              <w:jc w:val="right"/>
            </w:pPr>
            <w:r>
              <w:t xml:space="preserve">6.78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p>
            <w:pPr>
              <w:pStyle w:val="Compact"/>
              <w:jc w:val="right"/>
            </w:pPr>
            <w:r>
              <w:t xml:space="preserve">1790</w:t>
            </w:r>
          </w:p>
        </w:tc>
        <w:tc>
          <w:p>
            <w:pPr>
              <w:pStyle w:val="Compact"/>
              <w:jc w:val="right"/>
            </w:pPr>
            <w:r>
              <w:t xml:space="preserve">3.32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antes_files/figure-docx/var_ca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ant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c14a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d036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22" Target="http://ggplot2.tidyverse.org/reference/diamon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gplot2.tidyverse.org/reference/diamon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Diamantes (Práctica AFI)</dc:title>
  <dc:creator>Gerardo Alcalá</dc:creator>
  <dcterms:created xsi:type="dcterms:W3CDTF">2017-11-20T22:43:45Z</dcterms:created>
  <dcterms:modified xsi:type="dcterms:W3CDTF">2017-11-20T22:43:45Z</dcterms:modified>
</cp:coreProperties>
</file>