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CB2F46">
      <w:pPr>
        <w:jc w:val="center"/>
        <w:rPr>
          <w:rFonts w:hint="default" w:eastAsiaTheme="minorEastAsia"/>
          <w:sz w:val="28"/>
          <w:szCs w:val="28"/>
          <w:lang w:val="en-US" w:eastAsia="zh-CN"/>
        </w:rPr>
      </w:pPr>
      <w:r>
        <w:rPr>
          <w:rFonts w:hint="eastAsia"/>
          <w:sz w:val="28"/>
          <w:szCs w:val="28"/>
          <w:lang w:val="en-US" w:eastAsia="zh-CN"/>
        </w:rPr>
        <w:t>Cover letter</w:t>
      </w:r>
    </w:p>
    <w:p w14:paraId="52F34942">
      <w:pPr>
        <w:rPr>
          <w:rFonts w:hint="eastAsia"/>
        </w:rPr>
      </w:pPr>
    </w:p>
    <w:p w14:paraId="114FFFB9">
      <w:pPr>
        <w:rPr>
          <w:rFonts w:hint="eastAsia"/>
        </w:rPr>
      </w:pPr>
      <w:r>
        <w:rPr>
          <w:rFonts w:hint="eastAsia"/>
        </w:rPr>
        <w:t>Dear Editors,</w:t>
      </w:r>
    </w:p>
    <w:p w14:paraId="0463F6BE">
      <w:pPr>
        <w:rPr>
          <w:rFonts w:hint="eastAsia"/>
        </w:rPr>
      </w:pPr>
    </w:p>
    <w:p w14:paraId="77A85FFD">
      <w:pPr>
        <w:rPr>
          <w:rFonts w:hint="eastAsia"/>
        </w:rPr>
      </w:pPr>
      <w:r>
        <w:rPr>
          <w:rFonts w:hint="eastAsia"/>
        </w:rPr>
        <w:t>We would like to submit our manuscript, Hyper-HierUDA: Hyperbolic Hierarchical Learning for</w:t>
      </w:r>
    </w:p>
    <w:p w14:paraId="76372E51">
      <w:pPr>
        <w:rPr>
          <w:rFonts w:hint="eastAsia"/>
        </w:rPr>
      </w:pPr>
      <w:r>
        <w:rPr>
          <w:rFonts w:hint="eastAsia"/>
        </w:rPr>
        <w:t>Unsupervised Domain Adaptation in Semantic Segmentation, to Pattern Recognition. The paper proposes a hyperbolic, hierarchical path-wise decoder for unsupervised domain adaptation (UDA) in semantic segmentation, trained in an EMA self-training regime. By embedding pixel features into the Poincaré ball (constant negative curvature) and explicitly supervising intermediate (abstract) nodes along root-to-leaf paths, our method encourages hierarchy-consistent decisions and reduces confusions among rare and visually similar classes.</w:t>
      </w:r>
    </w:p>
    <w:p w14:paraId="08EFC29F">
      <w:pPr>
        <w:rPr>
          <w:rFonts w:hint="eastAsia"/>
        </w:rPr>
      </w:pPr>
    </w:p>
    <w:p w14:paraId="6A8C9E8E">
      <w:pPr>
        <w:rPr>
          <w:rFonts w:hint="eastAsia"/>
        </w:rPr>
      </w:pPr>
      <w:r>
        <w:rPr>
          <w:rFonts w:hint="eastAsia"/>
        </w:rPr>
        <w:t xml:space="preserve">Why it fits PR. </w:t>
      </w:r>
    </w:p>
    <w:p w14:paraId="002738A1">
      <w:pPr>
        <w:rPr>
          <w:rFonts w:hint="eastAsia"/>
        </w:rPr>
      </w:pPr>
      <w:r>
        <w:rPr>
          <w:rFonts w:hint="eastAsia"/>
        </w:rPr>
        <w:t>Pattern Recognition welcomes principled advances that improve robustness and generalization in real-world recognition scenarios. Our work integrates a geometry-aware representation with a structure-aware decoder and a standard, strong UDA training protocol, providing both methodological novelty and practical gains on widely used benchmarks.</w:t>
      </w:r>
    </w:p>
    <w:p w14:paraId="2B0D4582">
      <w:pPr>
        <w:rPr>
          <w:rFonts w:hint="eastAsia"/>
        </w:rPr>
      </w:pPr>
    </w:p>
    <w:p w14:paraId="73E480B4">
      <w:pPr>
        <w:rPr>
          <w:rFonts w:hint="eastAsia"/>
        </w:rPr>
      </w:pPr>
      <w:r>
        <w:rPr>
          <w:rFonts w:hint="eastAsia"/>
        </w:rPr>
        <w:t>Relation to our prior PR article (2022).</w:t>
      </w:r>
    </w:p>
    <w:p w14:paraId="5A59A8D3">
      <w:pPr>
        <w:rPr>
          <w:rFonts w:hint="eastAsia"/>
        </w:rPr>
      </w:pPr>
      <w:r>
        <w:rPr>
          <w:rFonts w:hint="eastAsia"/>
        </w:rPr>
        <w:t>Cycle-reconstructive subspace learning with class discriminability for unsupervised domain adaptation (PR, 2022) addressed UDA via cycle reconstruction and subspace learning. The present work targets semantic segmentation with a hyperbolic hierarchical decoder and EMA self-training, using different objectives, architectures, datasets, analyses, and results.</w:t>
      </w:r>
    </w:p>
    <w:p w14:paraId="460A58DC">
      <w:pPr>
        <w:rPr>
          <w:rFonts w:hint="eastAsia"/>
        </w:rPr>
      </w:pPr>
    </w:p>
    <w:p w14:paraId="060A4A71">
      <w:pPr>
        <w:rPr>
          <w:rFonts w:hint="eastAsia"/>
        </w:rPr>
      </w:pPr>
      <w:r>
        <w:rPr>
          <w:rFonts w:hint="eastAsia"/>
        </w:rPr>
        <w:t xml:space="preserve">Comparison to State-of-the-Art. </w:t>
      </w:r>
    </w:p>
    <w:p w14:paraId="62BDF529">
      <w:pPr>
        <w:rPr>
          <w:rFonts w:hint="eastAsia"/>
        </w:rPr>
      </w:pPr>
      <w:r>
        <w:rPr>
          <w:rFonts w:hint="eastAsia"/>
        </w:rPr>
        <w:t>Our study includes comprehensive comparisons against state-of-the-art methods. The following five articles represent recent SOTA in semantic segmentation UDA, which we have compared against in our experiments:</w:t>
      </w:r>
    </w:p>
    <w:p w14:paraId="6359755B">
      <w:pPr>
        <w:rPr>
          <w:rFonts w:hint="eastAsia"/>
        </w:rPr>
      </w:pPr>
      <w:r>
        <w:rPr>
          <w:rFonts w:hint="eastAsia"/>
        </w:rPr>
        <w:t>Wang, Q., et al. (2022). DAFormer: Improving Network Architectures and Training Strategies for Domain-Adaptive Semantic Segmentation. CVPR.</w:t>
      </w:r>
    </w:p>
    <w:p w14:paraId="0664034D">
      <w:pPr>
        <w:numPr>
          <w:ilvl w:val="0"/>
          <w:numId w:val="1"/>
        </w:numPr>
        <w:rPr>
          <w:rFonts w:hint="eastAsia"/>
          <w:lang w:val="en-US" w:eastAsia="zh-CN"/>
        </w:rPr>
      </w:pPr>
      <w:r>
        <w:rPr>
          <w:rFonts w:hint="eastAsia"/>
        </w:rPr>
        <w:t>Zhao, et al. (202</w:t>
      </w:r>
      <w:r>
        <w:rPr>
          <w:rFonts w:hint="eastAsia"/>
          <w:lang w:val="en-US" w:eastAsia="zh-CN"/>
        </w:rPr>
        <w:t>3</w:t>
      </w:r>
      <w:r>
        <w:rPr>
          <w:rFonts w:hint="eastAsia"/>
        </w:rPr>
        <w:t>). Learning</w:t>
      </w:r>
      <w:r>
        <w:rPr>
          <w:rFonts w:hint="eastAsia"/>
          <w:lang w:val="en-US" w:eastAsia="zh-CN"/>
        </w:rPr>
        <w:t xml:space="preserve"> </w:t>
      </w:r>
      <w:r>
        <w:rPr>
          <w:rFonts w:hint="eastAsia"/>
        </w:rPr>
        <w:t>pseudo-relations for cross-domain semantic segmentation</w:t>
      </w:r>
      <w:r>
        <w:rPr>
          <w:rFonts w:hint="eastAsia"/>
          <w:lang w:val="en-US" w:eastAsia="zh-CN"/>
        </w:rPr>
        <w:t>. ICCV.</w:t>
      </w:r>
    </w:p>
    <w:p w14:paraId="58B71B82">
      <w:pPr>
        <w:numPr>
          <w:ilvl w:val="0"/>
          <w:numId w:val="0"/>
        </w:numPr>
        <w:rPr>
          <w:rFonts w:hint="eastAsia"/>
          <w:lang w:val="en-US" w:eastAsia="zh-CN"/>
        </w:rPr>
      </w:pPr>
      <w:r>
        <w:rPr>
          <w:rFonts w:hint="default"/>
          <w:lang w:val="en-US" w:eastAsia="zh-CN"/>
        </w:rPr>
        <w:t>Ma</w:t>
      </w:r>
      <w:r>
        <w:rPr>
          <w:rFonts w:hint="eastAsia"/>
          <w:lang w:val="en-US" w:eastAsia="zh-CN"/>
        </w:rPr>
        <w:t xml:space="preserve">, </w:t>
      </w:r>
      <w:r>
        <w:rPr>
          <w:rFonts w:hint="eastAsia"/>
        </w:rPr>
        <w:t>et al. (202</w:t>
      </w:r>
      <w:r>
        <w:rPr>
          <w:rFonts w:hint="eastAsia"/>
          <w:lang w:val="en-US" w:eastAsia="zh-CN"/>
        </w:rPr>
        <w:t>3</w:t>
      </w:r>
      <w:r>
        <w:rPr>
          <w:rFonts w:hint="eastAsia"/>
        </w:rPr>
        <w:t>)</w:t>
      </w:r>
      <w:r>
        <w:rPr>
          <w:rFonts w:hint="eastAsia"/>
          <w:lang w:val="en-US" w:eastAsia="zh-CN"/>
        </w:rPr>
        <w:t xml:space="preserve">. </w:t>
      </w:r>
      <w:r>
        <w:rPr>
          <w:rFonts w:hint="default"/>
          <w:lang w:val="en-US" w:eastAsia="zh-CN"/>
        </w:rPr>
        <w:t>I2f: A unified image-to-feature approach for domain adap-tive semantic segmentation</w:t>
      </w:r>
      <w:r>
        <w:rPr>
          <w:rFonts w:hint="eastAsia"/>
          <w:lang w:val="en-US" w:eastAsia="zh-CN"/>
        </w:rPr>
        <w:t>.TPAMI.</w:t>
      </w:r>
    </w:p>
    <w:p w14:paraId="456B82EC">
      <w:pPr>
        <w:numPr>
          <w:ilvl w:val="0"/>
          <w:numId w:val="2"/>
        </w:numPr>
        <w:rPr>
          <w:rFonts w:hint="eastAsia"/>
          <w:lang w:val="en-US" w:eastAsia="zh-CN"/>
        </w:rPr>
      </w:pPr>
      <w:r>
        <w:rPr>
          <w:rFonts w:hint="eastAsia"/>
          <w:lang w:val="en-US" w:eastAsia="zh-CN"/>
        </w:rPr>
        <w:t xml:space="preserve">Li, </w:t>
      </w:r>
      <w:r>
        <w:rPr>
          <w:rFonts w:hint="default" w:ascii="Calibri" w:hAnsi="Calibri" w:eastAsia="宋体" w:cs="Calibri"/>
          <w:kern w:val="2"/>
          <w:sz w:val="21"/>
          <w:szCs w:val="21"/>
        </w:rPr>
        <w:t>et al. (202</w:t>
      </w:r>
      <w:r>
        <w:rPr>
          <w:rFonts w:hint="eastAsia" w:ascii="Calibri" w:hAnsi="Calibri" w:eastAsia="宋体" w:cs="Calibri"/>
          <w:kern w:val="2"/>
          <w:sz w:val="21"/>
          <w:szCs w:val="21"/>
          <w:lang w:val="en-US" w:eastAsia="zh-CN"/>
        </w:rPr>
        <w:t>4</w:t>
      </w:r>
      <w:r>
        <w:rPr>
          <w:rFonts w:hint="default" w:ascii="Calibri" w:hAnsi="Calibri" w:eastAsia="宋体" w:cs="Calibri"/>
          <w:kern w:val="2"/>
          <w:sz w:val="21"/>
          <w:szCs w:val="21"/>
        </w:rPr>
        <w:t>)</w:t>
      </w:r>
      <w:r>
        <w:rPr>
          <w:rFonts w:hint="eastAsia" w:ascii="Calibri" w:hAnsi="Calibri" w:eastAsia="宋体" w:cs="Calibri"/>
          <w:kern w:val="2"/>
          <w:sz w:val="21"/>
          <w:szCs w:val="21"/>
          <w:lang w:val="en-US" w:eastAsia="zh-CN"/>
        </w:rPr>
        <w:t>.</w:t>
      </w:r>
      <w:r>
        <w:rPr>
          <w:rFonts w:hint="eastAsia"/>
          <w:lang w:val="en-US" w:eastAsia="zh-CN"/>
        </w:rPr>
        <w:t xml:space="preserve"> Feature re-representation and reliable pseudo label retraining for cross-domain semantic segmentation. TPAMI.</w:t>
      </w:r>
    </w:p>
    <w:p w14:paraId="05E1D4C2">
      <w:pPr>
        <w:numPr>
          <w:ilvl w:val="0"/>
          <w:numId w:val="0"/>
        </w:numPr>
        <w:rPr>
          <w:rFonts w:hint="default"/>
          <w:lang w:val="en-US" w:eastAsia="zh-CN"/>
        </w:rPr>
      </w:pPr>
      <w:r>
        <w:rPr>
          <w:rFonts w:hint="default"/>
          <w:lang w:val="en-US" w:eastAsia="zh-CN"/>
        </w:rPr>
        <w:t>C. Zhu</w:t>
      </w:r>
      <w:r>
        <w:rPr>
          <w:rFonts w:hint="eastAsia"/>
          <w:lang w:val="en-US" w:eastAsia="zh-CN"/>
        </w:rPr>
        <w:t xml:space="preserve">, </w:t>
      </w:r>
      <w:r>
        <w:rPr>
          <w:rFonts w:hint="default" w:ascii="Calibri" w:hAnsi="Calibri" w:eastAsia="宋体" w:cs="Calibri"/>
          <w:kern w:val="2"/>
          <w:sz w:val="21"/>
          <w:szCs w:val="21"/>
        </w:rPr>
        <w:t>et al</w:t>
      </w:r>
      <w:r>
        <w:rPr>
          <w:rFonts w:hint="default"/>
          <w:lang w:val="en-US" w:eastAsia="zh-CN"/>
        </w:rPr>
        <w:t>.</w:t>
      </w:r>
      <w:r>
        <w:rPr>
          <w:rFonts w:hint="eastAsia"/>
          <w:lang w:val="en-US" w:eastAsia="zh-CN"/>
        </w:rPr>
        <w:t xml:space="preserve"> </w:t>
      </w:r>
      <w:r>
        <w:rPr>
          <w:rFonts w:hint="default" w:ascii="Calibri" w:hAnsi="Calibri" w:eastAsia="宋体" w:cs="Calibri"/>
          <w:kern w:val="2"/>
          <w:sz w:val="21"/>
          <w:szCs w:val="21"/>
        </w:rPr>
        <w:t>(202</w:t>
      </w:r>
      <w:r>
        <w:rPr>
          <w:rFonts w:hint="eastAsia" w:ascii="Calibri" w:hAnsi="Calibri" w:eastAsia="宋体" w:cs="Calibri"/>
          <w:kern w:val="2"/>
          <w:sz w:val="21"/>
          <w:szCs w:val="21"/>
          <w:lang w:val="en-US" w:eastAsia="zh-CN"/>
        </w:rPr>
        <w:t>5</w:t>
      </w:r>
      <w:r>
        <w:rPr>
          <w:rFonts w:hint="default" w:ascii="Calibri" w:hAnsi="Calibri" w:eastAsia="宋体" w:cs="Calibri"/>
          <w:kern w:val="2"/>
          <w:sz w:val="21"/>
          <w:szCs w:val="21"/>
        </w:rPr>
        <w:t>)</w:t>
      </w:r>
      <w:r>
        <w:rPr>
          <w:rFonts w:hint="eastAsia" w:ascii="Calibri" w:hAnsi="Calibri" w:eastAsia="宋体" w:cs="Calibri"/>
          <w:kern w:val="2"/>
          <w:sz w:val="21"/>
          <w:szCs w:val="21"/>
          <w:lang w:val="en-US" w:eastAsia="zh-CN"/>
        </w:rPr>
        <w:t xml:space="preserve">. </w:t>
      </w:r>
      <w:r>
        <w:rPr>
          <w:rFonts w:hint="default"/>
          <w:lang w:val="en-US" w:eastAsia="zh-CN"/>
        </w:rPr>
        <w:t>Hard-aware instance adaptive</w:t>
      </w:r>
      <w:r>
        <w:rPr>
          <w:rFonts w:hint="eastAsia"/>
          <w:lang w:val="en-US" w:eastAsia="zh-CN"/>
        </w:rPr>
        <w:t xml:space="preserve"> </w:t>
      </w:r>
      <w:r>
        <w:rPr>
          <w:rFonts w:hint="default"/>
          <w:lang w:val="en-US" w:eastAsia="zh-CN"/>
        </w:rPr>
        <w:t>self-training for unsupervised cross-domain semantic segmentation</w:t>
      </w:r>
      <w:r>
        <w:rPr>
          <w:rFonts w:hint="eastAsia"/>
          <w:lang w:val="en-US" w:eastAsia="zh-CN"/>
        </w:rPr>
        <w:t>.TPAMI.</w:t>
      </w:r>
    </w:p>
    <w:p w14:paraId="26B4C78D">
      <w:pPr>
        <w:numPr>
          <w:ilvl w:val="0"/>
          <w:numId w:val="0"/>
        </w:numPr>
        <w:rPr>
          <w:rFonts w:hint="default"/>
          <w:lang w:val="en-US" w:eastAsia="zh-CN"/>
        </w:rPr>
      </w:pPr>
    </w:p>
    <w:p w14:paraId="18CC9CC4">
      <w:pPr>
        <w:rPr>
          <w:rFonts w:hint="eastAsia"/>
        </w:rPr>
      </w:pPr>
      <w:r>
        <w:rPr>
          <w:rFonts w:hint="eastAsia"/>
        </w:rPr>
        <w:t>Our method demonstrates superior performance, particularly in handling fine-grained and rare classes, by leveraging hierarchical constraints that these flat-classification-based SOTA methods overlook.</w:t>
      </w:r>
    </w:p>
    <w:p w14:paraId="13ECA882">
      <w:pPr>
        <w:rPr>
          <w:rFonts w:hint="eastAsia"/>
        </w:rPr>
      </w:pPr>
    </w:p>
    <w:p w14:paraId="21E33768">
      <w:pPr>
        <w:rPr>
          <w:rFonts w:hint="eastAsia"/>
        </w:rPr>
      </w:pPr>
      <w:r>
        <w:rPr>
          <w:rFonts w:hint="eastAsia"/>
        </w:rPr>
        <w:t>Public Datasets Used.</w:t>
      </w:r>
    </w:p>
    <w:p w14:paraId="7183299E">
      <w:pPr>
        <w:rPr>
          <w:rFonts w:hint="eastAsia"/>
        </w:rPr>
      </w:pPr>
      <w:r>
        <w:rPr>
          <w:rFonts w:hint="eastAsia"/>
        </w:rPr>
        <w:t>We utilized the following standard public benchmarks for UDA in semantic segmentation:</w:t>
      </w:r>
    </w:p>
    <w:p w14:paraId="5F62A1E3">
      <w:pPr>
        <w:rPr>
          <w:rFonts w:hint="eastAsia"/>
        </w:rPr>
      </w:pPr>
      <w:r>
        <w:rPr>
          <w:rFonts w:hint="eastAsia"/>
        </w:rPr>
        <w:t>GTA5:​ A synthetic dataset with 24,966 labeled images, used as the source domain.</w:t>
      </w:r>
    </w:p>
    <w:p w14:paraId="581E79C3">
      <w:pPr>
        <w:rPr>
          <w:rFonts w:hint="eastAsia"/>
        </w:rPr>
      </w:pPr>
      <w:r>
        <w:rPr>
          <w:rFonts w:hint="eastAsia"/>
        </w:rPr>
        <w:t>Cityscapes:​ A real-world urban driving dataset with 2,975 training images, used as the target domain.</w:t>
      </w:r>
    </w:p>
    <w:p w14:paraId="0F4962A3">
      <w:pPr>
        <w:rPr>
          <w:rFonts w:hint="eastAsia"/>
        </w:rPr>
      </w:pPr>
      <w:r>
        <w:rPr>
          <w:rFonts w:hint="eastAsia"/>
        </w:rPr>
        <w:t>Our primary experiments and analysis are conducted on the GTA5 → Cityscapes</w:t>
      </w:r>
      <w:r>
        <w:rPr>
          <w:rFonts w:hint="eastAsia"/>
          <w:lang w:val="en-US" w:eastAsia="zh-CN"/>
        </w:rPr>
        <w:t xml:space="preserve"> </w:t>
      </w:r>
      <w:r>
        <w:rPr>
          <w:rFonts w:hint="eastAsia"/>
        </w:rPr>
        <w:t>adaptation task. Additionally, we report results on Synthia→Cityscapes</w:t>
      </w:r>
      <w:r>
        <w:rPr>
          <w:rFonts w:hint="eastAsia"/>
          <w:lang w:val="en-US" w:eastAsia="zh-CN"/>
        </w:rPr>
        <w:t xml:space="preserve"> </w:t>
      </w:r>
      <w:r>
        <w:rPr>
          <w:rFonts w:hint="eastAsia"/>
        </w:rPr>
        <w:t>to further validate the generalizability of our approach.</w:t>
      </w:r>
    </w:p>
    <w:p w14:paraId="74EBA306">
      <w:pPr>
        <w:rPr>
          <w:rFonts w:hint="eastAsia"/>
        </w:rPr>
      </w:pPr>
    </w:p>
    <w:p w14:paraId="2192B9BA">
      <w:pPr>
        <w:rPr>
          <w:rFonts w:hint="eastAsia"/>
        </w:rPr>
      </w:pPr>
      <w:r>
        <w:rPr>
          <w:rFonts w:hint="eastAsia"/>
        </w:rPr>
        <w:t>Validation Measures Used.</w:t>
      </w:r>
    </w:p>
    <w:p w14:paraId="72D2A8F2">
      <w:pPr>
        <w:rPr>
          <w:rFonts w:hint="eastAsia"/>
        </w:rPr>
      </w:pPr>
      <w:r>
        <w:rPr>
          <w:rFonts w:hint="eastAsia"/>
        </w:rPr>
        <w:t>Following the standard evaluation protocol in semantic segmentation UDA, we used the following metrics:</w:t>
      </w:r>
    </w:p>
    <w:p w14:paraId="08775FCC">
      <w:pPr>
        <w:rPr>
          <w:rFonts w:hint="eastAsia"/>
        </w:rPr>
      </w:pPr>
      <w:r>
        <w:rPr>
          <w:rFonts w:hint="eastAsia"/>
        </w:rPr>
        <w:t>Mean Intersection over Union (mIoU):​ This is the primary metric for evaluating semantic segmentation accuracy, measuring the average overlap between predicted and ground-truth segments across all classes. We report per-class IoU and the mean IoU.</w:t>
      </w:r>
    </w:p>
    <w:p w14:paraId="07C140F3">
      <w:pPr>
        <w:rPr>
          <w:rFonts w:hint="eastAsia"/>
        </w:rPr>
      </w:pPr>
      <w:r>
        <w:rPr>
          <w:rFonts w:hint="eastAsia"/>
        </w:rPr>
        <w:t>Mean Accuracy (mAcc):​ This metric is used as a complementary measure​ to assess the model's pure classification accuracy at the pixel level, independent of the inherent class imbalance in the dataset. It is particularly valuable in our work for evaluating the model's discriminative capability and its sensitivity to class imbalance, which is a central challenge in UDA tasks.</w:t>
      </w:r>
    </w:p>
    <w:p w14:paraId="51A8BEA3">
      <w:pPr>
        <w:rPr>
          <w:rFonts w:hint="eastAsia"/>
        </w:rPr>
      </w:pPr>
      <w:r>
        <w:rPr>
          <w:rFonts w:hint="eastAsia"/>
        </w:rPr>
        <w:t>Our choice of mIoU as the main metric ensures direct comparability with the vast majority of literature in this field.</w:t>
      </w:r>
    </w:p>
    <w:p w14:paraId="0BB51650">
      <w:pPr>
        <w:rPr>
          <w:rFonts w:hint="eastAsia"/>
        </w:rPr>
      </w:pPr>
    </w:p>
    <w:p w14:paraId="3411BC24">
      <w:pPr>
        <w:rPr>
          <w:rFonts w:hint="eastAsia"/>
        </w:rPr>
      </w:pPr>
      <w:r>
        <w:rPr>
          <w:rFonts w:hint="eastAsia"/>
        </w:rPr>
        <w:t>Originality, ethics, and concurrent submissions.</w:t>
      </w:r>
    </w:p>
    <w:p w14:paraId="01A99CBC">
      <w:pPr>
        <w:rPr>
          <w:rFonts w:hint="eastAsia"/>
        </w:rPr>
      </w:pPr>
      <w:r>
        <w:rPr>
          <w:rFonts w:hint="eastAsia"/>
        </w:rPr>
        <w:t>This manuscript is original, not published, and not under consideration elsewhere. All authors comply with PR's ethics, authorship, and conflict-of-interest policies.We will publicly release the source code, configuration files, and hierarchy definitions upon acceptance to ensure full reproducibility.</w:t>
      </w:r>
      <w:bookmarkStart w:id="0" w:name="_GoBack"/>
      <w:bookmarkEnd w:id="0"/>
    </w:p>
    <w:p w14:paraId="66DB0BF4">
      <w:pPr>
        <w:rPr>
          <w:rFonts w:hint="eastAsia"/>
        </w:rPr>
      </w:pPr>
    </w:p>
    <w:p w14:paraId="10E1F049">
      <w:pPr>
        <w:rPr>
          <w:rFonts w:hint="eastAsia"/>
        </w:rPr>
      </w:pPr>
      <w:r>
        <w:rPr>
          <w:rFonts w:hint="eastAsia"/>
        </w:rPr>
        <w:t>Data, code, and reproducibility.</w:t>
      </w:r>
    </w:p>
    <w:p w14:paraId="247DB6D6">
      <w:pPr>
        <w:rPr>
          <w:rFonts w:hint="eastAsia"/>
        </w:rPr>
      </w:pPr>
      <w:r>
        <w:rPr>
          <w:rFonts w:hint="eastAsia"/>
        </w:rPr>
        <w:t>We will release code, configuration files, hierarchy definitions, and scripts (with seeds) to facilitate full reproducibility (anonymized link upon request or public release upon acceptance).</w:t>
      </w:r>
    </w:p>
    <w:p w14:paraId="6D422458">
      <w:pPr>
        <w:rPr>
          <w:rFonts w:hint="eastAsia"/>
        </w:rPr>
      </w:pPr>
    </w:p>
    <w:p w14:paraId="291A5D2E">
      <w:pPr>
        <w:rPr>
          <w:rFonts w:hint="eastAsia"/>
        </w:rPr>
      </w:pPr>
      <w:r>
        <w:rPr>
          <w:rFonts w:hint="eastAsia"/>
        </w:rPr>
        <w:t>Conflicts of interest.</w:t>
      </w:r>
    </w:p>
    <w:p w14:paraId="3DA097B7">
      <w:pPr>
        <w:rPr>
          <w:rFonts w:hint="eastAsia"/>
        </w:rPr>
      </w:pPr>
      <w:r>
        <w:rPr>
          <w:rFonts w:hint="eastAsia"/>
        </w:rPr>
        <w:t>The authors declare no conflicts of interest. We will avoid suggesting reviewers with any potential COIs.</w:t>
      </w:r>
    </w:p>
    <w:p w14:paraId="533D91DD">
      <w:pPr>
        <w:rPr>
          <w:rFonts w:hint="eastAsia"/>
        </w:rPr>
      </w:pPr>
    </w:p>
    <w:p w14:paraId="42AF2BD9">
      <w:pPr>
        <w:rPr>
          <w:rFonts w:hint="eastAsia"/>
        </w:rPr>
      </w:pPr>
      <w:r>
        <w:rPr>
          <w:rFonts w:hint="eastAsia"/>
        </w:rPr>
        <w:t>Thank you for your consideration. We believe the paper's combination of geometry-aware modeling, hierarchy-aware decoding, and carefully controlled UDA evaluation will be of strong interest to the Pattern Recognition readership.</w:t>
      </w:r>
    </w:p>
    <w:p w14:paraId="4B758B3F">
      <w:pPr>
        <w:rPr>
          <w:rFonts w:hint="eastAsia"/>
        </w:rPr>
      </w:pPr>
    </w:p>
    <w:p w14:paraId="3C32AD17">
      <w:pPr>
        <w:rPr>
          <w:rFonts w:hint="eastAsia"/>
        </w:rPr>
      </w:pPr>
      <w:r>
        <w:rPr>
          <w:rFonts w:hint="eastAsia"/>
        </w:rPr>
        <w:t>Sincerely,</w:t>
      </w:r>
    </w:p>
    <w:p w14:paraId="5F6A3E14">
      <w:pPr>
        <w:rPr>
          <w:rFonts w:hint="eastAsia"/>
        </w:rPr>
      </w:pPr>
      <w:r>
        <w:rPr>
          <w:rFonts w:hint="eastAsia"/>
        </w:rPr>
        <w:t>Hua Yan, on behalf of all authors</w:t>
      </w:r>
    </w:p>
    <w:p w14:paraId="4BF07F68">
      <w:pPr>
        <w:rPr>
          <w:rFonts w:hint="eastAsia"/>
        </w:rPr>
      </w:pPr>
      <w:r>
        <w:rPr>
          <w:rFonts w:hint="eastAsia"/>
        </w:rPr>
        <w:t>College of Electronics and Engineering</w:t>
      </w:r>
    </w:p>
    <w:p w14:paraId="64F52B54">
      <w:pPr>
        <w:rPr>
          <w:rFonts w:hint="eastAsia"/>
        </w:rPr>
      </w:pPr>
      <w:r>
        <w:rPr>
          <w:rFonts w:hint="eastAsia"/>
        </w:rPr>
        <w:t>Sichuan University</w:t>
      </w:r>
    </w:p>
    <w:p w14:paraId="693D6561">
      <w:pPr>
        <w:rPr>
          <w:rFonts w:hint="eastAsia"/>
        </w:rPr>
      </w:pPr>
      <w:r>
        <w:rPr>
          <w:rFonts w:hint="eastAsia"/>
        </w:rPr>
        <w:t>Chengdu, China</w:t>
      </w:r>
    </w:p>
    <w:p w14:paraId="3538321A">
      <w:r>
        <w:rPr>
          <w:rFonts w:hint="eastAsia"/>
        </w:rPr>
        <w:t>Email: yanhua@scu.edu.cn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EF0A5A"/>
    <w:multiLevelType w:val="singleLevel"/>
    <w:tmpl w:val="AEEF0A5A"/>
    <w:lvl w:ilvl="0" w:tentative="0">
      <w:start w:val="10"/>
      <w:numFmt w:val="upperLetter"/>
      <w:suff w:val="space"/>
      <w:lvlText w:val="%1."/>
      <w:lvlJc w:val="left"/>
    </w:lvl>
  </w:abstractNum>
  <w:abstractNum w:abstractNumId="1">
    <w:nsid w:val="BE392239"/>
    <w:multiLevelType w:val="singleLevel"/>
    <w:tmpl w:val="BE392239"/>
    <w:lvl w:ilvl="0" w:tentative="0">
      <w:start w:val="4"/>
      <w:numFmt w:val="upperLetter"/>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46684D"/>
    <w:rsid w:val="207B55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643</Words>
  <Characters>4265</Characters>
  <Lines>1</Lines>
  <Paragraphs>1</Paragraphs>
  <TotalTime>42</TotalTime>
  <ScaleCrop>false</ScaleCrop>
  <LinksUpToDate>false</LinksUpToDate>
  <CharactersWithSpaces>4871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2025-12-01T15:01:00Z</dcterms:created>
  <dc:creator>86186</dc:creator>
  <cp:lastModifiedBy>无聊看看天</cp:lastModifiedBy>
  <dcterms:modified xsi:type="dcterms:W3CDTF">2025-12-02T01:45:42Z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eyJoZGlkIjoiYmJiNDk2ZWVjNDJkY2YzNjEzMzIzOTQ0NjYxNDdiM2MiLCJ1c2VySWQiOiIxMTQ3NDYyNjg0In0=</vt:lpwstr>
  </property>
  <property fmtid="{D5CDD505-2E9C-101B-9397-08002B2CF9AE}" pid="4" name="ICV">
    <vt:lpwstr>17B65DA6FF7A438CB99870AA3C42070E_12</vt:lpwstr>
  </property>
</Properties>
</file>