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 freelance, diplômé de l'IMT Atlantique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distribués</w:t>
        <w:br/>
        <w:t>et cloud-native. Pratique avancée du développement agentique (Claude Code) pour</w:t>
        <w:br/>
        <w:t>accélérer la conception, le prototypage et la livraison.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CQRS, Event-driven, Domain-Driven Design, SOLID, Référentiels clients (MDM, golden record, vision 360), Model Driven Architecture (UML, Acceleo), OpenAPI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Spring Data, QueryDSL, jOOQ, Panache, SOAP (JAX-WS), Diagnostic JVM (profiling, GC, concurrence)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Angular,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Maven, Nexus, Traefik / Nginx</w:t>
      </w:r>
    </w:p>
    <w:p>
      <w:r>
        <w:rPr>
          <w:rFonts w:ascii="Calibri" w:hAnsi="Calibri"/>
          <w:b/>
          <w:sz w:val="22"/>
        </w:rPr>
        <w:t xml:space="preserve">Sécurité : </w:t>
      </w:r>
      <w:r>
        <w:rPr>
          <w:rFonts w:ascii="Calibri" w:hAnsi="Calibri"/>
          <w:b w:val="0"/>
          <w:sz w:val="22"/>
        </w:rPr>
        <w:t>OAuth2 / OIDC, JWT, Keycloak, Azure AD, OWASP, PKI / TLS</w:t>
      </w:r>
    </w:p>
    <w:p>
      <w:r>
        <w:rPr>
          <w:rFonts w:ascii="Calibri" w:hAnsi="Calibri"/>
          <w:b/>
          <w:sz w:val="22"/>
        </w:rPr>
        <w:t xml:space="preserve">Développement assisté par IA : </w:t>
      </w:r>
      <w:r>
        <w:rPr>
          <w:rFonts w:ascii="Calibri" w:hAnsi="Calibri"/>
          <w:b w:val="0"/>
          <w:sz w:val="22"/>
        </w:rPr>
        <w:t>Claude Code (usage quotidien), Développement agentique piloté par spécification, Sous-agents et workflows multi-agents, Extension d'agents : skills, hooks, commandes, plugins, Garde-fous qualité (tests, revue, CLAUDE.md), LLM, GitHub Copilot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OpenLayers, GeoPackage, GeoTools, GDAL, ArcGIS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(Scrum, SAFe), Jira / Confluence,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solution – Référentiel Client Unique (Freelance) — BNP Paribas Personal Finance (Cetelem)</w:t>
      </w:r>
    </w:p>
    <w:p>
      <w:r>
        <w:rPr>
          <w:rFonts w:ascii="Calibri" w:hAnsi="Calibri"/>
          <w:b w:val="0"/>
          <w:sz w:val="20"/>
        </w:rPr>
        <w:t>2024-10 – 2025-03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Cadrage de la refonte des référentiels clients d'un grand acteur du crédit à la consommation en un Référentiel Client Unique (RCU) partagé par l'ensemble de la DSI, en lien avec les architectes et le centre d'excellence Architecture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Analyse de l'existant (référentiels multiples, synchronisations différées) et des retours d'expérience d'autres entités du groupe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Définition de la cible : golden record centré personne (identité unique, contrats, moyens de contact contextualisés), vision 360 alimentée en temps réel, gestion des comptes utilisateur et des consentements RGPD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Architecture CQRS et hexagonale pilotée par les événements, alignée sur les standards techniques du groupe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Trajectoire de migration progressive (double run, puis décommissionnement de l'existant), présentée en comité pour la décision d'investissement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CQRS, Architecture hexagonale, Event-driven, API Management, RGPD</w:t>
      </w:r>
    </w:p>
    <w:p>
      <w:r>
        <w:rPr>
          <w:rFonts w:ascii="Calibri" w:hAnsi="Calibri"/>
          <w:b/>
          <w:sz w:val="22"/>
        </w:rPr>
        <w:t>Architecte logiciel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en quelques mois : intégration des données data, web et caisses, calcul des offres selon le statut, APIs synchrones et asynchrones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Architecte de l'équipe Care/Marketing, responsable du Référentiel Client Unique omnicanal : centralisation des données, exposition par API et diffusion des modifications aux partenaires internes (Microsoft Dynamics, Magento, caisses) et externes (Selligent, Captain Wallet)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Étude des Customer Data Platforms (CDP) pour en reprendre les bonnes pratiques (dédoublonnage, resynchronisation)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Cadrage de chaque problématique métier ou défaut de conception, avec des solutions efficientes adaptées à la capacité de l'équipe et aux standards de la DSI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Deux jours par semaine au sein de l'équipe des architectes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Usine logicielle : outillage de build pour la migration de Rancher interne vers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Pub/Sub, Docker, Kubernetes, Rancher, GKE, Helm</w:t>
      </w:r>
    </w:p>
    <w:p>
      <w:r>
        <w:rPr>
          <w:rFonts w:ascii="Calibri" w:hAnsi="Calibri"/>
          <w:b/>
          <w:sz w:val="22"/>
        </w:rPr>
        <w:t>Architecte logiciel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du back-end Java/Quarkus d'un portail client simplifiant l'onboarding et l'accès aux services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de containers, gestion des secrets, infrastructure Terraform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 — Sparklane</w:t>
      </w:r>
    </w:p>
    <w:p>
      <w:r>
        <w:rPr>
          <w:rFonts w:ascii="Calibri" w:hAnsi="Calibri"/>
          <w:b w:val="0"/>
          <w:sz w:val="20"/>
        </w:rPr>
        <w:t>2020-03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Pilotage de la bascule d'une livraison de données mensuelle vers un pipeline de streaming, en faisant coopérer trois équipes autonomes (R&amp;D, data, produit) d'un produit SaaS B2B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de la source à la production : découpage en dépôts isolant la valeur métier,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d'outillage mutualisé facilitant l'adoption de l'architecture préconisée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Premiers composants d'enrichissement en flux : géocodage d'adresses (après étude des données ouvertes) et signaux d'affaires (changement de poste, brevets) notifiés aux commerciaux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vers le streaming par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Jenkins,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du produit Vecko (analyse de la voix du client) après une longue période sans responsable technique, et rationalisation pour une cible SaaS multi-tenant (images Docker stateless)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clients HTTP asynchrones) pour traiter des flux avec une configuration propre à chaque client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Observabilité : métriques métier (Micrometer), tracing distribué (Brave), dashboards et alerting Prometheus/Grafana, charts Helm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Architecture micro-UI (React) remplaçant l'adaptation de Kibana, pour une UI homogène laissant la liberté des choix techniques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production sur GKE avec rapidement de nombreux clients ; responsable de l'architecture, du run, de l'intégration des données clients (API, fichiers) et de la qualité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Traduction des epics fonctionnelles en backlog technique priorisé (sprints de 2 semaines), outils de configuration pour les linguistes et le product manager, reporting bimensuel au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GKE, Helm, Prometheus, Grafana, Micrometer</w:t>
      </w:r>
    </w:p>
    <w:p>
      <w:r>
        <w:rPr>
          <w:rFonts w:ascii="Calibri" w:hAnsi="Calibri"/>
          <w:b/>
          <w:sz w:val="22"/>
        </w:rPr>
        <w:t>Responsable technique / 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LivingPackets : architecture microservices sur Google Cloud (App Engine, Datastore, Dataflow, Pub/Sub), contrats OpenAPI générant les clients mobiles, accompagnement de 5 développeurs, back-office Angular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ETCS (SNCF Réseau) : cadre de développement d'un plugin QGIS Python/PyQt posé en 2 semaines, puis réécriture iso-fonctionnelle d'une application complexe en 2 mois avec 2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Geocatalogue (BRGM) : migration d'Exalead vers Solr, conception et encadrement de 2 développeurs ; forfait livré avec une marge de 30 k€ au-dessus du budget (~100 j/h)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Verdi (SIG grande envergure) : responsable technique jusqu'à 12 développeurs (socle technique, revues de code, qualité Sonar) ; remplacement de briques ESRI propriétaires par du code spécifique, rendant le projet éligible au CIR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Verdi : ORM géographique sur QueryDSL, mode hors ligne GeoPackage avec synchronisation vers Oracle, client Swing MVP/Spring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QueryDSL, Oracle, PostgreSQL, PostGIS, GeoPackage, Python, PyQt, QGIS, ESRI, Solr, Google Cloud, Angular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en délai court d'un webmail dans la messagerie de l'ENT (unité de 11 personnes), déployée pour tous les élèves et personnels d'une académie : conception, développement, recette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Étude comparative Solr / Elasticsearch et POC d'API de recherche full-text intégrable au CMS maison, validé sur un projet client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2010-04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Gazelle, outil de gestion des Connectathons d'interopérabilité santé (plusieurs centaines d'éditeurs) : modularisation Maven, optimisation des performances (requêtage, mémoire, cache second niveau), réécriture des parties les plus instables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d'interception de messages (Netty) et d'un outil de génération et validation de certificats PKI/TLS (BouncyCastle, approche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Architecture logicielle, formation et revues de code dans une équipe de 6 personnes ; 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JBoss Seam, JSF, Hibernate, Maven, Jenkins, Netty, BouncyCastle, PostgreSQL</w:t>
      </w:r>
    </w:p>
    <w:p>
      <w:r>
        <w:rPr>
          <w:rFonts w:ascii="Calibri" w:hAnsi="Calibri"/>
          <w:b/>
          <w:sz w:val="24"/>
        </w:rPr>
        <w:t>Début de carrière</w:t>
      </w:r>
    </w:p>
    <w:p>
      <w:r>
        <w:rPr>
          <w:rFonts w:ascii="Calibri" w:hAnsi="Calibri"/>
          <w:b/>
          <w:sz w:val="22"/>
        </w:rPr>
        <w:t xml:space="preserve">2009 – 2010 — Mediasofts, Ingénieur d'études : </w:t>
      </w:r>
      <w:r>
        <w:rPr>
          <w:rFonts w:ascii="Calibri" w:hAnsi="Calibri"/>
          <w:b w:val="0"/>
          <w:sz w:val="22"/>
        </w:rPr>
        <w:t>Réécriture du module escalier du logiciel de CAO Metalcad : modélisation et calculs 3D, rendu OpenGL, génération de plans AutoCAD</w:t>
      </w:r>
      <w:r>
        <w:rPr>
          <w:rFonts w:ascii="Calibri" w:hAnsi="Calibri"/>
          <w:b w:val="0"/>
          <w:sz w:val="20"/>
        </w:rPr>
        <w:t xml:space="preserve"> (Delphi, OpenGL)</w:t>
      </w:r>
    </w:p>
    <w:p>
      <w:r>
        <w:rPr>
          <w:rFonts w:ascii="Calibri" w:hAnsi="Calibri"/>
          <w:b/>
          <w:sz w:val="22"/>
        </w:rPr>
        <w:t xml:space="preserve">2009 — Sneda, Recherche et développement : </w:t>
      </w:r>
      <w:r>
        <w:rPr>
          <w:rFonts w:ascii="Calibri" w:hAnsi="Calibri"/>
          <w:b w:val="0"/>
          <w:sz w:val="22"/>
        </w:rPr>
        <w:t>Profiler Java, driver ODA pour BIRT, intégration continue d'applications Eclipse RCP/OSGi</w:t>
      </w:r>
      <w:r>
        <w:rPr>
          <w:rFonts w:ascii="Calibri" w:hAnsi="Calibri"/>
          <w:b w:val="0"/>
          <w:sz w:val="20"/>
        </w:rPr>
        <w:t xml:space="preserve"> (Java, Eclipse RCP, OSGi, Maven, Tycho, Nexus)</w:t>
      </w:r>
    </w:p>
    <w:p>
      <w:r>
        <w:rPr>
          <w:rFonts w:ascii="Calibri" w:hAnsi="Calibri"/>
          <w:b/>
          <w:sz w:val="22"/>
        </w:rPr>
        <w:t xml:space="preserve">2008 – 2009 — BlueXML, Recherche et développement : </w:t>
      </w:r>
      <w:r>
        <w:rPr>
          <w:rFonts w:ascii="Calibri" w:hAnsi="Calibri"/>
          <w:b w:val="0"/>
          <w:sz w:val="22"/>
        </w:rPr>
        <w:t>Modeleur Eclipse (Topcased/EMF) et génération de code pour Alfresco ; génération de formulaires XForms depuis un métamodèle (plugin Maven)</w:t>
      </w:r>
      <w:r>
        <w:rPr>
          <w:rFonts w:ascii="Calibri" w:hAnsi="Calibri"/>
          <w:b w:val="0"/>
          <w:sz w:val="20"/>
        </w:rPr>
        <w:t xml:space="preserve"> (Java, EMF, Acceleo, Alfresco, XForms, Maven)</w:t>
      </w:r>
    </w:p>
    <w:p>
      <w:r>
        <w:rPr>
          <w:rFonts w:ascii="Calibri" w:hAnsi="Calibri"/>
          <w:b/>
          <w:sz w:val="22"/>
        </w:rPr>
        <w:t xml:space="preserve">2007 – 2008 — Code Lutin, Ingénieur développement : </w:t>
      </w:r>
      <w:r>
        <w:rPr>
          <w:rFonts w:ascii="Calibri" w:hAnsi="Calibri"/>
          <w:b w:val="0"/>
          <w:sz w:val="22"/>
        </w:rPr>
        <w:t>Applications web JEE5</w:t>
      </w:r>
      <w:r>
        <w:rPr>
          <w:rFonts w:ascii="Calibri" w:hAnsi="Calibri"/>
          <w:b w:val="0"/>
          <w:sz w:val="20"/>
        </w:rPr>
        <w:t xml:space="preserve"> (Java, JBoss, EJB3, JPA, JAAS, Tapestry, Axis, Lucene)</w:t>
      </w:r>
    </w:p>
    <w:p>
      <w:r>
        <w:rPr>
          <w:rFonts w:ascii="Calibri" w:hAnsi="Calibri"/>
          <w:b/>
          <w:sz w:val="22"/>
        </w:rPr>
        <w:t xml:space="preserve">2006 – 2007 — Capgemini, Ingénieur développement : </w:t>
      </w:r>
      <w:r>
        <w:rPr>
          <w:rFonts w:ascii="Calibri" w:hAnsi="Calibri"/>
          <w:b w:val="0"/>
          <w:sz w:val="22"/>
        </w:rPr>
        <w:t>Génération MDA depuis UML (gestion de stock de munitions pour l'armée de Terre, souscription d'assurance vie pour la Caisse d'Épargne) ; SIG pour la Ville de Paris (refonte de Paris à la Carte, support ArcGIS)</w:t>
      </w:r>
      <w:r>
        <w:rPr>
          <w:rFonts w:ascii="Calibri" w:hAnsi="Calibri"/>
          <w:b w:val="0"/>
          <w:sz w:val="20"/>
        </w:rPr>
        <w:t xml:space="preserve"> (Java, Struts, Hibernate, Acceleo, ASP.NET, OpenLayers, ArcGIS)</w:t>
      </w:r>
    </w:p>
    <w:p>
      <w:r>
        <w:rPr>
          <w:rFonts w:ascii="Calibri" w:hAnsi="Calibri"/>
          <w:b/>
          <w:sz w:val="22"/>
        </w:rPr>
        <w:t xml:space="preserve">2004 – 2006 — Mediasofts, Concepteur développeur : </w:t>
      </w:r>
      <w:r>
        <w:rPr>
          <w:rFonts w:ascii="Calibri" w:hAnsi="Calibri"/>
          <w:b w:val="0"/>
          <w:sz w:val="22"/>
        </w:rPr>
        <w:t>Conception du module escalier de Metalcad, répartition automatique de végétaux, optimisation de découpes</w:t>
      </w:r>
      <w:r>
        <w:rPr>
          <w:rFonts w:ascii="Calibri" w:hAnsi="Calibri"/>
          <w:b w:val="0"/>
          <w:sz w:val="20"/>
        </w:rPr>
        <w:t xml:space="preserve"> (Delphi, OpenGL)</w:t>
      </w:r>
    </w:p>
    <w:p>
      <w:r>
        <w:rPr>
          <w:rFonts w:ascii="Calibri" w:hAnsi="Calibri"/>
          <w:b/>
          <w:sz w:val="22"/>
        </w:rPr>
        <w:t xml:space="preserve">2000 – 2004 — Stages et premiers projets : </w:t>
      </w:r>
      <w:r>
        <w:rPr>
          <w:rFonts w:ascii="Calibri" w:hAnsi="Calibri"/>
          <w:b w:val="0"/>
          <w:sz w:val="22"/>
        </w:rPr>
        <w:t>Logiciel de télésauvegarde neobe Backup (Neobe) ; saisie GPS nomade (Cadden) ; atelier statistique de benchmarking (Ordimega) ; migration vers MX4J/JMX open source (Corizon, Londres) ; plus de 10 projets en junior-entreprise dont plusieurs comme chef de projet</w:t>
      </w:r>
      <w:r>
        <w:rPr>
          <w:rFonts w:ascii="Calibri" w:hAnsi="Calibri"/>
          <w:b w:val="0"/>
          <w:sz w:val="20"/>
        </w:rPr>
        <w:t xml:space="preserve"> (Delphi, Java, C++, PHP)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/ Master 2 recherche Sciences de l'information géographique (mention Bien)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SaaS multi-tenant pour clubs cyclistes (sorties, séjours, routes GPX sur cartes interactives, communication) : backend Quarkus, SPA React, application mobile Flutter, extensions pour compteurs GPS Karoo et Garmin, API conçue par contrat OpenAPI. Conçue et développée en solo avec Claude Code (850+ commits en 9 mois) ; prolonge une contribution à la plateforme open source biketeam</w:t>
      </w:r>
    </w:p>
    <w:p>
      <w:r>
        <w:rPr>
          <w:rFonts w:ascii="Calibri" w:hAnsi="Calibri"/>
          <w:b w:val="0"/>
          <w:sz w:val="20"/>
        </w:rPr>
        <w:t>Java 21, Quarkus, PostgreSQL, PostGIS, React, TypeScript, Flutter, Kotlin, OpenAPI, Multi-tenant, Claude Code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et validation électronique pour épreuves de grande randonnée cycliste et ultra-cyclisme (brevets ACP), en production depuis 2016</w:t>
      </w:r>
    </w:p>
    <w:p>
      <w:r>
        <w:rPr>
          <w:rFonts w:ascii="Calibri" w:hAnsi="Calibri"/>
          <w:b w:val="0"/>
          <w:sz w:val="20"/>
        </w:rPr>
        <w:t>Python, numpy, Flask, MongoDB, Kafka, Docker, GPS</w:t>
      </w:r>
    </w:p>
    <w:p>
      <w:r>
        <w:rPr>
          <w:rFonts w:ascii="Calibri" w:hAnsi="Calibri"/>
          <w:b/>
          <w:sz w:val="22"/>
        </w:rPr>
        <w:t>vcyclist (https://github.com/glandais/vcyclist)</w:t>
      </w:r>
    </w:p>
    <w:p>
      <w:r>
        <w:rPr>
          <w:rFonts w:ascii="Calibri" w:hAnsi="Calibri"/>
          <w:b w:val="0"/>
          <w:sz w:val="22"/>
        </w:rPr>
        <w:t>Moteur open source de simulation cycliste fondé sur la physique (puissance, W′bal, vitesse en virage et au freinage, correction d'altitude), porté de Java vers Kotlin Multiplatform (JVM, JS, Wasm) ; publié sur Maven Central et npm (~900 téléchargements/mois)</w:t>
      </w:r>
    </w:p>
    <w:p>
      <w:r>
        <w:rPr>
          <w:rFonts w:ascii="Calibri" w:hAnsi="Calibri"/>
          <w:b w:val="0"/>
          <w:sz w:val="20"/>
        </w:rPr>
        <w:t>Kotlin Multiplatform, Java, TypeScript, WebAssembly, GPX, Maven Central, npm</w:t>
      </w:r>
    </w:p>
    <w:p>
      <w:r>
        <w:rPr>
          <w:rFonts w:ascii="Calibri" w:hAnsi="Calibri"/>
          <w:b/>
          <w:sz w:val="22"/>
        </w:rPr>
        <w:t>Bibliothèques open source (https://github.com/glandais)</w:t>
      </w:r>
    </w:p>
    <w:p>
      <w:r>
        <w:rPr>
          <w:rFonts w:ascii="Calibri" w:hAnsi="Calibri"/>
          <w:b w:val="0"/>
          <w:sz w:val="22"/>
        </w:rPr>
        <w:t>nmt-metrics : suivi de la mémoire native JVM en conteneur via Micrometer/Prometheus (Maven Central) ; SDK non officiels du format FIT de Garmin pour Kotlin Multiplatform et Dart, générés par rétro-ingénierie du générateur officiel (Maven Central, npm) ; leaflet-relief et elevation : relief, pentes et altimétrie cartographiques (~1 100 téléchargements npm/mois)</w:t>
      </w:r>
    </w:p>
    <w:p>
      <w:r>
        <w:rPr>
          <w:rFonts w:ascii="Calibri" w:hAnsi="Calibri"/>
          <w:b w:val="0"/>
          <w:sz w:val="20"/>
        </w:rPr>
        <w:t>Java, Micrometer, Prometheus, Kotlin Multiplatform, Dart, TypeScript, Leaflet, Génération de code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— IELTS 6,5/9, support international (USA, Japon)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