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2"/>
          <w:szCs w:val="52"/>
        </w:rPr>
        <w:t xml:space="preserve">DELTAGARPORTALEN</w:t>
      </w:r>
    </w:p>
    <w:p>
      <w:pPr>
        <w:spacing w:after="100"/>
        <w:jc w:val="center"/>
      </w:pPr>
      <w:r>
        <w:rPr>
          <w:rFonts w:ascii="Arial" w:cs="Arial" w:eastAsia="Arial" w:hAnsi="Arial"/>
          <w:color w:val="2E86C1"/>
          <w:sz w:val="32"/>
          <w:szCs w:val="32"/>
        </w:rPr>
        <w:t xml:space="preserve">Jobin.se</w:t>
      </w:r>
    </w:p>
    <w:p>
      <w:pPr>
        <w:spacing w:after="400"/>
      </w:pPr>
    </w:p>
    <w:p>
      <w:pPr>
        <w:pBdr>
          <w:top w:val="single" w:color="2E86C1" w:sz="6" w:space="8"/>
          <w:bottom w:val="single" w:color="2E86C1" w:sz="6" w:space="8"/>
        </w:pBdr>
        <w:spacing w:before="200" w:after="200"/>
        <w:jc w:val="center"/>
      </w:pPr>
      <w:r>
        <w:rPr>
          <w:rFonts w:ascii="Arial" w:cs="Arial" w:eastAsia="Arial" w:hAnsi="Arial"/>
          <w:b/>
          <w:bCs/>
          <w:color w:val="1B4F72"/>
          <w:sz w:val="36"/>
          <w:szCs w:val="36"/>
        </w:rPr>
        <w:t xml:space="preserve">FÄRDPLAN FÖR DATASKYDD &amp; REGELEFTERFÖLJNAD</w:t>
      </w:r>
    </w:p>
    <w:p>
      <w:pPr>
        <w:spacing w:after="200"/>
      </w:pPr>
    </w:p>
    <w:p>
      <w:pPr>
        <w:spacing w:after="80"/>
        <w:jc w:val="center"/>
      </w:pPr>
      <w:r>
        <w:rPr>
          <w:rFonts w:ascii="Arial" w:cs="Arial" w:eastAsia="Arial" w:hAnsi="Arial"/>
          <w:color w:val="566573"/>
          <w:sz w:val="24"/>
          <w:szCs w:val="24"/>
        </w:rPr>
        <w:t xml:space="preserve">GDPR | Dataskyddslagen | LEK | AI-förordningen</w:t>
      </w:r>
    </w:p>
    <w:p>
      <w:pPr>
        <w:spacing w:after="600"/>
      </w:pPr>
    </w:p>
    <w:p>
      <w:pPr>
        <w:spacing w:after="80"/>
        <w:jc w:val="center"/>
      </w:pPr>
      <w:r>
        <w:rPr>
          <w:rFonts w:ascii="Arial" w:cs="Arial" w:eastAsia="Arial" w:hAnsi="Arial"/>
          <w:color w:val="566573"/>
          <w:sz w:val="22"/>
          <w:szCs w:val="22"/>
        </w:rPr>
        <w:t xml:space="preserve">Version 1.0 — Mars 2026</w:t>
      </w:r>
    </w:p>
    <w:p>
      <w:pPr>
        <w:spacing w:after="80"/>
        <w:jc w:val="center"/>
      </w:pPr>
      <w:r>
        <w:rPr>
          <w:rFonts w:ascii="Arial" w:cs="Arial" w:eastAsia="Arial" w:hAnsi="Arial"/>
          <w:color w:val="922B21"/>
          <w:sz w:val="22"/>
          <w:szCs w:val="22"/>
        </w:rPr>
        <w:t xml:space="preserve">Klassificering: Konfidentiell</w:t>
      </w:r>
    </w:p>
    <w:p>
      <w:pPr>
        <w:jc w:val="center"/>
      </w:pPr>
      <w:r>
        <w:rPr>
          <w:rFonts w:ascii="Arial" w:cs="Arial" w:eastAsia="Arial" w:hAnsi="Arial"/>
          <w:color w:val="566573"/>
          <w:sz w:val="22"/>
          <w:szCs w:val="22"/>
        </w:rPr>
        <w:t xml:space="preserve">Framtagen för: Mikael Glannström, Jobin</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Sammanfattning</w:t>
      </w:r>
    </w:p>
    <w:p>
      <w:pPr>
        <w:spacing w:after="120"/>
        <w:jc w:val="left"/>
      </w:pPr>
      <w:r>
        <w:rPr>
          <w:rFonts w:ascii="Arial" w:cs="Arial" w:eastAsia="Arial" w:hAnsi="Arial"/>
          <w:color w:val="333333"/>
          <w:sz w:val="22"/>
          <w:szCs w:val="22"/>
        </w:rPr>
        <w:t xml:space="preserve">Deltagarportalen är en webbapplikation för arbetssökande som hanterar </w:t>
      </w:r>
      <w:r>
        <w:rPr>
          <w:rFonts w:ascii="Arial" w:cs="Arial" w:eastAsia="Arial" w:hAnsi="Arial"/>
          <w:b/>
          <w:bCs/>
          <w:color w:val="333333"/>
          <w:sz w:val="22"/>
          <w:szCs w:val="22"/>
        </w:rPr>
        <w:t xml:space="preserve">känsliga personuppgifter</w:t>
      </w:r>
      <w:r>
        <w:rPr>
          <w:rFonts w:ascii="Arial" w:cs="Arial" w:eastAsia="Arial" w:hAnsi="Arial"/>
          <w:color w:val="333333"/>
          <w:sz w:val="22"/>
          <w:szCs w:val="22"/>
        </w:rPr>
        <w:t xml:space="preserve"> i flera kategorier: personlig information, CV-data, hälso- och funktionsbedömningar (ICF), humör- och dagboksdata, personlighetstester samt AI-genererat innehåll. Tjänsten används av deltagare, arbetskonsulenter och administratörer.</w:t>
      </w:r>
    </w:p>
    <w:p>
      <w:pPr>
        <w:spacing w:after="120"/>
        <w:jc w:val="left"/>
      </w:pPr>
      <w:r>
        <w:rPr>
          <w:rFonts w:ascii="Arial" w:cs="Arial" w:eastAsia="Arial" w:hAnsi="Arial"/>
          <w:color w:val="333333"/>
          <w:sz w:val="22"/>
          <w:szCs w:val="22"/>
        </w:rPr>
        <w:t xml:space="preserve">Denna färdplan identifierar alla tillämpliga datalagar, kartlägger nuvarande efterlevnad, listar åtgärder som behöver vidtas och ger en tidsplan med prioritering för att uppnå full regelefterföljnad.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Område</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Nuvarande status</w:t>
            </w:r>
          </w:p>
        </w:tc>
        <w:tc>
          <w:tcPr>
            <w:tcW w:type="dxa" w:w="2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GDPR grundläggande efterlevnad</w:t>
            </w:r>
          </w:p>
        </w:tc>
        <w:tc>
          <w:tcPr>
            <w:tcW w:type="dxa" w:w="18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vAlign w:val="center"/>
          </w:tcPr>
          <w:p>
            <w:pPr>
              <w:jc w:val="center"/>
            </w:pPr>
            <w:r>
              <w:rPr>
                <w:rFonts w:ascii="Arial" w:cs="Arial" w:eastAsia="Arial" w:hAnsi="Arial"/>
                <w:b/>
                <w:bCs/>
                <w:color w:val="B9770E"/>
                <w:sz w:val="18"/>
                <w:szCs w:val="18"/>
              </w:rPr>
              <w:t xml:space="preserve">Delvis</w:t>
            </w:r>
          </w:p>
        </w:tc>
        <w:tc>
          <w:tcPr>
            <w:tcW w:type="dxa" w:w="1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8"/>
                <w:szCs w:val="18"/>
              </w:rPr>
              <w:t xml:space="preserve">Kritisk</w:t>
            </w:r>
          </w:p>
        </w:tc>
      </w:tr>
      <w:tr>
        <w:tc>
          <w:tcPr>
            <w:tcW w:type="dxa" w:w="4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Känsliga personuppgifter (Art. 9)</w:t>
            </w:r>
          </w:p>
        </w:tc>
        <w:tc>
          <w:tcPr>
            <w:tcW w:type="dxa" w:w="1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8"/>
                <w:szCs w:val="18"/>
              </w:rPr>
              <w:t xml:space="preserve">Saknas</w:t>
            </w:r>
          </w:p>
        </w:tc>
        <w:tc>
          <w:tcPr>
            <w:tcW w:type="dxa" w:w="1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8"/>
                <w:szCs w:val="18"/>
              </w:rPr>
              <w:t xml:space="preserve">Kritisk</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DPIA (Konsekvensbedömning)</w:t>
            </w:r>
          </w:p>
        </w:tc>
        <w:tc>
          <w:tcPr>
            <w:tcW w:type="dxa" w:w="1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8"/>
                <w:szCs w:val="18"/>
              </w:rPr>
              <w:t xml:space="preserve">Saknas</w:t>
            </w:r>
          </w:p>
        </w:tc>
        <w:tc>
          <w:tcPr>
            <w:tcW w:type="dxa" w:w="1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8"/>
                <w:szCs w:val="18"/>
              </w:rPr>
              <w:t xml:space="preserve">Kritisk</w:t>
            </w:r>
          </w:p>
        </w:tc>
      </w:tr>
      <w:tr>
        <w:tc>
          <w:tcPr>
            <w:tcW w:type="dxa" w:w="4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Tredjelandsöverföring (AI)</w:t>
            </w:r>
          </w:p>
        </w:tc>
        <w:tc>
          <w:tcPr>
            <w:tcW w:type="dxa" w:w="1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8"/>
                <w:szCs w:val="18"/>
              </w:rPr>
              <w:t xml:space="preserve">Saknas</w:t>
            </w:r>
          </w:p>
        </w:tc>
        <w:tc>
          <w:tcPr>
            <w:tcW w:type="dxa" w:w="18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vAlign w:val="center"/>
          </w:tcPr>
          <w:p>
            <w:pPr>
              <w:jc w:val="center"/>
            </w:pPr>
            <w:r>
              <w:rPr>
                <w:rFonts w:ascii="Arial" w:cs="Arial" w:eastAsia="Arial" w:hAnsi="Arial"/>
                <w:b/>
                <w:bCs/>
                <w:color w:val="B9770E"/>
                <w:sz w:val="18"/>
                <w:szCs w:val="18"/>
              </w:rPr>
              <w:t xml:space="preserve">Hög</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Samtycke och informationsplikt</w:t>
            </w:r>
          </w:p>
        </w:tc>
        <w:tc>
          <w:tcPr>
            <w:tcW w:type="dxa" w:w="18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vAlign w:val="center"/>
          </w:tcPr>
          <w:p>
            <w:pPr>
              <w:jc w:val="center"/>
            </w:pPr>
            <w:r>
              <w:rPr>
                <w:rFonts w:ascii="Arial" w:cs="Arial" w:eastAsia="Arial" w:hAnsi="Arial"/>
                <w:b/>
                <w:bCs/>
                <w:color w:val="B9770E"/>
                <w:sz w:val="18"/>
                <w:szCs w:val="18"/>
              </w:rPr>
              <w:t xml:space="preserve">Delvis</w:t>
            </w:r>
          </w:p>
        </w:tc>
        <w:tc>
          <w:tcPr>
            <w:tcW w:type="dxa" w:w="18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vAlign w:val="center"/>
          </w:tcPr>
          <w:p>
            <w:pPr>
              <w:jc w:val="center"/>
            </w:pPr>
            <w:r>
              <w:rPr>
                <w:rFonts w:ascii="Arial" w:cs="Arial" w:eastAsia="Arial" w:hAnsi="Arial"/>
                <w:b/>
                <w:bCs/>
                <w:color w:val="B9770E"/>
                <w:sz w:val="18"/>
                <w:szCs w:val="18"/>
              </w:rPr>
              <w:t xml:space="preserve">Hög</w:t>
            </w:r>
          </w:p>
        </w:tc>
      </w:tr>
      <w:tr>
        <w:tc>
          <w:tcPr>
            <w:tcW w:type="dxa" w:w="4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Personuppgiftsbiträdesavtal</w:t>
            </w:r>
          </w:p>
        </w:tc>
        <w:tc>
          <w:tcPr>
            <w:tcW w:type="dxa" w:w="18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vAlign w:val="center"/>
          </w:tcPr>
          <w:p>
            <w:pPr>
              <w:jc w:val="center"/>
            </w:pPr>
            <w:r>
              <w:rPr>
                <w:rFonts w:ascii="Arial" w:cs="Arial" w:eastAsia="Arial" w:hAnsi="Arial"/>
                <w:b/>
                <w:bCs/>
                <w:color w:val="B9770E"/>
                <w:sz w:val="18"/>
                <w:szCs w:val="18"/>
              </w:rPr>
              <w:t xml:space="preserve">Okänt</w:t>
            </w:r>
          </w:p>
        </w:tc>
        <w:tc>
          <w:tcPr>
            <w:tcW w:type="dxa" w:w="18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vAlign w:val="center"/>
          </w:tcPr>
          <w:p>
            <w:pPr>
              <w:jc w:val="center"/>
            </w:pPr>
            <w:r>
              <w:rPr>
                <w:rFonts w:ascii="Arial" w:cs="Arial" w:eastAsia="Arial" w:hAnsi="Arial"/>
                <w:b/>
                <w:bCs/>
                <w:color w:val="B9770E"/>
                <w:sz w:val="18"/>
                <w:szCs w:val="18"/>
              </w:rPr>
              <w:t xml:space="preserve">Hög</w:t>
            </w:r>
          </w:p>
        </w:tc>
      </w:tr>
      <w:tr>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Tekniska skyddsåtgärder</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Bra</w:t>
            </w:r>
          </w:p>
        </w:tc>
        <w:tc>
          <w:tcPr>
            <w:tcW w:type="dxa" w:w="18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vAlign w:val="center"/>
          </w:tcPr>
          <w:p>
            <w:pPr>
              <w:jc w:val="center"/>
            </w:pPr>
            <w:r>
              <w:rPr>
                <w:rFonts w:ascii="Arial" w:cs="Arial" w:eastAsia="Arial" w:hAnsi="Arial"/>
                <w:b/>
                <w:bCs/>
                <w:color w:val="2E86C1"/>
                <w:sz w:val="18"/>
                <w:szCs w:val="18"/>
              </w:rPr>
              <w:t xml:space="preserve">Medel</w:t>
            </w:r>
          </w:p>
        </w:tc>
      </w:tr>
      <w:tr>
        <w:tc>
          <w:tcPr>
            <w:tcW w:type="dxa" w:w="4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Cookie-hantering (LEK)</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Bra</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Låg</w:t>
            </w:r>
          </w:p>
        </w:tc>
      </w:tr>
    </w:tbl>
    <w:p>
      <w:pPr>
        <w:spacing w:after="200"/>
      </w:pPr>
    </w:p>
    <w:p>
      <w:pPr>
        <w:pBdr>
          <w:bottom w:val="single" w:color="D5D8DC" w:sz="4" w:space="1"/>
        </w:pBdr>
        <w:spacing w:after="200"/>
      </w:pPr>
    </w:p>
    <w:p>
      <w:pPr>
        <w:pStyle w:val="Heading1"/>
        <w:spacing w:before="360" w:after="200"/>
      </w:pPr>
      <w:r>
        <w:rPr>
          <w:rFonts w:ascii="Arial" w:cs="Arial" w:eastAsia="Arial" w:hAnsi="Arial"/>
          <w:b/>
          <w:bCs/>
          <w:color w:val="1B4F72"/>
          <w:sz w:val="32"/>
          <w:szCs w:val="32"/>
        </w:rPr>
        <w:t xml:space="preserve">2. Tillämpliga lagar och förordningar</w:t>
      </w:r>
    </w:p>
    <w:p>
      <w:pPr>
        <w:pStyle w:val="Heading2"/>
        <w:spacing w:before="280" w:after="160"/>
      </w:pPr>
      <w:r>
        <w:rPr>
          <w:rFonts w:ascii="Arial" w:cs="Arial" w:eastAsia="Arial" w:hAnsi="Arial"/>
          <w:b/>
          <w:bCs/>
          <w:color w:val="2E86C1"/>
          <w:sz w:val="26"/>
          <w:szCs w:val="26"/>
        </w:rPr>
        <w:t xml:space="preserve">2.1 EU:s dataskyddsförordning (GDPR)</w:t>
      </w:r>
    </w:p>
    <w:p>
      <w:pPr>
        <w:spacing w:after="120"/>
        <w:jc w:val="left"/>
      </w:pPr>
      <w:r>
        <w:rPr>
          <w:rFonts w:ascii="Arial" w:cs="Arial" w:eastAsia="Arial" w:hAnsi="Arial"/>
          <w:color w:val="333333"/>
          <w:sz w:val="22"/>
          <w:szCs w:val="22"/>
        </w:rPr>
        <w:t xml:space="preserve">GDPR (2016/679) är den primära lagstiftningen. Den gäller direkt som lag i Sverige och reglerar all behandling av personuppgifter. Deltagarportalen behandlar personuppgifter i stor omfattning och måste uppfylla samtliga krav i förordningen.</w:t>
      </w:r>
    </w:p>
    <w:p>
      <w:pPr>
        <w:spacing w:after="12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Särskilt relevanta artiklar:</w:t>
      </w:r>
      <w:r>
        <w:rPr>
          <w:rFonts w:ascii="Arial" w:cs="Arial" w:eastAsia="Arial" w:hAnsi="Arial"/>
          <w:color w:val="333333"/>
          <w:sz w:val="22"/>
          <w:szCs w:val="22"/>
        </w:rPr>
        <w:t xml:space="preserve"/>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Art. 5</w:t>
      </w:r>
      <w:r>
        <w:rPr>
          <w:rFonts w:ascii="Arial" w:cs="Arial" w:eastAsia="Arial" w:hAnsi="Arial"/>
          <w:color w:val="333333"/>
          <w:sz w:val="22"/>
          <w:szCs w:val="22"/>
        </w:rPr>
        <w:t xml:space="preserve"> — Grundläggande principer: laglighet, ändamålsbegränsning, uppgiftsminimering, korrekthet, lagringsminimering, integritet och konfidentialitet, ansvarsskyldighet</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Art. 6</w:t>
      </w:r>
      <w:r>
        <w:rPr>
          <w:rFonts w:ascii="Arial" w:cs="Arial" w:eastAsia="Arial" w:hAnsi="Arial"/>
          <w:color w:val="333333"/>
          <w:sz w:val="22"/>
          <w:szCs w:val="22"/>
        </w:rPr>
        <w:t xml:space="preserve"> — Laglig grund för behandling (samtycke, avtal, berättigat intresse)</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Art. 9</w:t>
      </w:r>
      <w:r>
        <w:rPr>
          <w:rFonts w:ascii="Arial" w:cs="Arial" w:eastAsia="Arial" w:hAnsi="Arial"/>
          <w:color w:val="333333"/>
          <w:sz w:val="22"/>
          <w:szCs w:val="22"/>
        </w:rPr>
        <w:t xml:space="preserve"> — Känsliga personuppgifter: ICF-data (hälsa/funktionsnedsättning), humörloggar och Big Five-personlighetsdata kräver uttryckligt samtycke</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Art. 12–14</w:t>
      </w:r>
      <w:r>
        <w:rPr>
          <w:rFonts w:ascii="Arial" w:cs="Arial" w:eastAsia="Arial" w:hAnsi="Arial"/>
          <w:color w:val="333333"/>
          <w:sz w:val="22"/>
          <w:szCs w:val="22"/>
        </w:rPr>
        <w:t xml:space="preserve"> — Informationsplikt: tydlig, lättillgänglig information till registrerade</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Art. 15–22</w:t>
      </w:r>
      <w:r>
        <w:rPr>
          <w:rFonts w:ascii="Arial" w:cs="Arial" w:eastAsia="Arial" w:hAnsi="Arial"/>
          <w:color w:val="333333"/>
          <w:sz w:val="22"/>
          <w:szCs w:val="22"/>
        </w:rPr>
        <w:t xml:space="preserve"> — Registrerades rättigheter: tillgång, rättelse, radering, begränsning, dataportabilitet, invändning</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Art. 25</w:t>
      </w:r>
      <w:r>
        <w:rPr>
          <w:rFonts w:ascii="Arial" w:cs="Arial" w:eastAsia="Arial" w:hAnsi="Arial"/>
          <w:color w:val="333333"/>
          <w:sz w:val="22"/>
          <w:szCs w:val="22"/>
        </w:rPr>
        <w:t xml:space="preserve"> — Inbyggt dataskydd och dataskydd som standard</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Art. 28</w:t>
      </w:r>
      <w:r>
        <w:rPr>
          <w:rFonts w:ascii="Arial" w:cs="Arial" w:eastAsia="Arial" w:hAnsi="Arial"/>
          <w:color w:val="333333"/>
          <w:sz w:val="22"/>
          <w:szCs w:val="22"/>
        </w:rPr>
        <w:t xml:space="preserve"> — Personuppgiftsbiträden: avtal med Supabase, OpenRouter, Sentry</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Art. 35</w:t>
      </w:r>
      <w:r>
        <w:rPr>
          <w:rFonts w:ascii="Arial" w:cs="Arial" w:eastAsia="Arial" w:hAnsi="Arial"/>
          <w:color w:val="333333"/>
          <w:sz w:val="22"/>
          <w:szCs w:val="22"/>
        </w:rPr>
        <w:t xml:space="preserve"> — Konsekvensbedömning (DPIA): obligatorisk vid storskalig behandling av känsliga uppgifter och profilering</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Art. 44–49</w:t>
      </w:r>
      <w:r>
        <w:rPr>
          <w:rFonts w:ascii="Arial" w:cs="Arial" w:eastAsia="Arial" w:hAnsi="Arial"/>
          <w:color w:val="333333"/>
          <w:sz w:val="22"/>
          <w:szCs w:val="22"/>
        </w:rPr>
        <w:t xml:space="preserve"> — Tredjelandsöverföring: data som skickas till OpenRouter/OpenAI (USA)</w:t>
      </w:r>
    </w:p>
    <w:p>
      <w:pPr>
        <w:pStyle w:val="Heading2"/>
        <w:spacing w:before="280" w:after="160"/>
      </w:pPr>
      <w:r>
        <w:rPr>
          <w:rFonts w:ascii="Arial" w:cs="Arial" w:eastAsia="Arial" w:hAnsi="Arial"/>
          <w:b/>
          <w:bCs/>
          <w:color w:val="2E86C1"/>
          <w:sz w:val="26"/>
          <w:szCs w:val="26"/>
        </w:rPr>
        <w:t xml:space="preserve">2.2 Dataskyddslagen (2018:218)</w:t>
      </w:r>
    </w:p>
    <w:p>
      <w:pPr>
        <w:spacing w:after="120"/>
        <w:jc w:val="left"/>
      </w:pPr>
      <w:r>
        <w:rPr>
          <w:rFonts w:ascii="Arial" w:cs="Arial" w:eastAsia="Arial" w:hAnsi="Arial"/>
          <w:color w:val="333333"/>
          <w:sz w:val="22"/>
          <w:szCs w:val="22"/>
        </w:rPr>
        <w:t xml:space="preserve">Svensk kompletterande lagstiftning till GDPR. Reglerar bland annat åldersgräns för barns samtycke (13 år i Sverige), IMY:s tillsynsbefogenheter och sanktionsavgifter samt nationella undantag och anpassningar.</w:t>
      </w:r>
    </w:p>
    <w:p>
      <w:pPr>
        <w:pStyle w:val="Heading2"/>
        <w:spacing w:before="280" w:after="160"/>
      </w:pPr>
      <w:r>
        <w:rPr>
          <w:rFonts w:ascii="Arial" w:cs="Arial" w:eastAsia="Arial" w:hAnsi="Arial"/>
          <w:b/>
          <w:bCs/>
          <w:color w:val="2E86C1"/>
          <w:sz w:val="26"/>
          <w:szCs w:val="26"/>
        </w:rPr>
        <w:t xml:space="preserve">2.3 Lagen om elektronisk kommunikation (LEK, 2022:482)</w:t>
      </w:r>
    </w:p>
    <w:p>
      <w:pPr>
        <w:spacing w:after="120"/>
        <w:jc w:val="left"/>
      </w:pPr>
      <w:r>
        <w:rPr>
          <w:rFonts w:ascii="Arial" w:cs="Arial" w:eastAsia="Arial" w:hAnsi="Arial"/>
          <w:color w:val="333333"/>
          <w:sz w:val="22"/>
          <w:szCs w:val="22"/>
        </w:rPr>
        <w:t xml:space="preserve">Reglerar cookies och liknande tekniker. Deltagarportalen använder cookies för session och (valfritt) Sentry-analys. LEK kräver informerat samtycke innan icke-nödvändiga cookies sätts. Er nuvarande cookie-banner med granulär kontroll uppfyller i stort sett detta krav.</w:t>
      </w:r>
    </w:p>
    <w:p>
      <w:pPr>
        <w:pStyle w:val="Heading2"/>
        <w:spacing w:before="280" w:after="160"/>
      </w:pPr>
      <w:r>
        <w:rPr>
          <w:rFonts w:ascii="Arial" w:cs="Arial" w:eastAsia="Arial" w:hAnsi="Arial"/>
          <w:b/>
          <w:bCs/>
          <w:color w:val="2E86C1"/>
          <w:sz w:val="26"/>
          <w:szCs w:val="26"/>
        </w:rPr>
        <w:t xml:space="preserve">2.4 EU:s AI-förordning (AI Act, 2024/1689)</w:t>
      </w:r>
    </w:p>
    <w:p>
      <w:pPr>
        <w:spacing w:after="120"/>
        <w:jc w:val="left"/>
      </w:pPr>
      <w:r>
        <w:rPr>
          <w:rFonts w:ascii="Arial" w:cs="Arial" w:eastAsia="Arial" w:hAnsi="Arial"/>
          <w:color w:val="333333"/>
          <w:sz w:val="22"/>
          <w:szCs w:val="22"/>
        </w:rPr>
        <w:t xml:space="preserve">AI-förordningen trädde i kraft stegvis från februari 2025. Deltagarportalen använder AI för CV-generering, personliga brev, kompetensanalys och mock-intervjuer. Dessa AI-funktioner bör klassificeras enligt riskramverket. Yrkes-rekommendationer baserade på personlighets- och funktionsdata kan klassificeras som ett </w:t>
      </w:r>
      <w:r>
        <w:rPr>
          <w:rFonts w:ascii="Arial" w:cs="Arial" w:eastAsia="Arial" w:hAnsi="Arial"/>
          <w:b/>
          <w:bCs/>
          <w:color w:val="333333"/>
          <w:sz w:val="22"/>
          <w:szCs w:val="22"/>
        </w:rPr>
        <w:t xml:space="preserve">högrisk-AI-system</w:t>
      </w:r>
      <w:r>
        <w:rPr>
          <w:rFonts w:ascii="Arial" w:cs="Arial" w:eastAsia="Arial" w:hAnsi="Arial"/>
          <w:color w:val="333333"/>
          <w:sz w:val="22"/>
          <w:szCs w:val="22"/>
        </w:rPr>
        <w:t xml:space="preserve"> (rekrytering/arbetsmarknad) enligt Annex III.</w:t>
      </w:r>
    </w:p>
    <w:p>
      <w:pPr>
        <w:pStyle w:val="Heading2"/>
        <w:spacing w:before="280" w:after="160"/>
      </w:pPr>
      <w:r>
        <w:rPr>
          <w:rFonts w:ascii="Arial" w:cs="Arial" w:eastAsia="Arial" w:hAnsi="Arial"/>
          <w:b/>
          <w:bCs/>
          <w:color w:val="2E86C1"/>
          <w:sz w:val="26"/>
          <w:szCs w:val="26"/>
        </w:rPr>
        <w:t xml:space="preserve">2.5 Arbetsrättslig lagstiftning</w:t>
      </w:r>
    </w:p>
    <w:p>
      <w:pPr>
        <w:spacing w:after="120"/>
        <w:jc w:val="left"/>
      </w:pPr>
      <w:r>
        <w:rPr>
          <w:rFonts w:ascii="Arial" w:cs="Arial" w:eastAsia="Arial" w:hAnsi="Arial"/>
          <w:color w:val="333333"/>
          <w:sz w:val="22"/>
          <w:szCs w:val="22"/>
        </w:rPr>
        <w:t xml:space="preserve">Om Deltagarportalen används inom ramen för arbetsmarknadsinsatser (t.ex. STOM, Rusta och Matcha) kan specifika krav gälla kring deltagardata, rapportering till Arbetsförmedlingen och sekretess. Klargör relationen med uppdragsgivare och eventuella registerförfattningar.</w:t>
      </w:r>
    </w:p>
    <w:p>
      <w:pPr>
        <w:pBdr>
          <w:bottom w:val="single" w:color="D5D8DC" w:sz="4" w:space="1"/>
        </w:pBdr>
        <w:spacing w:after="200"/>
      </w:pPr>
    </w:p>
    <w:p>
      <w:pPr>
        <w:pStyle w:val="Heading1"/>
        <w:spacing w:before="360" w:after="200"/>
      </w:pPr>
      <w:r>
        <w:rPr>
          <w:rFonts w:ascii="Arial" w:cs="Arial" w:eastAsia="Arial" w:hAnsi="Arial"/>
          <w:b/>
          <w:bCs/>
          <w:color w:val="1B4F72"/>
          <w:sz w:val="32"/>
          <w:szCs w:val="32"/>
        </w:rPr>
        <w:t xml:space="preserve">3. Datakartläggning — Vad ni behandlar idag</w:t>
      </w:r>
    </w:p>
    <w:p>
      <w:pPr>
        <w:spacing w:after="120"/>
        <w:jc w:val="left"/>
      </w:pPr>
      <w:r>
        <w:rPr>
          <w:rFonts w:ascii="Arial" w:cs="Arial" w:eastAsia="Arial" w:hAnsi="Arial"/>
          <w:color w:val="333333"/>
          <w:sz w:val="22"/>
          <w:szCs w:val="22"/>
        </w:rPr>
        <w:t xml:space="preserve">Nedan följer en fullständig kartläggning av all persondata i systemet, baserad på en djupanalys av databasscheman, edge-funktioner och klientkod.</w:t>
      </w:r>
    </w:p>
    <w:p>
      <w:pPr>
        <w:pStyle w:val="Heading2"/>
        <w:spacing w:before="280" w:after="160"/>
      </w:pPr>
      <w:r>
        <w:rPr>
          <w:rFonts w:ascii="Arial" w:cs="Arial" w:eastAsia="Arial" w:hAnsi="Arial"/>
          <w:b/>
          <w:bCs/>
          <w:color w:val="2E86C1"/>
          <w:sz w:val="26"/>
          <w:szCs w:val="26"/>
        </w:rPr>
        <w:t xml:space="preserve">3.1 Personuppgifter per kategori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1300"/>
        <w:gridCol w:w="12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Datafält</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Laglig grund</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Känslighet</w:t>
            </w:r>
          </w:p>
        </w:tc>
        <w:tc>
          <w:tcPr>
            <w:tcW w:type="dxa" w:w="1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Profil</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Namn, e-post, telefon, plats, bio, profilbild</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Avtal</w:t>
            </w:r>
          </w:p>
        </w:tc>
        <w:tc>
          <w:tcPr>
            <w:tcW w:type="dxa" w:w="1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1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Konto-livstid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CV-data</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Erfarenhet, utbildning, färdigheter, språk, intyg, referenser</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Avtal</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12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Konto-livstid</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Personliga brev</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Brevtext, jobbeskrivning, AI-flagga</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Avtal + samtycke (AI)</w:t>
            </w:r>
          </w:p>
        </w:tc>
        <w:tc>
          <w:tcPr>
            <w:tcW w:type="dxa" w:w="1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1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Konto-livstid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RIASEC/Big Five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6+5 personlighetsdimensioner (0–100), Holland-kod</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Samtycke</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B9770E"/>
                <w:sz w:val="20"/>
                <w:szCs w:val="20"/>
              </w:rPr>
              <w:t xml:space="preserve"/>
            </w:r>
            <w:r>
              <w:rPr>
                <w:rFonts w:ascii="Arial" w:cs="Arial" w:eastAsia="Arial" w:hAnsi="Arial"/>
                <w:b/>
                <w:bCs/>
                <w:color w:val="B9770E"/>
                <w:sz w:val="20"/>
                <w:szCs w:val="20"/>
              </w:rPr>
              <w:t xml:space="preserve">Hög</w:t>
            </w:r>
            <w:r>
              <w:rPr>
                <w:rFonts w:ascii="Arial" w:cs="Arial" w:eastAsia="Arial" w:hAnsi="Arial"/>
                <w:color w:val="B9770E"/>
                <w:sz w:val="20"/>
                <w:szCs w:val="20"/>
              </w:rPr>
              <w:t xml:space="preserve"/>
            </w:r>
          </w:p>
        </w:tc>
        <w:tc>
          <w:tcPr>
            <w:tcW w:type="dxa" w:w="12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Konto-livstid</w:t>
            </w:r>
          </w:p>
        </w:tc>
      </w:tr>
      <w:tr>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333333"/>
                <w:sz w:val="20"/>
                <w:szCs w:val="20"/>
              </w:rPr>
              <w:t xml:space="preserve"/>
            </w:r>
            <w:r>
              <w:rPr>
                <w:rFonts w:ascii="Arial" w:cs="Arial" w:eastAsia="Arial" w:hAnsi="Arial"/>
                <w:b/>
                <w:bCs/>
                <w:color w:val="333333"/>
                <w:sz w:val="20"/>
                <w:szCs w:val="20"/>
              </w:rPr>
              <w:t xml:space="preserve">ICF-data</w:t>
            </w:r>
            <w:r>
              <w:rPr>
                <w:rFonts w:ascii="Arial" w:cs="Arial" w:eastAsia="Arial" w:hAnsi="Arial"/>
                <w:color w:val="333333"/>
                <w:sz w:val="20"/>
                <w:szCs w:val="20"/>
              </w:rPr>
              <w:t xml:space="preserve"/>
            </w:r>
          </w:p>
        </w:tc>
        <w:tc>
          <w:tcPr>
            <w:tcW w:type="dxa" w:w="2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333333"/>
                <w:sz w:val="20"/>
                <w:szCs w:val="20"/>
              </w:rPr>
              <w:t xml:space="preserve">Kognitiv, kommunikation, koncentration, motorik, sensorisk, energi</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333333"/>
                <w:sz w:val="20"/>
                <w:szCs w:val="20"/>
              </w:rPr>
              <w:t xml:space="preserve"/>
            </w:r>
            <w:r>
              <w:rPr>
                <w:rFonts w:ascii="Arial" w:cs="Arial" w:eastAsia="Arial" w:hAnsi="Arial"/>
                <w:b/>
                <w:bCs/>
                <w:color w:val="333333"/>
                <w:sz w:val="20"/>
                <w:szCs w:val="20"/>
              </w:rPr>
              <w:t xml:space="preserve">Uttryckligt samtycke</w:t>
            </w:r>
            <w:r>
              <w:rPr>
                <w:rFonts w:ascii="Arial" w:cs="Arial" w:eastAsia="Arial" w:hAnsi="Arial"/>
                <w:color w:val="333333"/>
                <w:sz w:val="20"/>
                <w:szCs w:val="20"/>
              </w:rPr>
              <w:t xml:space="preserve"/>
            </w:r>
          </w:p>
        </w:tc>
        <w:tc>
          <w:tcPr>
            <w:tcW w:type="dxa" w:w="13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922B21"/>
                <w:sz w:val="20"/>
                <w:szCs w:val="20"/>
              </w:rPr>
              <w:t xml:space="preserve"/>
            </w:r>
            <w:r>
              <w:rPr>
                <w:rFonts w:ascii="Arial" w:cs="Arial" w:eastAsia="Arial" w:hAnsi="Arial"/>
                <w:b/>
                <w:bCs/>
                <w:color w:val="922B21"/>
                <w:sz w:val="20"/>
                <w:szCs w:val="20"/>
              </w:rPr>
              <w:t xml:space="preserve">Känslig</w:t>
            </w:r>
            <w:r>
              <w:rPr>
                <w:rFonts w:ascii="Arial" w:cs="Arial" w:eastAsia="Arial" w:hAnsi="Arial"/>
                <w:color w:val="922B21"/>
                <w:sz w:val="20"/>
                <w:szCs w:val="20"/>
              </w:rPr>
              <w:t xml:space="preserve"/>
            </w:r>
          </w:p>
        </w:tc>
        <w:tc>
          <w:tcPr>
            <w:tcW w:type="dxa" w:w="1226"/>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333333"/>
                <w:sz w:val="20"/>
                <w:szCs w:val="20"/>
              </w:rPr>
              <w:t xml:space="preserve">Konto-livstid</w:t>
            </w:r>
          </w:p>
        </w:tc>
      </w:tr>
      <w:tr>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333333"/>
                <w:sz w:val="20"/>
                <w:szCs w:val="20"/>
              </w:rPr>
              <w:t xml:space="preserve"/>
            </w:r>
            <w:r>
              <w:rPr>
                <w:rFonts w:ascii="Arial" w:cs="Arial" w:eastAsia="Arial" w:hAnsi="Arial"/>
                <w:b/>
                <w:bCs/>
                <w:color w:val="333333"/>
                <w:sz w:val="20"/>
                <w:szCs w:val="20"/>
              </w:rPr>
              <w:t xml:space="preserve">Humör/dagbok</w:t>
            </w:r>
            <w:r>
              <w:rPr>
                <w:rFonts w:ascii="Arial" w:cs="Arial" w:eastAsia="Arial" w:hAnsi="Arial"/>
                <w:color w:val="333333"/>
                <w:sz w:val="20"/>
                <w:szCs w:val="20"/>
              </w:rPr>
              <w:t xml:space="preserve"/>
            </w:r>
          </w:p>
        </w:tc>
        <w:tc>
          <w:tcPr>
            <w:tcW w:type="dxa" w:w="2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333333"/>
                <w:sz w:val="20"/>
                <w:szCs w:val="20"/>
              </w:rPr>
              <w:t xml:space="preserve">Humör, energi, stress, sömn, dagbokstext, tacksamhet</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333333"/>
                <w:sz w:val="20"/>
                <w:szCs w:val="20"/>
              </w:rPr>
              <w:t xml:space="preserve"/>
            </w:r>
            <w:r>
              <w:rPr>
                <w:rFonts w:ascii="Arial" w:cs="Arial" w:eastAsia="Arial" w:hAnsi="Arial"/>
                <w:b/>
                <w:bCs/>
                <w:color w:val="333333"/>
                <w:sz w:val="20"/>
                <w:szCs w:val="20"/>
              </w:rPr>
              <w:t xml:space="preserve">Uttryckligt samtycke</w:t>
            </w:r>
            <w:r>
              <w:rPr>
                <w:rFonts w:ascii="Arial" w:cs="Arial" w:eastAsia="Arial" w:hAnsi="Arial"/>
                <w:color w:val="333333"/>
                <w:sz w:val="20"/>
                <w:szCs w:val="20"/>
              </w:rPr>
              <w:t xml:space="preserve"/>
            </w:r>
          </w:p>
        </w:tc>
        <w:tc>
          <w:tcPr>
            <w:tcW w:type="dxa" w:w="13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922B21"/>
                <w:sz w:val="20"/>
                <w:szCs w:val="20"/>
              </w:rPr>
              <w:t xml:space="preserve"/>
            </w:r>
            <w:r>
              <w:rPr>
                <w:rFonts w:ascii="Arial" w:cs="Arial" w:eastAsia="Arial" w:hAnsi="Arial"/>
                <w:b/>
                <w:bCs/>
                <w:color w:val="922B21"/>
                <w:sz w:val="20"/>
                <w:szCs w:val="20"/>
              </w:rPr>
              <w:t xml:space="preserve">Känslig</w:t>
            </w:r>
            <w:r>
              <w:rPr>
                <w:rFonts w:ascii="Arial" w:cs="Arial" w:eastAsia="Arial" w:hAnsi="Arial"/>
                <w:color w:val="922B21"/>
                <w:sz w:val="20"/>
                <w:szCs w:val="20"/>
              </w:rPr>
              <w:t xml:space="preserve"/>
            </w:r>
          </w:p>
        </w:tc>
        <w:tc>
          <w:tcPr>
            <w:tcW w:type="dxa" w:w="1226"/>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color w:val="333333"/>
                <w:sz w:val="20"/>
                <w:szCs w:val="20"/>
              </w:rPr>
              <w:t xml:space="preserve">Konto-livstid</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Sparade jobb</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Jobb-ID, jobbdata, status, ansökningsdatum</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Avtal</w:t>
            </w:r>
          </w:p>
        </w:tc>
        <w:tc>
          <w:tcPr>
            <w:tcW w:type="dxa" w:w="1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1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Konto-livstid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Aktivitetslogg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Inloggning, CV-uppdateringar, jobbsökningar (immutabel)</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Berättigat intresse</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12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2 år</w:t>
            </w:r>
          </w:p>
        </w:tc>
      </w:tr>
      <w:tr>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Samtyckes-historik</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Typ, åtgärd, IP-adress, user agent, tidsstämpel</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Rättslig förpliktelse</w:t>
            </w:r>
          </w:p>
        </w:tc>
        <w:tc>
          <w:tcPr>
            <w:tcW w:type="dxa" w:w="1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1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Permanent</w:t>
            </w:r>
          </w:p>
        </w:tc>
      </w:tr>
    </w:tbl>
    <w:p>
      <w:pPr>
        <w:spacing w:after="200"/>
      </w:pPr>
    </w:p>
    <w:p>
      <w:pPr>
        <w:pStyle w:val="Heading2"/>
        <w:spacing w:before="280" w:after="160"/>
      </w:pPr>
      <w:r>
        <w:rPr>
          <w:rFonts w:ascii="Arial" w:cs="Arial" w:eastAsia="Arial" w:hAnsi="Arial"/>
          <w:b/>
          <w:bCs/>
          <w:color w:val="2E86C1"/>
          <w:sz w:val="26"/>
          <w:szCs w:val="26"/>
        </w:rPr>
        <w:t xml:space="preserve">3.2 Dataflöden till tredje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Mottagare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som skickas</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Syfte</w:t>
            </w:r>
          </w:p>
        </w:tc>
        <w:tc>
          <w:tcPr>
            <w:tcW w:type="dxa" w:w="2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Land/region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OpenRouter / OpenAI</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CV-text, jobbeskrivningar, personliga brev (max 3–5000 tecken)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AI-generering</w:t>
            </w:r>
          </w:p>
        </w:tc>
        <w:tc>
          <w:tcPr>
            <w:tcW w:type="dxa" w:w="2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USA (tredjeland)</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2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All användardata (databas, auth, storage)</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Hosting / datalagring</w:t>
            </w:r>
          </w:p>
        </w:tc>
        <w:tc>
          <w:tcPr>
            <w:tcW w:type="dxa" w:w="25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EU (om EU-region vald)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Sentry</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Fel-loggar, user ID (hashat), breadcrumbs, sessionsreplay (1%)</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Felövervakning</w:t>
            </w:r>
          </w:p>
        </w:tc>
        <w:tc>
          <w:tcPr>
            <w:tcW w:type="dxa" w:w="2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EU/USA (beroende på plan)</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Arbetsförmedlingen</w:t>
            </w:r>
          </w:p>
        </w:tc>
        <w:tc>
          <w:tcPr>
            <w:tcW w:type="dxa" w:w="2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Inga personuppgifter (enbart sökfrågor)</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Jobbsökning</w:t>
            </w:r>
          </w:p>
        </w:tc>
        <w:tc>
          <w:tcPr>
            <w:tcW w:type="dxa" w:w="25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Sverige</w:t>
            </w:r>
          </w:p>
        </w:tc>
      </w:tr>
    </w:tbl>
    <w:p>
      <w:pPr>
        <w:pBdr>
          <w:bottom w:val="single" w:color="D5D8DC" w:sz="4" w:space="1"/>
        </w:pBdr>
        <w:spacing w:after="200"/>
      </w:pPr>
    </w:p>
    <w:p>
      <w:pPr>
        <w:pStyle w:val="Heading1"/>
        <w:spacing w:before="360" w:after="200"/>
      </w:pPr>
      <w:r>
        <w:rPr>
          <w:rFonts w:ascii="Arial" w:cs="Arial" w:eastAsia="Arial" w:hAnsi="Arial"/>
          <w:b/>
          <w:bCs/>
          <w:color w:val="1B4F72"/>
          <w:sz w:val="32"/>
          <w:szCs w:val="32"/>
        </w:rPr>
        <w:t xml:space="preserve">4. Gap-analys — Vad som saknas</w:t>
      </w:r>
    </w:p>
    <w:p>
      <w:pPr>
        <w:pStyle w:val="Heading2"/>
        <w:spacing w:before="280" w:after="160"/>
      </w:pPr>
      <w:r>
        <w:rPr>
          <w:rFonts w:ascii="Arial" w:cs="Arial" w:eastAsia="Arial" w:hAnsi="Arial"/>
          <w:b/>
          <w:bCs/>
          <w:color w:val="2E86C1"/>
          <w:sz w:val="26"/>
          <w:szCs w:val="26"/>
        </w:rPr>
        <w:t xml:space="preserve">4.1 Kritiska brister</w:t>
      </w:r>
    </w:p>
    <w:p>
      <w:pPr>
        <w:pStyle w:val="Heading3"/>
        <w:spacing w:before="200" w:after="120"/>
      </w:pPr>
      <w:r>
        <w:rPr>
          <w:rFonts w:ascii="Arial" w:cs="Arial" w:eastAsia="Arial" w:hAnsi="Arial"/>
          <w:b/>
          <w:bCs/>
          <w:color w:val="566573"/>
          <w:sz w:val="22"/>
          <w:szCs w:val="22"/>
        </w:rPr>
        <w:t xml:space="preserve">A. Känsliga personuppgifter utan tillräckligt skydd (GDPR Art. 9)</w:t>
      </w:r>
    </w:p>
    <w:p>
      <w:pPr>
        <w:spacing w:after="120"/>
        <w:jc w:val="left"/>
      </w:pPr>
      <w:r>
        <w:rPr>
          <w:rFonts w:ascii="Arial" w:cs="Arial" w:eastAsia="Arial" w:hAnsi="Arial"/>
          <w:color w:val="333333"/>
          <w:sz w:val="22"/>
          <w:szCs w:val="22"/>
        </w:rPr>
        <w:t xml:space="preserve">ICF-data (kognitiv funktion, motorik, sensorisk, energi) utgör </w:t>
      </w:r>
      <w:r>
        <w:rPr>
          <w:rFonts w:ascii="Arial" w:cs="Arial" w:eastAsia="Arial" w:hAnsi="Arial"/>
          <w:b/>
          <w:bCs/>
          <w:color w:val="333333"/>
          <w:sz w:val="22"/>
          <w:szCs w:val="22"/>
        </w:rPr>
        <w:t xml:space="preserve">hälsodata</w:t>
      </w:r>
      <w:r>
        <w:rPr>
          <w:rFonts w:ascii="Arial" w:cs="Arial" w:eastAsia="Arial" w:hAnsi="Arial"/>
          <w:color w:val="333333"/>
          <w:sz w:val="22"/>
          <w:szCs w:val="22"/>
        </w:rPr>
        <w:t xml:space="preserve"> enligt GDPR Art. 9. Humör- och stressloggar kan också klassificeras som hälsodata. Big Five-personlighetsdata rör psykologisk profil. Dessa kräver </w:t>
      </w:r>
      <w:r>
        <w:rPr>
          <w:rFonts w:ascii="Arial" w:cs="Arial" w:eastAsia="Arial" w:hAnsi="Arial"/>
          <w:b/>
          <w:bCs/>
          <w:color w:val="333333"/>
          <w:sz w:val="22"/>
          <w:szCs w:val="22"/>
        </w:rPr>
        <w:t xml:space="preserve">uttryckligt samtycke</w:t>
      </w:r>
      <w:r>
        <w:rPr>
          <w:rFonts w:ascii="Arial" w:cs="Arial" w:eastAsia="Arial" w:hAnsi="Arial"/>
          <w:color w:val="333333"/>
          <w:sz w:val="22"/>
          <w:szCs w:val="22"/>
        </w:rPr>
        <w:t xml:space="preserve"> med specifik, separat information om varför dessa uppgifter samlas in, hur de används, och vem som har tillgång. Nuvarande samtycke (ai_consent) täcker inte detta tillräckligt.</w:t>
      </w:r>
    </w:p>
    <w:p>
      <w:pPr>
        <w:pStyle w:val="Heading3"/>
        <w:spacing w:before="200" w:after="120"/>
      </w:pPr>
      <w:r>
        <w:rPr>
          <w:rFonts w:ascii="Arial" w:cs="Arial" w:eastAsia="Arial" w:hAnsi="Arial"/>
          <w:b/>
          <w:bCs/>
          <w:color w:val="566573"/>
          <w:sz w:val="22"/>
          <w:szCs w:val="22"/>
        </w:rPr>
        <w:t xml:space="preserve">B. Dataskyddskonsekvensbedömning (DPIA) saknas</w:t>
      </w:r>
    </w:p>
    <w:p>
      <w:pPr>
        <w:spacing w:after="120"/>
        <w:jc w:val="left"/>
      </w:pPr>
      <w:r>
        <w:rPr>
          <w:rFonts w:ascii="Arial" w:cs="Arial" w:eastAsia="Arial" w:hAnsi="Arial"/>
          <w:color w:val="333333"/>
          <w:sz w:val="22"/>
          <w:szCs w:val="22"/>
        </w:rPr>
        <w:t xml:space="preserve">En DPIA är </w:t>
      </w:r>
      <w:r>
        <w:rPr>
          <w:rFonts w:ascii="Arial" w:cs="Arial" w:eastAsia="Arial" w:hAnsi="Arial"/>
          <w:b/>
          <w:bCs/>
          <w:color w:val="333333"/>
          <w:sz w:val="22"/>
          <w:szCs w:val="22"/>
        </w:rPr>
        <w:t xml:space="preserve">obligatorisk</w:t>
      </w:r>
      <w:r>
        <w:rPr>
          <w:rFonts w:ascii="Arial" w:cs="Arial" w:eastAsia="Arial" w:hAnsi="Arial"/>
          <w:color w:val="333333"/>
          <w:sz w:val="22"/>
          <w:szCs w:val="22"/>
        </w:rPr>
        <w:t xml:space="preserve"> enligt Art. 35 när behandling sannolikt medför hög risk för enskildas rättigheter. Flera triggers finns: storskalig behandling av känsliga uppgifter (hälso-/ICF-data), systematisk utvärdering av personliga aspekter (RIASEC, Big Five, jobbmatchning), automatiserat beslutsfattande med rättsverkan (yrkesrekommendationer) samt övervakning/spårning av arbetssökande.</w:t>
      </w:r>
    </w:p>
    <w:p>
      <w:pPr>
        <w:pStyle w:val="Heading3"/>
        <w:spacing w:before="200" w:after="120"/>
      </w:pPr>
      <w:r>
        <w:rPr>
          <w:rFonts w:ascii="Arial" w:cs="Arial" w:eastAsia="Arial" w:hAnsi="Arial"/>
          <w:b/>
          <w:bCs/>
          <w:color w:val="566573"/>
          <w:sz w:val="22"/>
          <w:szCs w:val="22"/>
        </w:rPr>
        <w:t xml:space="preserve">C. Tredjelandsöverföring utan dokumenterat skydd</w:t>
      </w:r>
    </w:p>
    <w:p>
      <w:pPr>
        <w:spacing w:after="120"/>
        <w:jc w:val="left"/>
      </w:pPr>
      <w:r>
        <w:rPr>
          <w:rFonts w:ascii="Arial" w:cs="Arial" w:eastAsia="Arial" w:hAnsi="Arial"/>
          <w:color w:val="333333"/>
          <w:sz w:val="22"/>
          <w:szCs w:val="22"/>
        </w:rPr>
        <w:t xml:space="preserve">CV-data och jobbeskrivningar skickas till OpenRouter (USA) utan att det finns dokumenterade standardavtalsklausuler (SCC), Transfer Impact Assessment (TIA) eller tekniska tilläggsåtgärder (t.ex. kryptering, pseudonymisering). Detta strider mot GDPR Art. 44–49 och Schrems II-domen.</w:t>
      </w:r>
    </w:p>
    <w:p>
      <w:pPr>
        <w:pStyle w:val="Heading2"/>
        <w:spacing w:before="280" w:after="160"/>
      </w:pPr>
      <w:r>
        <w:rPr>
          <w:rFonts w:ascii="Arial" w:cs="Arial" w:eastAsia="Arial" w:hAnsi="Arial"/>
          <w:b/>
          <w:bCs/>
          <w:color w:val="2E86C1"/>
          <w:sz w:val="26"/>
          <w:szCs w:val="26"/>
        </w:rPr>
        <w:t xml:space="preserve">4.2 Höga brister</w:t>
      </w:r>
    </w:p>
    <w:p>
      <w:pPr>
        <w:pStyle w:val="Heading3"/>
        <w:spacing w:before="200" w:after="120"/>
      </w:pPr>
      <w:r>
        <w:rPr>
          <w:rFonts w:ascii="Arial" w:cs="Arial" w:eastAsia="Arial" w:hAnsi="Arial"/>
          <w:b/>
          <w:bCs/>
          <w:color w:val="566573"/>
          <w:sz w:val="22"/>
          <w:szCs w:val="22"/>
        </w:rPr>
        <w:t xml:space="preserve">D. Personuppgiftsbiträdesavtal (PuB-avtal)</w:t>
      </w:r>
    </w:p>
    <w:p>
      <w:pPr>
        <w:spacing w:after="120"/>
        <w:jc w:val="left"/>
      </w:pPr>
      <w:r>
        <w:rPr>
          <w:rFonts w:ascii="Arial" w:cs="Arial" w:eastAsia="Arial" w:hAnsi="Arial"/>
          <w:color w:val="333333"/>
          <w:sz w:val="22"/>
          <w:szCs w:val="22"/>
        </w:rPr>
        <w:t xml:space="preserve">Avtal enligt Art. 28 behöver vara på plats med: Supabase (datalagring, auth), OpenRouter/OpenAI (AI-behandling), Sentry (felövervakning). Dessa avtal ska specificera behandlingens art, ändamål, typ av uppgifter, registrerade kategorier, biträdets skyldigheter och rättigheter.</w:t>
      </w:r>
    </w:p>
    <w:p>
      <w:pPr>
        <w:pStyle w:val="Heading3"/>
        <w:spacing w:before="200" w:after="120"/>
      </w:pPr>
      <w:r>
        <w:rPr>
          <w:rFonts w:ascii="Arial" w:cs="Arial" w:eastAsia="Arial" w:hAnsi="Arial"/>
          <w:b/>
          <w:bCs/>
          <w:color w:val="566573"/>
          <w:sz w:val="22"/>
          <w:szCs w:val="22"/>
        </w:rPr>
        <w:t xml:space="preserve">E. Registerförteckning (Art. 30)</w:t>
      </w:r>
    </w:p>
    <w:p>
      <w:pPr>
        <w:spacing w:after="120"/>
        <w:jc w:val="left"/>
      </w:pPr>
      <w:r>
        <w:rPr>
          <w:rFonts w:ascii="Arial" w:cs="Arial" w:eastAsia="Arial" w:hAnsi="Arial"/>
          <w:color w:val="333333"/>
          <w:sz w:val="22"/>
          <w:szCs w:val="22"/>
        </w:rPr>
        <w:t xml:space="preserve">En formell registerförteckning saknas. Den ska dokumentera alla behandlingsaktiviteter med ändamål, laglig grund, kategorier av registrerade och uppgifter, mottagare, överföringar till tredjeland, lagringstider och säkerhetsåtgärder.</w:t>
      </w:r>
    </w:p>
    <w:p>
      <w:pPr>
        <w:pStyle w:val="Heading3"/>
        <w:spacing w:before="200" w:after="120"/>
      </w:pPr>
      <w:r>
        <w:rPr>
          <w:rFonts w:ascii="Arial" w:cs="Arial" w:eastAsia="Arial" w:hAnsi="Arial"/>
          <w:b/>
          <w:bCs/>
          <w:color w:val="566573"/>
          <w:sz w:val="22"/>
          <w:szCs w:val="22"/>
        </w:rPr>
        <w:t xml:space="preserve">F. Informationsplikt och samtyckesgranularitet</w:t>
      </w:r>
    </w:p>
    <w:p>
      <w:pPr>
        <w:spacing w:after="120"/>
        <w:jc w:val="left"/>
      </w:pPr>
      <w:r>
        <w:rPr>
          <w:rFonts w:ascii="Arial" w:cs="Arial" w:eastAsia="Arial" w:hAnsi="Arial"/>
          <w:color w:val="333333"/>
          <w:sz w:val="22"/>
          <w:szCs w:val="22"/>
        </w:rPr>
        <w:t xml:space="preserve">Privacy.tsx innehåller en integritetspolicy, men den behöver uppdateras med: specifik information om ICF/hälsodata-behandling, detaljerade uppgifter om AI-behandling och vilka modeller som används, information om Sentry session replays, tydligare lagringstider per datakategori och kontaktuppgifter till IMY för klagomål.</w:t>
      </w:r>
    </w:p>
    <w:p>
      <w:pPr>
        <w:pStyle w:val="Heading2"/>
        <w:spacing w:before="280" w:after="160"/>
      </w:pPr>
      <w:r>
        <w:rPr>
          <w:rFonts w:ascii="Arial" w:cs="Arial" w:eastAsia="Arial" w:hAnsi="Arial"/>
          <w:b/>
          <w:bCs/>
          <w:color w:val="2E86C1"/>
          <w:sz w:val="26"/>
          <w:szCs w:val="26"/>
        </w:rPr>
        <w:t xml:space="preserve">4.3 Övriga brister</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Profilbilder lagras publikt</w:t>
      </w:r>
      <w:r>
        <w:rPr>
          <w:rFonts w:ascii="Arial" w:cs="Arial" w:eastAsia="Arial" w:hAnsi="Arial"/>
          <w:color w:val="333333"/>
          <w:sz w:val="22"/>
          <w:szCs w:val="22"/>
        </w:rPr>
        <w:t xml:space="preserve"> — cv-images bucket har public read, vilket innebär att alla bilder är åtkomliga utan autentisering</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AI-användningsloggar saknar retention</w:t>
      </w:r>
      <w:r>
        <w:rPr>
          <w:rFonts w:ascii="Arial" w:cs="Arial" w:eastAsia="Arial" w:hAnsi="Arial"/>
          <w:color w:val="333333"/>
          <w:sz w:val="22"/>
          <w:szCs w:val="22"/>
        </w:rPr>
        <w:t xml:space="preserve"> — ai_usage_logs har ingen TTL/cleanup</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Humör/dagbok saknar retention</w:t>
      </w:r>
      <w:r>
        <w:rPr>
          <w:rFonts w:ascii="Arial" w:cs="Arial" w:eastAsia="Arial" w:hAnsi="Arial"/>
          <w:color w:val="333333"/>
          <w:sz w:val="22"/>
          <w:szCs w:val="22"/>
        </w:rPr>
        <w:t xml:space="preserve"> — mood_logs och diary_entries lagras permanent</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Konsultåtkomst till känslig data</w:t>
      </w:r>
      <w:r>
        <w:rPr>
          <w:rFonts w:ascii="Arial" w:cs="Arial" w:eastAsia="Arial" w:hAnsi="Arial"/>
          <w:color w:val="333333"/>
          <w:sz w:val="22"/>
          <w:szCs w:val="22"/>
        </w:rPr>
        <w:t xml:space="preserve"> — konsulenter kan se ICF-data och humörloggar utan separat behörighetskontroll</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Incidenthanteringsplan</w:t>
      </w:r>
      <w:r>
        <w:rPr>
          <w:rFonts w:ascii="Arial" w:cs="Arial" w:eastAsia="Arial" w:hAnsi="Arial"/>
          <w:color w:val="333333"/>
          <w:sz w:val="22"/>
          <w:szCs w:val="22"/>
        </w:rPr>
        <w:t xml:space="preserve"> — SECURITY.md nämner incident response men ingen formell plan med 72-timmars IMY-anmälan finns dokumenterad</w:t>
      </w:r>
    </w:p>
    <w:p>
      <w:pPr>
        <w:pBdr>
          <w:bottom w:val="single" w:color="D5D8DC" w:sz="4" w:space="1"/>
        </w:pBdr>
        <w:spacing w:after="200"/>
      </w:pPr>
    </w:p>
    <w:p>
      <w:pPr>
        <w:pStyle w:val="Heading1"/>
        <w:spacing w:before="360" w:after="200"/>
      </w:pPr>
      <w:r>
        <w:rPr>
          <w:rFonts w:ascii="Arial" w:cs="Arial" w:eastAsia="Arial" w:hAnsi="Arial"/>
          <w:b/>
          <w:bCs/>
          <w:color w:val="1B4F72"/>
          <w:sz w:val="32"/>
          <w:szCs w:val="32"/>
        </w:rPr>
        <w:t xml:space="preserve">5. Åtgärdsplan med tidsplan</w:t>
      </w:r>
    </w:p>
    <w:p>
      <w:pPr>
        <w:spacing w:after="120"/>
        <w:jc w:val="left"/>
      </w:pPr>
      <w:r>
        <w:rPr>
          <w:rFonts w:ascii="Arial" w:cs="Arial" w:eastAsia="Arial" w:hAnsi="Arial"/>
          <w:color w:val="333333"/>
          <w:sz w:val="22"/>
          <w:szCs w:val="22"/>
        </w:rPr>
        <w:t xml:space="preserve">Nedan presenteras alla åtgärder uppdelade i fyra faser. Varje fas har en tidsram, och åtgärderna är prioriterade efter juridisk risk.</w:t>
      </w:r>
    </w:p>
    <w:p>
      <w:pPr>
        <w:pStyle w:val="Heading2"/>
        <w:spacing w:before="280" w:after="160"/>
      </w:pPr>
      <w:r>
        <w:rPr>
          <w:rFonts w:ascii="Arial" w:cs="Arial" w:eastAsia="Arial" w:hAnsi="Arial"/>
          <w:b/>
          <w:bCs/>
          <w:color w:val="2E86C1"/>
          <w:sz w:val="26"/>
          <w:szCs w:val="26"/>
        </w:rPr>
        <w:t xml:space="preserve">Fas 1: Akuta åtgärder (0–4 veckor)</w:t>
      </w:r>
    </w:p>
    <w:p>
      <w:pPr>
        <w:spacing w:after="120"/>
        <w:jc w:val="left"/>
      </w:pPr>
      <w:r>
        <w:rPr>
          <w:rFonts w:ascii="Arial" w:cs="Arial" w:eastAsia="Arial" w:hAnsi="Arial"/>
          <w:color w:val="922B21"/>
          <w:sz w:val="22"/>
          <w:szCs w:val="22"/>
        </w:rPr>
        <w:t xml:space="preserve">Dessa åtgärder adresserar de mest kritiska juridiska bristerna och ska prioriteras omedelbart.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100"/>
        <w:gridCol w:w="110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Åtgärd</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Ansvarig</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Genomför DPIA för hela tjänsten (Art. 35)</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DPO + Teknik</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2</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Kritisk</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Implementera uttryckligt samtycke för ICF-/hälsodata (Art. 9)</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2</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Kritisk</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Separera samtycke för humör/dagbok som hälsodata</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2</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Kritisk</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Upprätta SCC + TIA för OpenRouter/OpenAI</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Juridik + DPO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3</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Kritisk</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Teckna PuB-avtal med Supabase</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Juridik</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3</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Okänt</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Teckna PuB-avtal med OpenRouter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Juridik</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3</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Okänt</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Teckna PuB-avtal med Sentry</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Juridik</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4</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Okänt</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Upprätta registerförteckning (Art. 30)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DPO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4</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bl>
    <w:p>
      <w:pPr>
        <w:spacing w:after="200"/>
      </w:pPr>
    </w:p>
    <w:p>
      <w:pPr>
        <w:pStyle w:val="Heading2"/>
        <w:spacing w:before="280" w:after="160"/>
      </w:pPr>
      <w:r>
        <w:rPr>
          <w:rFonts w:ascii="Arial" w:cs="Arial" w:eastAsia="Arial" w:hAnsi="Arial"/>
          <w:b/>
          <w:bCs/>
          <w:color w:val="2E86C1"/>
          <w:sz w:val="26"/>
          <w:szCs w:val="26"/>
        </w:rPr>
        <w:t xml:space="preserve">Fas 2: Informationsplikt och rättigheter (4–8 veckor)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100"/>
        <w:gridCol w:w="110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Åtgärd</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Ansvarig</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Uppdatera integritetspolicy med ICF/hälsodata-info</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Juridik + UX</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5</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Lägg till detaljerad AI-information i policyn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Juridik</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5</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Dokumentera lagringstider per datakategori</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DPO + Teknik</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5</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Skapa rätt till tillgång-flöde (Art. 15)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6</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Implementera rätt till begränsning (Art. 18)</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6</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Lägg till IMY-klagomålsrätt i alla samtyckestexter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UX + Juridik</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6</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Verifiera dataexport (Art. 20) — alla datakategorier</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7</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Säkerställ att samtycke kan återkallas lika enkelt som det ges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UX</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7</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bl>
    <w:p>
      <w:pPr>
        <w:spacing w:after="200"/>
      </w:pPr>
    </w:p>
    <w:p>
      <w:pPr>
        <w:pStyle w:val="Heading2"/>
        <w:spacing w:before="280" w:after="160"/>
      </w:pPr>
      <w:r>
        <w:rPr>
          <w:rFonts w:ascii="Arial" w:cs="Arial" w:eastAsia="Arial" w:hAnsi="Arial"/>
          <w:b/>
          <w:bCs/>
          <w:color w:val="2E86C1"/>
          <w:sz w:val="26"/>
          <w:szCs w:val="26"/>
        </w:rPr>
        <w:t xml:space="preserve">Fas 3: Tekniska åtgärder (8–12 veckor)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100"/>
        <w:gridCol w:w="110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Åtgärd</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Ansvarig</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Gör cv-images bucket privat + autentiserad åtkomst</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9</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Lägg till retention policy för mood_logs (t.ex. 1 år)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9</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Lägg till retention policy för ai_usage_logs</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9</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Separera konsultbehörighet för ICF/hälsodata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10</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Pseudonymisera data innan AI-överföring</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10</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Verifiera Supabase-region (EU) + kryptering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Teknik</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10</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Implementera automatisk Sentry session replay-opt-in</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Utveckling</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11</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Skapa formell incidenthanteringsplan (72h IMY-rapport)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DPO + Teknik</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12</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bl>
    <w:p>
      <w:pPr>
        <w:spacing w:after="200"/>
      </w:pPr>
    </w:p>
    <w:p>
      <w:pPr>
        <w:pStyle w:val="Heading2"/>
        <w:spacing w:before="280" w:after="160"/>
      </w:pPr>
      <w:r>
        <w:rPr>
          <w:rFonts w:ascii="Arial" w:cs="Arial" w:eastAsia="Arial" w:hAnsi="Arial"/>
          <w:b/>
          <w:bCs/>
          <w:color w:val="2E86C1"/>
          <w:sz w:val="26"/>
          <w:szCs w:val="26"/>
        </w:rPr>
        <w:t xml:space="preserve">Fas 4: Löpande efterlevnad (12+ veckor)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100"/>
        <w:gridCol w:w="110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Åtgärd</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Ansvarig</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Prioritet</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Klassificera AI-funktioner enligt AI Act riskramverk</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DPO + Juridik</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14</w:t>
            </w:r>
          </w:p>
        </w:tc>
        <w:tc>
          <w:tcPr>
            <w:tcW w:type="dxa" w:w="11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Hög</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Genomför årlig DPIA-revidering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DPO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Löpande</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Kvartalsvis granskning av PuB-avtal</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Juridik</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Löpande</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 utbildning i dataskydd för konsulenter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DPO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Vecka 14</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Penetrationstest av applikationen</w:t>
            </w:r>
          </w:p>
        </w:tc>
        <w:tc>
          <w:tcPr>
            <w:tcW w:type="dxa" w:w="1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Teknik</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Vecka 16</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Dokumentera övervakning och compliance-rapportering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DPO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Löpande</w:t>
            </w:r>
          </w:p>
        </w:tc>
        <w:tc>
          <w:tcPr>
            <w:tcW w:type="dxa" w:w="1100"/>
            <w:tcBorders>
              <w:top w:val="single" w:color="BDC3C7" w:sz="1"/>
              <w:left w:val="single" w:color="BDC3C7" w:sz="1"/>
              <w:bottom w:val="single" w:color="BDC3C7" w:sz="1"/>
              <w:right w:val="single" w:color="BDC3C7" w:sz="1"/>
            </w:tcBorders>
            <w:shd w:fill="D4E6F1"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Medel</w:t>
            </w:r>
          </w:p>
        </w:tc>
        <w:tc>
          <w:tcPr>
            <w:tcW w:type="dxa" w:w="11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bl>
    <w:p>
      <w:pPr>
        <w:pBdr>
          <w:bottom w:val="single" w:color="D5D8DC" w:sz="4" w:space="1"/>
        </w:pBdr>
        <w:spacing w:after="200"/>
      </w:pPr>
    </w:p>
    <w:p>
      <w:pPr>
        <w:pStyle w:val="Heading1"/>
        <w:spacing w:before="360" w:after="200"/>
      </w:pPr>
      <w:r>
        <w:rPr>
          <w:rFonts w:ascii="Arial" w:cs="Arial" w:eastAsia="Arial" w:hAnsi="Arial"/>
          <w:b/>
          <w:bCs/>
          <w:color w:val="1B4F72"/>
          <w:sz w:val="32"/>
          <w:szCs w:val="32"/>
        </w:rPr>
        <w:t xml:space="preserve">6. DPIA — Vad som ska ingå</w:t>
      </w:r>
    </w:p>
    <w:p>
      <w:pPr>
        <w:spacing w:after="120"/>
        <w:jc w:val="left"/>
      </w:pPr>
      <w:r>
        <w:rPr>
          <w:rFonts w:ascii="Arial" w:cs="Arial" w:eastAsia="Arial" w:hAnsi="Arial"/>
          <w:color w:val="333333"/>
          <w:sz w:val="22"/>
          <w:szCs w:val="22"/>
        </w:rPr>
        <w:t xml:space="preserve">Dataskyddskonsekvensbedömningen (DPIA) är det viktigaste dokumentet att producera. Nedan följer en översikt av vad den ska innehålla baserat på Art. 35 och IMY:s vägledning.</w:t>
      </w:r>
    </w:p>
    <w:p>
      <w:pPr>
        <w:pStyle w:val="ListParagraph"/>
        <w:numPr>
          <w:ilvl w:val="0"/>
          <w:numId w:val="3"/>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Systematisk beskrivning</w:t>
      </w:r>
      <w:r>
        <w:rPr>
          <w:rFonts w:ascii="Arial" w:cs="Arial" w:eastAsia="Arial" w:hAnsi="Arial"/>
          <w:color w:val="333333"/>
          <w:sz w:val="22"/>
          <w:szCs w:val="22"/>
        </w:rPr>
        <w:t xml:space="preserve"> av behandlingen: ändamål, typ av uppgifter, registrerade, dataflöden</w:t>
      </w:r>
    </w:p>
    <w:p>
      <w:pPr>
        <w:pStyle w:val="ListParagraph"/>
        <w:numPr>
          <w:ilvl w:val="0"/>
          <w:numId w:val="3"/>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Bedömning av nödvändighet och proportionalitet</w:t>
      </w:r>
      <w:r>
        <w:rPr>
          <w:rFonts w:ascii="Arial" w:cs="Arial" w:eastAsia="Arial" w:hAnsi="Arial"/>
          <w:color w:val="333333"/>
          <w:sz w:val="22"/>
          <w:szCs w:val="22"/>
        </w:rPr>
        <w:t xml:space="preserve">: varför varje datainsamling behövs, om det finns mindre integritetskränkande alternativ</w:t>
      </w:r>
    </w:p>
    <w:p>
      <w:pPr>
        <w:pStyle w:val="ListParagraph"/>
        <w:numPr>
          <w:ilvl w:val="0"/>
          <w:numId w:val="3"/>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Riskbedömning</w:t>
      </w:r>
      <w:r>
        <w:rPr>
          <w:rFonts w:ascii="Arial" w:cs="Arial" w:eastAsia="Arial" w:hAnsi="Arial"/>
          <w:color w:val="333333"/>
          <w:sz w:val="22"/>
          <w:szCs w:val="22"/>
        </w:rPr>
        <w:t xml:space="preserve"> för registrerades rättigheter: sannolikhet och allvarlighetsgrad för risker vid dataintrång, obehörig åtkomst, felaktig profilering</w:t>
      </w:r>
    </w:p>
    <w:p>
      <w:pPr>
        <w:pStyle w:val="ListParagraph"/>
        <w:numPr>
          <w:ilvl w:val="0"/>
          <w:numId w:val="3"/>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Åtgärder för att hantera risker</w:t>
      </w:r>
      <w:r>
        <w:rPr>
          <w:rFonts w:ascii="Arial" w:cs="Arial" w:eastAsia="Arial" w:hAnsi="Arial"/>
          <w:color w:val="333333"/>
          <w:sz w:val="22"/>
          <w:szCs w:val="22"/>
        </w:rPr>
        <w:t xml:space="preserve">: tekniska och organisatoriska skyddsåtgärder som redan finns och som planeras</w:t>
      </w:r>
    </w:p>
    <w:p>
      <w:pPr>
        <w:pStyle w:val="ListParagraph"/>
        <w:numPr>
          <w:ilvl w:val="0"/>
          <w:numId w:val="3"/>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Samråd med registrerade</w:t>
      </w:r>
      <w:r>
        <w:rPr>
          <w:rFonts w:ascii="Arial" w:cs="Arial" w:eastAsia="Arial" w:hAnsi="Arial"/>
          <w:color w:val="333333"/>
          <w:sz w:val="22"/>
          <w:szCs w:val="22"/>
        </w:rPr>
        <w:t xml:space="preserve"> eller deras företrädare (rekommenderat)</w:t>
      </w:r>
    </w:p>
    <w:p>
      <w:pPr>
        <w:pStyle w:val="ListParagraph"/>
        <w:numPr>
          <w:ilvl w:val="0"/>
          <w:numId w:val="3"/>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Samråd med DPO</w:t>
      </w:r>
      <w:r>
        <w:rPr>
          <w:rFonts w:ascii="Arial" w:cs="Arial" w:eastAsia="Arial" w:hAnsi="Arial"/>
          <w:color w:val="333333"/>
          <w:sz w:val="22"/>
          <w:szCs w:val="22"/>
        </w:rPr>
        <w:t xml:space="preserve"> (obligatoriskt)</w:t>
      </w:r>
    </w:p>
    <w:p>
      <w:pPr>
        <w:spacing w:after="100"/>
      </w:pPr>
    </w:p>
    <w:p>
      <w:pPr>
        <w:spacing w:after="12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Behandlingar som måste ingå i DPIA:n:</w:t>
      </w:r>
      <w:r>
        <w:rPr>
          <w:rFonts w:ascii="Arial" w:cs="Arial" w:eastAsia="Arial" w:hAnsi="Arial"/>
          <w:color w:val="333333"/>
          <w:sz w:val="22"/>
          <w:szCs w:val="22"/>
        </w:rPr>
        <w:t xml:space="preserve"/>
      </w:r>
    </w:p>
    <w:p>
      <w:pPr>
        <w:pStyle w:val="ListParagraph"/>
        <w:numPr>
          <w:ilvl w:val="0"/>
          <w:numId w:val="2"/>
        </w:numPr>
        <w:spacing w:after="60"/>
      </w:pPr>
      <w:r>
        <w:rPr>
          <w:rFonts w:ascii="Arial" w:cs="Arial" w:eastAsia="Arial" w:hAnsi="Arial"/>
          <w:color w:val="333333"/>
          <w:sz w:val="22"/>
          <w:szCs w:val="22"/>
        </w:rPr>
        <w:t xml:space="preserve">ICF-bedömning (hälsodata) — insamling, lagring, visning för konsulenter</w:t>
      </w:r>
    </w:p>
    <w:p>
      <w:pPr>
        <w:pStyle w:val="ListParagraph"/>
        <w:numPr>
          <w:ilvl w:val="0"/>
          <w:numId w:val="2"/>
        </w:numPr>
        <w:spacing w:after="60"/>
      </w:pPr>
      <w:r>
        <w:rPr>
          <w:rFonts w:ascii="Arial" w:cs="Arial" w:eastAsia="Arial" w:hAnsi="Arial"/>
          <w:color w:val="333333"/>
          <w:sz w:val="22"/>
          <w:szCs w:val="22"/>
        </w:rPr>
        <w:t xml:space="preserve">RIASEC/Big Five personlighetstest — profilering och automatiserade yrkesrekommendationer</w:t>
      </w:r>
    </w:p>
    <w:p>
      <w:pPr>
        <w:pStyle w:val="ListParagraph"/>
        <w:numPr>
          <w:ilvl w:val="0"/>
          <w:numId w:val="2"/>
        </w:numPr>
        <w:spacing w:after="60"/>
      </w:pPr>
      <w:r>
        <w:rPr>
          <w:rFonts w:ascii="Arial" w:cs="Arial" w:eastAsia="Arial" w:hAnsi="Arial"/>
          <w:color w:val="333333"/>
          <w:sz w:val="22"/>
          <w:szCs w:val="22"/>
        </w:rPr>
        <w:t xml:space="preserve">Humör-/dagboksloggning — hälsorelaterad data med daglig spårning</w:t>
      </w:r>
    </w:p>
    <w:p>
      <w:pPr>
        <w:pStyle w:val="ListParagraph"/>
        <w:numPr>
          <w:ilvl w:val="0"/>
          <w:numId w:val="2"/>
        </w:numPr>
        <w:spacing w:after="60"/>
      </w:pPr>
      <w:r>
        <w:rPr>
          <w:rFonts w:ascii="Arial" w:cs="Arial" w:eastAsia="Arial" w:hAnsi="Arial"/>
          <w:color w:val="333333"/>
          <w:sz w:val="22"/>
          <w:szCs w:val="22"/>
        </w:rPr>
        <w:t xml:space="preserve">AI-behandling via OpenRouter — tredjelandsöverföring av persondata</w:t>
      </w:r>
    </w:p>
    <w:p>
      <w:pPr>
        <w:pStyle w:val="ListParagraph"/>
        <w:numPr>
          <w:ilvl w:val="0"/>
          <w:numId w:val="2"/>
        </w:numPr>
        <w:spacing w:after="60"/>
      </w:pPr>
      <w:r>
        <w:rPr>
          <w:rFonts w:ascii="Arial" w:cs="Arial" w:eastAsia="Arial" w:hAnsi="Arial"/>
          <w:color w:val="333333"/>
          <w:sz w:val="22"/>
          <w:szCs w:val="22"/>
        </w:rPr>
        <w:t xml:space="preserve">Konsultåtkomst till deltagardata — åtkomst till känslig information</w:t>
      </w:r>
    </w:p>
    <w:p>
      <w:pPr>
        <w:pStyle w:val="ListParagraph"/>
        <w:numPr>
          <w:ilvl w:val="0"/>
          <w:numId w:val="2"/>
        </w:numPr>
        <w:spacing w:after="60"/>
      </w:pPr>
      <w:r>
        <w:rPr>
          <w:rFonts w:ascii="Arial" w:cs="Arial" w:eastAsia="Arial" w:hAnsi="Arial"/>
          <w:color w:val="333333"/>
          <w:sz w:val="22"/>
          <w:szCs w:val="22"/>
        </w:rPr>
        <w:t xml:space="preserve">Sentry session replay — inspelning av användarinteraktioner</w:t>
      </w:r>
    </w:p>
    <w:p>
      <w:pPr>
        <w:pBdr>
          <w:bottom w:val="single" w:color="D5D8DC" w:sz="4" w:space="1"/>
        </w:pBdr>
        <w:spacing w:after="200"/>
      </w:pPr>
    </w:p>
    <w:p>
      <w:pPr>
        <w:pStyle w:val="Heading1"/>
        <w:spacing w:before="360" w:after="200"/>
      </w:pPr>
      <w:r>
        <w:rPr>
          <w:rFonts w:ascii="Arial" w:cs="Arial" w:eastAsia="Arial" w:hAnsi="Arial"/>
          <w:b/>
          <w:bCs/>
          <w:color w:val="1B4F72"/>
          <w:sz w:val="32"/>
          <w:szCs w:val="32"/>
        </w:rPr>
        <w:t xml:space="preserve">7. Tekniska rekommendationer</w:t>
      </w:r>
    </w:p>
    <w:p>
      <w:pPr>
        <w:pStyle w:val="Heading2"/>
        <w:spacing w:before="280" w:after="160"/>
      </w:pPr>
      <w:r>
        <w:rPr>
          <w:rFonts w:ascii="Arial" w:cs="Arial" w:eastAsia="Arial" w:hAnsi="Arial"/>
          <w:b/>
          <w:bCs/>
          <w:color w:val="2E86C1"/>
          <w:sz w:val="26"/>
          <w:szCs w:val="26"/>
        </w:rPr>
        <w:t xml:space="preserve">7.1 ICF-data: separat samtycke</w:t>
      </w:r>
    </w:p>
    <w:p>
      <w:pPr>
        <w:spacing w:after="120"/>
        <w:jc w:val="left"/>
      </w:pPr>
      <w:r>
        <w:rPr>
          <w:rFonts w:ascii="Arial" w:cs="Arial" w:eastAsia="Arial" w:hAnsi="Arial"/>
          <w:color w:val="333333"/>
          <w:sz w:val="22"/>
          <w:szCs w:val="22"/>
        </w:rPr>
        <w:t xml:space="preserve">Skapa ett dedikerat samtyckesflöde innan ICF-sektionen i intresseguiden. Samtycket ska: vara separerat från övriga samtycken, tydligt förklara att det rör hälsodata, informera om vem som har åtkomst (inklusive konsulenter), vara frivilligt med möjlighet att använda intresseguiden utan ICF-delen, och kunna återkallas med omedelbar verkan.</w:t>
      </w:r>
    </w:p>
    <w:p>
      <w:pPr>
        <w:pStyle w:val="Heading2"/>
        <w:spacing w:before="280" w:after="160"/>
      </w:pPr>
      <w:r>
        <w:rPr>
          <w:rFonts w:ascii="Arial" w:cs="Arial" w:eastAsia="Arial" w:hAnsi="Arial"/>
          <w:b/>
          <w:bCs/>
          <w:color w:val="2E86C1"/>
          <w:sz w:val="26"/>
          <w:szCs w:val="26"/>
        </w:rPr>
        <w:t xml:space="preserve">7.2 AI-dataflöde: minimering och pseudonymisering</w:t>
      </w:r>
    </w:p>
    <w:p>
      <w:pPr>
        <w:spacing w:after="120"/>
        <w:jc w:val="left"/>
      </w:pPr>
      <w:r>
        <w:rPr>
          <w:rFonts w:ascii="Arial" w:cs="Arial" w:eastAsia="Arial" w:hAnsi="Arial"/>
          <w:color w:val="333333"/>
          <w:sz w:val="22"/>
          <w:szCs w:val="22"/>
        </w:rPr>
        <w:t xml:space="preserve">Före överföring till OpenRouter bör personuppgifter minimeras: ta bort namn, e-post och telefon från AI-prompter, använd enbart relevant CV-text (inte hela profilen), implementera en proxy som strippar identifierare och logga vilken data som skickats (för registrerades rätt till tillgång).</w:t>
      </w:r>
    </w:p>
    <w:p>
      <w:pPr>
        <w:pStyle w:val="Heading2"/>
        <w:spacing w:before="280" w:after="160"/>
      </w:pPr>
      <w:r>
        <w:rPr>
          <w:rFonts w:ascii="Arial" w:cs="Arial" w:eastAsia="Arial" w:hAnsi="Arial"/>
          <w:b/>
          <w:bCs/>
          <w:color w:val="2E86C1"/>
          <w:sz w:val="26"/>
          <w:szCs w:val="26"/>
        </w:rPr>
        <w:t xml:space="preserve">7.3 Profilbilder: autentiserad åtkomst</w:t>
      </w:r>
    </w:p>
    <w:p>
      <w:pPr>
        <w:spacing w:after="120"/>
        <w:jc w:val="left"/>
      </w:pPr>
      <w:r>
        <w:rPr>
          <w:rFonts w:ascii="Arial" w:cs="Arial" w:eastAsia="Arial" w:hAnsi="Arial"/>
          <w:color w:val="333333"/>
          <w:sz w:val="22"/>
          <w:szCs w:val="22"/>
        </w:rPr>
        <w:t xml:space="preserve">Ändra cv-images bucket från public till private. Implementera signerade URL:er med kort TTL (t.ex. 1 timme) för bildvisning. Detta förhindrar att profilbilder är tillgängliga utan inloggning.</w:t>
      </w:r>
    </w:p>
    <w:p>
      <w:pPr>
        <w:pStyle w:val="Heading2"/>
        <w:spacing w:before="280" w:after="160"/>
      </w:pPr>
      <w:r>
        <w:rPr>
          <w:rFonts w:ascii="Arial" w:cs="Arial" w:eastAsia="Arial" w:hAnsi="Arial"/>
          <w:b/>
          <w:bCs/>
          <w:color w:val="2E86C1"/>
          <w:sz w:val="26"/>
          <w:szCs w:val="26"/>
        </w:rPr>
        <w:t xml:space="preserve">7.4 Konsultåtkomst: granulär behörighet</w:t>
      </w:r>
    </w:p>
    <w:p>
      <w:pPr>
        <w:spacing w:after="120"/>
        <w:jc w:val="left"/>
      </w:pPr>
      <w:r>
        <w:rPr>
          <w:rFonts w:ascii="Arial" w:cs="Arial" w:eastAsia="Arial" w:hAnsi="Arial"/>
          <w:color w:val="333333"/>
          <w:sz w:val="22"/>
          <w:szCs w:val="22"/>
        </w:rPr>
        <w:t xml:space="preserve">Implementera separata RLS-policies för känslig data: kräv explicit deltagargodkännande för konsultens åtkomst till ICF-data och humörloggar, skapa en inställning där deltagaren väljer vilka kategorier konsulenten får se, och logga alla konsultåtkomster till känslig data i admin_audit_log.</w:t>
      </w:r>
    </w:p>
    <w:p>
      <w:pPr>
        <w:pStyle w:val="Heading2"/>
        <w:spacing w:before="280" w:after="160"/>
      </w:pPr>
      <w:r>
        <w:rPr>
          <w:rFonts w:ascii="Arial" w:cs="Arial" w:eastAsia="Arial" w:hAnsi="Arial"/>
          <w:b/>
          <w:bCs/>
          <w:color w:val="2E86C1"/>
          <w:sz w:val="26"/>
          <w:szCs w:val="26"/>
        </w:rPr>
        <w:t xml:space="preserve">7.5 Datalagring: retention policies</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mood_logs / diary_entries</w:t>
      </w:r>
      <w:r>
        <w:rPr>
          <w:rFonts w:ascii="Arial" w:cs="Arial" w:eastAsia="Arial" w:hAnsi="Arial"/>
          <w:color w:val="333333"/>
          <w:sz w:val="22"/>
          <w:szCs w:val="22"/>
        </w:rPr>
        <w:t xml:space="preserve">: max 1 år, med möjlighet till export före radering</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ai_usage_logs</w:t>
      </w:r>
      <w:r>
        <w:rPr>
          <w:rFonts w:ascii="Arial" w:cs="Arial" w:eastAsia="Arial" w:hAnsi="Arial"/>
          <w:color w:val="333333"/>
          <w:sz w:val="22"/>
          <w:szCs w:val="22"/>
        </w:rPr>
        <w:t xml:space="preserve">: max 6 månader</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Sentry session replays</w:t>
      </w:r>
      <w:r>
        <w:rPr>
          <w:rFonts w:ascii="Arial" w:cs="Arial" w:eastAsia="Arial" w:hAnsi="Arial"/>
          <w:color w:val="333333"/>
          <w:sz w:val="22"/>
          <w:szCs w:val="22"/>
        </w:rPr>
        <w:t xml:space="preserve">: verifiera att Sentry:s retention är max 30 dagar</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consent_history</w:t>
      </w:r>
      <w:r>
        <w:rPr>
          <w:rFonts w:ascii="Arial" w:cs="Arial" w:eastAsia="Arial" w:hAnsi="Arial"/>
          <w:color w:val="333333"/>
          <w:sz w:val="22"/>
          <w:szCs w:val="22"/>
        </w:rPr>
        <w:t xml:space="preserve">: permanent (lagkrav för spårbarhet)</w:t>
      </w:r>
    </w:p>
    <w:p>
      <w:pPr>
        <w:pStyle w:val="ListParagraph"/>
        <w:numPr>
          <w:ilvl w:val="0"/>
          <w:numId w:val="2"/>
        </w:numPr>
        <w:spacing w:after="6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admin_audit_log</w:t>
      </w:r>
      <w:r>
        <w:rPr>
          <w:rFonts w:ascii="Arial" w:cs="Arial" w:eastAsia="Arial" w:hAnsi="Arial"/>
          <w:color w:val="333333"/>
          <w:sz w:val="22"/>
          <w:szCs w:val="22"/>
        </w:rPr>
        <w:t xml:space="preserve">: permanent (lagkrav)</w:t>
      </w:r>
    </w:p>
    <w:p>
      <w:pPr>
        <w:pBdr>
          <w:bottom w:val="single" w:color="D5D8DC" w:sz="4" w:space="1"/>
        </w:pBdr>
        <w:spacing w:after="200"/>
      </w:pPr>
    </w:p>
    <w:p>
      <w:pPr>
        <w:pStyle w:val="Heading1"/>
        <w:spacing w:before="360" w:after="200"/>
      </w:pPr>
      <w:r>
        <w:rPr>
          <w:rFonts w:ascii="Arial" w:cs="Arial" w:eastAsia="Arial" w:hAnsi="Arial"/>
          <w:b/>
          <w:bCs/>
          <w:color w:val="1B4F72"/>
          <w:sz w:val="32"/>
          <w:szCs w:val="32"/>
        </w:rPr>
        <w:t xml:space="preserve">8. Sammanfattande checklista</w:t>
      </w:r>
    </w:p>
    <w:p>
      <w:pPr>
        <w:spacing w:after="120"/>
        <w:jc w:val="left"/>
      </w:pPr>
      <w:r>
        <w:rPr>
          <w:rFonts w:ascii="Arial" w:cs="Arial" w:eastAsia="Arial" w:hAnsi="Arial"/>
          <w:color w:val="333333"/>
          <w:sz w:val="22"/>
          <w:szCs w:val="22"/>
        </w:rPr>
        <w:t xml:space="preserve">Använd denna checklista för att spåra framstegen mot full regelefterföljnad. Markera varje punkt när den är slutförd.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Nr</w:t>
            </w:r>
          </w:p>
        </w:tc>
        <w:tc>
          <w:tcPr>
            <w:tcW w:type="dxa" w:w="6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Krav</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DPIA genomförd och dokumenterad</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Uttryckligt samtycke för ICF/hälsodata</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Uttryckligt samtycke för humör/dagbok</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SCC + TIA för OpenRouter</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PuB-avtal Supabase</w:t>
            </w:r>
          </w:p>
        </w:tc>
        <w:tc>
          <w:tcPr>
            <w:tcW w:type="dxa" w:w="22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Okänt</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PuB-avtal OpenRouter</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PuB-avtal Sentry</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Registerförteckning (Art. 30)</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Integritetspolicy uppdaterad</w:t>
            </w:r>
          </w:p>
        </w:tc>
        <w:tc>
          <w:tcPr>
            <w:tcW w:type="dxa" w:w="22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Cookie-samtycke</w:t>
            </w:r>
          </w:p>
        </w:tc>
        <w:tc>
          <w:tcPr>
            <w:tcW w:type="dxa" w:w="22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Klart</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Rätt till radering</w:t>
            </w:r>
          </w:p>
        </w:tc>
        <w:tc>
          <w:tcPr>
            <w:tcW w:type="dxa" w:w="22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Klart</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Rätt till dataexport</w:t>
            </w:r>
          </w:p>
        </w:tc>
        <w:tc>
          <w:tcPr>
            <w:tcW w:type="dxa" w:w="22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Klart</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Rätt till tillgång (Art. 15)</w:t>
            </w:r>
          </w:p>
        </w:tc>
        <w:tc>
          <w:tcPr>
            <w:tcW w:type="dxa" w:w="22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Rätt till begränsning (Art. 18)</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cv-images privat bucket</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Retention policies alla tabeller</w:t>
            </w:r>
          </w:p>
        </w:tc>
        <w:tc>
          <w:tcPr>
            <w:tcW w:type="dxa" w:w="2200"/>
            <w:tcBorders>
              <w:top w:val="single" w:color="BDC3C7" w:sz="1"/>
              <w:left w:val="single" w:color="BDC3C7" w:sz="1"/>
              <w:bottom w:val="single" w:color="BDC3C7" w:sz="1"/>
              <w:right w:val="single" w:color="BDC3C7" w:sz="1"/>
            </w:tcBorders>
            <w:shd w:fill="FAD7A0" w:val="clear"/>
            <w:tcMar>
              <w:top w:type="dxa" w:w="80"/>
              <w:left w:type="dxa" w:w="120"/>
              <w:bottom w:type="dxa" w:w="80"/>
              <w:right w:type="dxa" w:w="120"/>
            </w:tcMar>
          </w:tcPr>
          <w:p>
            <w:pPr>
              <w:jc w:val="center"/>
            </w:pPr>
            <w:r>
              <w:rPr>
                <w:rFonts w:ascii="Arial" w:cs="Arial" w:eastAsia="Arial" w:hAnsi="Arial"/>
                <w:b/>
                <w:bCs/>
                <w:color w:val="B9770E"/>
                <w:sz w:val="18"/>
                <w:szCs w:val="18"/>
              </w:rPr>
              <w:t xml:space="preserve">Delvis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Konsult-behörighetskontroll känslig data</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AI-data pseudonymisering</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19</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Incidenthanteringsplan (72h IMY)</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6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Act-klassificering</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21</w:t>
            </w:r>
          </w:p>
        </w:tc>
        <w:tc>
          <w:tcPr>
            <w:tcW w:type="dxa" w:w="6226"/>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Intern dataskyddsutbildning</w:t>
            </w:r>
          </w:p>
        </w:tc>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922B21"/>
                <w:sz w:val="18"/>
                <w:szCs w:val="18"/>
              </w:rPr>
              <w:t xml:space="preserve">Saknas</w:t>
            </w:r>
          </w:p>
        </w:tc>
      </w:tr>
    </w:tbl>
    <w:p>
      <w:pPr>
        <w:pBdr>
          <w:bottom w:val="single" w:color="D5D8DC" w:sz="4" w:space="1"/>
        </w:pBdr>
        <w:spacing w:after="200"/>
      </w:pPr>
    </w:p>
    <w:p>
      <w:pPr>
        <w:pStyle w:val="Heading1"/>
        <w:spacing w:before="360" w:after="200"/>
      </w:pPr>
      <w:r>
        <w:rPr>
          <w:rFonts w:ascii="Arial" w:cs="Arial" w:eastAsia="Arial" w:hAnsi="Arial"/>
          <w:b/>
          <w:bCs/>
          <w:color w:val="1B4F72"/>
          <w:sz w:val="32"/>
          <w:szCs w:val="32"/>
        </w:rPr>
        <w:t xml:space="preserve">9. Kontakter och resurser</w:t>
      </w:r>
    </w:p>
    <w:p>
      <w:pPr>
        <w:spacing w:after="12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Interna kontakter:</w:t>
      </w:r>
      <w:r>
        <w:rPr>
          <w:rFonts w:ascii="Arial" w:cs="Arial" w:eastAsia="Arial" w:hAnsi="Arial"/>
          <w:color w:val="333333"/>
          <w:sz w:val="22"/>
          <w:szCs w:val="22"/>
        </w:rPr>
        <w:t xml:space="preserve"/>
      </w:r>
    </w:p>
    <w:p>
      <w:pPr>
        <w:pStyle w:val="ListParagraph"/>
        <w:numPr>
          <w:ilvl w:val="0"/>
          <w:numId w:val="2"/>
        </w:numPr>
        <w:spacing w:after="60"/>
      </w:pPr>
      <w:r>
        <w:rPr>
          <w:rFonts w:ascii="Arial" w:cs="Arial" w:eastAsia="Arial" w:hAnsi="Arial"/>
          <w:color w:val="333333"/>
          <w:sz w:val="22"/>
          <w:szCs w:val="22"/>
        </w:rPr>
        <w:t xml:space="preserve">Dataskyddsombud (DPO): dpo@jobin.se</w:t>
      </w:r>
    </w:p>
    <w:p>
      <w:pPr>
        <w:pStyle w:val="ListParagraph"/>
        <w:numPr>
          <w:ilvl w:val="0"/>
          <w:numId w:val="2"/>
        </w:numPr>
        <w:spacing w:after="60"/>
      </w:pPr>
      <w:r>
        <w:rPr>
          <w:rFonts w:ascii="Arial" w:cs="Arial" w:eastAsia="Arial" w:hAnsi="Arial"/>
          <w:color w:val="333333"/>
          <w:sz w:val="22"/>
          <w:szCs w:val="22"/>
        </w:rPr>
        <w:t xml:space="preserve">Privacy-frågor: privacy@jobin.se</w:t>
      </w:r>
    </w:p>
    <w:p>
      <w:pPr>
        <w:pStyle w:val="ListParagraph"/>
        <w:numPr>
          <w:ilvl w:val="0"/>
          <w:numId w:val="2"/>
        </w:numPr>
        <w:spacing w:after="60"/>
      </w:pPr>
      <w:r>
        <w:rPr>
          <w:rFonts w:ascii="Arial" w:cs="Arial" w:eastAsia="Arial" w:hAnsi="Arial"/>
          <w:color w:val="333333"/>
          <w:sz w:val="22"/>
          <w:szCs w:val="22"/>
        </w:rPr>
        <w:t xml:space="preserve">Säkerhetsfrågor: security@jobin.se</w:t>
      </w:r>
    </w:p>
    <w:p>
      <w:pPr>
        <w:spacing w:after="100"/>
      </w:pPr>
    </w:p>
    <w:p>
      <w:pPr>
        <w:spacing w:after="12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Myndigheter och extern vägledning:</w:t>
      </w:r>
      <w:r>
        <w:rPr>
          <w:rFonts w:ascii="Arial" w:cs="Arial" w:eastAsia="Arial" w:hAnsi="Arial"/>
          <w:color w:val="333333"/>
          <w:sz w:val="22"/>
          <w:szCs w:val="22"/>
        </w:rPr>
        <w:t xml:space="preserve"/>
      </w:r>
    </w:p>
    <w:p>
      <w:pPr>
        <w:pStyle w:val="ListParagraph"/>
        <w:numPr>
          <w:ilvl w:val="0"/>
          <w:numId w:val="2"/>
        </w:numPr>
        <w:spacing w:after="60"/>
      </w:pPr>
      <w:r>
        <w:rPr>
          <w:rFonts w:ascii="Arial" w:cs="Arial" w:eastAsia="Arial" w:hAnsi="Arial"/>
          <w:color w:val="333333"/>
          <w:sz w:val="22"/>
          <w:szCs w:val="22"/>
        </w:rPr>
        <w:t xml:space="preserve">IMY (Integritetsskyddsmyndigheten): www.imy.se — tillsynsmyndighet, DPIA-vägledning, anmälningsformulär</w:t>
      </w:r>
    </w:p>
    <w:p>
      <w:pPr>
        <w:pStyle w:val="ListParagraph"/>
        <w:numPr>
          <w:ilvl w:val="0"/>
          <w:numId w:val="2"/>
        </w:numPr>
        <w:spacing w:after="60"/>
      </w:pPr>
      <w:r>
        <w:rPr>
          <w:rFonts w:ascii="Arial" w:cs="Arial" w:eastAsia="Arial" w:hAnsi="Arial"/>
          <w:color w:val="333333"/>
          <w:sz w:val="22"/>
          <w:szCs w:val="22"/>
        </w:rPr>
        <w:t xml:space="preserve">EDPB (European Data Protection Board): edpb.europa.eu — riktlinjer för tredjelandsöverföring, SCC-mallar</w:t>
      </w:r>
    </w:p>
    <w:p>
      <w:pPr>
        <w:pStyle w:val="ListParagraph"/>
        <w:numPr>
          <w:ilvl w:val="0"/>
          <w:numId w:val="2"/>
        </w:numPr>
        <w:spacing w:after="60"/>
      </w:pPr>
      <w:r>
        <w:rPr>
          <w:rFonts w:ascii="Arial" w:cs="Arial" w:eastAsia="Arial" w:hAnsi="Arial"/>
          <w:color w:val="333333"/>
          <w:sz w:val="22"/>
          <w:szCs w:val="22"/>
        </w:rPr>
        <w:t xml:space="preserve">EU AI Act: eur-lex.europa.eu — fulltext av AI-förordningen</w:t>
      </w:r>
    </w:p>
    <w:p>
      <w:pPr>
        <w:spacing w:after="100"/>
      </w:pPr>
    </w:p>
    <w:p>
      <w:pPr>
        <w:spacing w:after="12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Rekommenderade mallar:</w:t>
      </w:r>
      <w:r>
        <w:rPr>
          <w:rFonts w:ascii="Arial" w:cs="Arial" w:eastAsia="Arial" w:hAnsi="Arial"/>
          <w:color w:val="333333"/>
          <w:sz w:val="22"/>
          <w:szCs w:val="22"/>
        </w:rPr>
        <w:t xml:space="preserve"/>
      </w:r>
    </w:p>
    <w:p>
      <w:pPr>
        <w:pStyle w:val="ListParagraph"/>
        <w:numPr>
          <w:ilvl w:val="0"/>
          <w:numId w:val="2"/>
        </w:numPr>
        <w:spacing w:after="60"/>
      </w:pPr>
      <w:r>
        <w:rPr>
          <w:rFonts w:ascii="Arial" w:cs="Arial" w:eastAsia="Arial" w:hAnsi="Arial"/>
          <w:color w:val="333333"/>
          <w:sz w:val="22"/>
          <w:szCs w:val="22"/>
        </w:rPr>
        <w:t xml:space="preserve">IMY:s DPIA-mall: tillgänglig på imy.se/verktyg</w:t>
      </w:r>
    </w:p>
    <w:p>
      <w:pPr>
        <w:pStyle w:val="ListParagraph"/>
        <w:numPr>
          <w:ilvl w:val="0"/>
          <w:numId w:val="2"/>
        </w:numPr>
        <w:spacing w:after="60"/>
      </w:pPr>
      <w:r>
        <w:rPr>
          <w:rFonts w:ascii="Arial" w:cs="Arial" w:eastAsia="Arial" w:hAnsi="Arial"/>
          <w:color w:val="333333"/>
          <w:sz w:val="22"/>
          <w:szCs w:val="22"/>
        </w:rPr>
        <w:t xml:space="preserve">EU:s standardavtalsklausuler (SCC): tillgängliga på ec.europa.eu</w:t>
      </w:r>
    </w:p>
    <w:p>
      <w:pPr>
        <w:pStyle w:val="ListParagraph"/>
        <w:numPr>
          <w:ilvl w:val="0"/>
          <w:numId w:val="2"/>
        </w:numPr>
        <w:spacing w:after="60"/>
      </w:pPr>
      <w:r>
        <w:rPr>
          <w:rFonts w:ascii="Arial" w:cs="Arial" w:eastAsia="Arial" w:hAnsi="Arial"/>
          <w:color w:val="333333"/>
          <w:sz w:val="22"/>
          <w:szCs w:val="22"/>
        </w:rPr>
        <w:t xml:space="preserve">Registerförteckning: mall enligt Art. 30 finns hos IMY</w:t>
      </w:r>
    </w:p>
    <w:p>
      <w:pPr>
        <w:spacing w:after="400"/>
      </w:pPr>
    </w:p>
    <w:p>
      <w:pPr>
        <w:pBdr>
          <w:bottom w:val="single" w:color="D5D8DC" w:sz="4" w:space="1"/>
        </w:pBdr>
        <w:spacing w:after="200"/>
      </w:pPr>
    </w:p>
    <w:p>
      <w:pPr>
        <w:spacing w:after="120"/>
        <w:jc w:val="left"/>
      </w:pPr>
      <w:r>
        <w:rPr>
          <w:rFonts w:ascii="Arial" w:cs="Arial" w:eastAsia="Arial" w:hAnsi="Arial"/>
          <w:color w:val="566573"/>
          <w:sz w:val="22"/>
          <w:szCs w:val="22"/>
        </w:rPr>
        <w:t xml:space="preserve">Detta dokument är framtaget som vägledning och ersätter inte juridisk rådgivning. Kontakta en jurist specialiserad på dataskydd för att verifiera åtgärdernas tillräcklighet.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6"/>
        <w:szCs w:val="16"/>
      </w:rPr>
      <w:t xml:space="preserve">Konfidentiellt — Jobin.se — Sida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color w:val="566573"/>
        <w:sz w:val="18"/>
        <w:szCs w:val="18"/>
      </w:rPr>
      <w:t xml:space="preserve">Deltagarportalen — Färdplan för dataskydd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2026-03-28T11:52:42.263Z</dcterms:created>
  <dcterms:modified xsi:type="dcterms:W3CDTF">2026-03-28T11:52:42.263Z</dcterms:modified>
</cp:coreProperties>
</file>

<file path=docProps/custom.xml><?xml version="1.0" encoding="utf-8"?>
<Properties xmlns="http://schemas.openxmlformats.org/officeDocument/2006/custom-properties" xmlns:vt="http://schemas.openxmlformats.org/officeDocument/2006/docPropsVTypes"/>
</file>