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E75B6"/>
          <w:sz w:val="32"/>
          <w:szCs w:val="32"/>
        </w:rPr>
        <w:t xml:space="preserve">Personuppgiftsbiträdesavtal (PUB-avtal)</w:t>
      </w:r>
    </w:p>
    <w:p>
      <w:pPr>
        <w:spacing w:after="240"/>
        <w:jc w:val="center"/>
      </w:pPr>
      <w:r>
        <w:rPr>
          <w:color w:val="2E75B6"/>
          <w:sz w:val="24"/>
          <w:szCs w:val="24"/>
        </w:rPr>
        <w:t xml:space="preserve">Deltagarportalen – Jobin AB</w:t>
      </w:r>
    </w:p>
    <w:p>
      <w:pPr>
        <w:pStyle w:val="Heading1"/>
        <w:spacing w:before="240" w:after="120"/>
      </w:pPr>
      <w:r>
        <w:rPr>
          <w:b/>
          <w:bCs/>
          <w:color w:val="2E75B6"/>
          <w:sz w:val="32"/>
          <w:szCs w:val="32"/>
        </w:rPr>
        <w:t xml:space="preserve">Parter</w:t>
      </w:r>
    </w:p>
    <w:p>
      <w:pPr>
        <w:spacing w:line="360" w:after="120"/>
      </w:pPr>
      <w:r>
        <w:t xml:space="preserve">Personuppgiftsansvarig (Data Controller):</w:t>
      </w:r>
    </w:p>
    <w:p>
      <w:pPr>
        <w:pStyle w:val="ListParagraph"/>
        <w:numPr>
          <w:ilvl w:val="0"/>
          <w:numId w:val="2"/>
        </w:numPr>
        <w:spacing w:after="80"/>
      </w:pPr>
      <w:r>
        <w:t xml:space="preserve">Organisationsnavn: Jobin AB (Deltagarportalen)</w:t>
      </w:r>
    </w:p>
    <w:p>
      <w:pPr>
        <w:pStyle w:val="ListParagraph"/>
        <w:numPr>
          <w:ilvl w:val="0"/>
          <w:numId w:val="2"/>
        </w:numPr>
        <w:spacing w:after="80"/>
      </w:pPr>
      <w:r>
        <w:t xml:space="preserve">Organisationsnummer: [ATT FYLLA I]</w:t>
      </w:r>
    </w:p>
    <w:p>
      <w:pPr>
        <w:pStyle w:val="ListParagraph"/>
        <w:numPr>
          <w:ilvl w:val="0"/>
          <w:numId w:val="2"/>
        </w:numPr>
        <w:spacing w:after="80"/>
      </w:pPr>
      <w:r>
        <w:t xml:space="preserve">Kontakt: dpo@jobin.se</w:t>
      </w:r>
    </w:p>
    <w:p>
      <w:pPr>
        <w:spacing w:after="120"/>
      </w:pPr>
    </w:p>
    <w:p>
      <w:pPr>
        <w:spacing w:line="360" w:after="120"/>
      </w:pPr>
      <w:r>
        <w:t xml:space="preserve">Personuppgiftsbiträde (Data Processor):</w:t>
      </w:r>
    </w:p>
    <w:p>
      <w:pPr>
        <w:pStyle w:val="ListParagraph"/>
        <w:numPr>
          <w:ilvl w:val="0"/>
          <w:numId w:val="2"/>
        </w:numPr>
        <w:spacing w:after="80"/>
      </w:pPr>
      <w:r>
        <w:t xml:space="preserve">[Leverantörens namn och organisationsnummer]</w:t>
      </w:r>
    </w:p>
    <w:p>
      <w:pPr>
        <w:pStyle w:val="ListParagraph"/>
        <w:numPr>
          <w:ilvl w:val="0"/>
          <w:numId w:val="2"/>
        </w:numPr>
        <w:spacing w:after="80"/>
      </w:pPr>
      <w:r>
        <w:t xml:space="preserve">Kontaktuppgifter: [ATT FYLLA I]</w:t>
      </w:r>
    </w:p>
    <w:p>
      <w:pPr>
        <w:spacing w:after="240"/>
      </w:pPr>
    </w:p>
    <w:p>
      <w:pPr>
        <w:pStyle w:val="Heading1"/>
        <w:spacing w:before="240" w:after="120"/>
      </w:pPr>
      <w:r>
        <w:rPr>
          <w:b/>
          <w:bCs/>
          <w:color w:val="2E75B6"/>
          <w:sz w:val="32"/>
          <w:szCs w:val="32"/>
        </w:rPr>
        <w:t xml:space="preserve">1. Bakgrund och syfte</w:t>
      </w:r>
    </w:p>
    <w:p>
      <w:pPr>
        <w:spacing w:line="360" w:after="120"/>
      </w:pPr>
      <w:r>
        <w:t xml:space="preserve">Detta avtal reglerar behandlingen av personuppgifter enligt artikel 28 i Europaparlamentets och Rådets förordning (EU) 2016/679 (Dataskyddsförordningen, GDPR). Biträdet ska behandla personuppgifter enbart enligt instruktioner från den ansvariga och följa de krav som anges i detta avtal.</w:t>
      </w:r>
    </w:p>
    <w:p>
      <w:pPr>
        <w:pStyle w:val="Heading1"/>
        <w:spacing w:before="240" w:after="120"/>
      </w:pPr>
      <w:r>
        <w:rPr>
          <w:b/>
          <w:bCs/>
          <w:color w:val="2E75B6"/>
          <w:sz w:val="32"/>
          <w:szCs w:val="32"/>
        </w:rPr>
        <w:t xml:space="preserve">2. Behandlingens art och ändamål</w:t>
      </w:r>
    </w:p>
    <w:p>
      <w:pPr>
        <w:spacing w:line="360" w:after="120"/>
      </w:pPr>
      <w:r>
        <w:t xml:space="preserve">Följande leverantörer och behandlingstyper omfattas av detta avtal: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626"/>
      </w:tblGrid>
      <w:tr>
        <w:tc>
          <w:tcPr>
            <w:tcW w:type="dxa" w:w="2200"/>
            <w:tcBorders>
              <w:top w:val="single" w:color="2E75B6" w:sz="6" w:space="1"/>
              <w:left w:val="single" w:color="2E75B6" w:sz="6" w:space="1"/>
              <w:bottom w:val="single" w:color="2E75B6" w:sz="6" w:space="1"/>
              <w:right w:val="single" w:color="2E75B6" w:sz="6" w:space="1"/>
            </w:tcBorders>
            <w:shd w:fill="2E75B6" w:val="clear"/>
            <w:tcMar>
              <w:top w:type="dxa" w:w="80"/>
              <w:left w:type="dxa" w:w="120"/>
              <w:bottom w:type="dxa" w:w="80"/>
              <w:right w:type="dxa" w:w="120"/>
            </w:tcMar>
          </w:tcPr>
          <w:p>
            <w:r>
              <w:rPr>
                <w:b/>
                <w:bCs/>
                <w:color w:val="FFFFFF"/>
                <w:sz w:val="22"/>
                <w:szCs w:val="22"/>
              </w:rPr>
              <w:t xml:space="preserve">Leverantör</w:t>
            </w:r>
          </w:p>
        </w:tc>
        <w:tc>
          <w:tcPr>
            <w:tcW w:type="dxa" w:w="3400"/>
            <w:tcBorders>
              <w:top w:val="single" w:color="2E75B6" w:sz="6" w:space="1"/>
              <w:left w:val="single" w:color="2E75B6" w:sz="6" w:space="1"/>
              <w:bottom w:val="single" w:color="2E75B6" w:sz="6" w:space="1"/>
              <w:right w:val="single" w:color="2E75B6" w:sz="6" w:space="1"/>
            </w:tcBorders>
            <w:shd w:fill="2E75B6" w:val="clear"/>
            <w:tcMar>
              <w:top w:type="dxa" w:w="80"/>
              <w:left w:type="dxa" w:w="120"/>
              <w:bottom w:type="dxa" w:w="80"/>
              <w:right w:type="dxa" w:w="120"/>
            </w:tcMar>
          </w:tcPr>
          <w:p>
            <w:r>
              <w:rPr>
                <w:b/>
                <w:bCs/>
                <w:color w:val="FFFFFF"/>
                <w:sz w:val="22"/>
                <w:szCs w:val="22"/>
              </w:rPr>
              <w:t xml:space="preserve">Behandlingstyp</w:t>
            </w:r>
          </w:p>
        </w:tc>
        <w:tc>
          <w:tcPr>
            <w:tcW w:type="dxa" w:w="1800"/>
            <w:tcBorders>
              <w:top w:val="single" w:color="2E75B6" w:sz="6" w:space="1"/>
              <w:left w:val="single" w:color="2E75B6" w:sz="6" w:space="1"/>
              <w:bottom w:val="single" w:color="2E75B6" w:sz="6" w:space="1"/>
              <w:right w:val="single" w:color="2E75B6" w:sz="6" w:space="1"/>
            </w:tcBorders>
            <w:shd w:fill="2E75B6" w:val="clear"/>
            <w:tcMar>
              <w:top w:type="dxa" w:w="80"/>
              <w:left w:type="dxa" w:w="120"/>
              <w:bottom w:type="dxa" w:w="80"/>
              <w:right w:type="dxa" w:w="120"/>
            </w:tcMar>
          </w:tcPr>
          <w:p>
            <w:r>
              <w:rPr>
                <w:b/>
                <w:bCs/>
                <w:color w:val="FFFFFF"/>
                <w:sz w:val="22"/>
                <w:szCs w:val="22"/>
              </w:rPr>
              <w:t xml:space="preserve">Datakategorier</w:t>
            </w:r>
          </w:p>
        </w:tc>
        <w:tc>
          <w:tcPr>
            <w:tcW w:type="dxa" w:w="1626"/>
            <w:tcBorders>
              <w:top w:val="single" w:color="2E75B6" w:sz="6" w:space="1"/>
              <w:left w:val="single" w:color="2E75B6" w:sz="6" w:space="1"/>
              <w:bottom w:val="single" w:color="2E75B6" w:sz="6" w:space="1"/>
              <w:right w:val="single" w:color="2E75B6" w:sz="6" w:space="1"/>
            </w:tcBorders>
            <w:shd w:fill="2E75B6" w:val="clear"/>
            <w:tcMar>
              <w:top w:type="dxa" w:w="80"/>
              <w:left w:type="dxa" w:w="120"/>
              <w:bottom w:type="dxa" w:w="80"/>
              <w:right w:type="dxa" w:w="120"/>
            </w:tcMar>
          </w:tcPr>
          <w:p>
            <w:r>
              <w:rPr>
                <w:b/>
                <w:bCs/>
                <w:color w:val="FFFFFF"/>
                <w:sz w:val="22"/>
                <w:szCs w:val="22"/>
              </w:rPr>
              <w:t xml:space="preserve">Plats</w:t>
            </w:r>
          </w:p>
        </w:tc>
      </w:tr>
      <w:tr>
        <w:tc>
          <w:tcPr>
            <w:tcW w:type="dxa" w:w="2200"/>
            <w:tcBorders>
              <w:top w:val="single" w:color="2E75B6" w:sz="6" w:space="1"/>
              <w:left w:val="single" w:color="2E75B6" w:sz="6" w:space="1"/>
              <w:bottom w:val="single" w:color="2E75B6" w:sz="6" w:space="1"/>
              <w:right w:val="single" w:color="2E75B6" w:sz="6" w:space="1"/>
            </w:tcBorders>
            <w:tcMar>
              <w:top w:type="dxa" w:w="80"/>
              <w:left w:type="dxa" w:w="120"/>
              <w:bottom w:type="dxa" w:w="80"/>
              <w:right w:type="dxa" w:w="120"/>
            </w:tcMar>
          </w:tcPr>
          <w:p>
            <w:r>
              <w:t xml:space="preserve">Supabase</w:t>
            </w:r>
          </w:p>
        </w:tc>
        <w:tc>
          <w:tcPr>
            <w:tcW w:type="dxa" w:w="3400"/>
            <w:tcBorders>
              <w:top w:val="single" w:color="2E75B6" w:sz="6" w:space="1"/>
              <w:left w:val="single" w:color="2E75B6" w:sz="6" w:space="1"/>
              <w:bottom w:val="single" w:color="2E75B6" w:sz="6" w:space="1"/>
              <w:right w:val="single" w:color="2E75B6" w:sz="6" w:space="1"/>
            </w:tcBorders>
            <w:tcMar>
              <w:top w:type="dxa" w:w="80"/>
              <w:left w:type="dxa" w:w="120"/>
              <w:bottom w:type="dxa" w:w="80"/>
              <w:right w:type="dxa" w:w="120"/>
            </w:tcMar>
          </w:tcPr>
          <w:p>
            <w:r>
              <w:t xml:space="preserve">Datalagring, autentisering, fillagring</w:t>
            </w:r>
          </w:p>
        </w:tc>
        <w:tc>
          <w:tcPr>
            <w:tcW w:type="dxa" w:w="1800"/>
            <w:tcBorders>
              <w:top w:val="single" w:color="2E75B6" w:sz="6" w:space="1"/>
              <w:left w:val="single" w:color="2E75B6" w:sz="6" w:space="1"/>
              <w:bottom w:val="single" w:color="2E75B6" w:sz="6" w:space="1"/>
              <w:right w:val="single" w:color="2E75B6" w:sz="6" w:space="1"/>
            </w:tcBorders>
            <w:tcMar>
              <w:top w:type="dxa" w:w="80"/>
              <w:left w:type="dxa" w:w="120"/>
              <w:bottom w:type="dxa" w:w="80"/>
              <w:right w:type="dxa" w:w="120"/>
            </w:tcMar>
          </w:tcPr>
          <w:p>
            <w:r>
              <w:t xml:space="preserve">All användardata</w:t>
            </w:r>
          </w:p>
        </w:tc>
        <w:tc>
          <w:tcPr>
            <w:tcW w:type="dxa" w:w="1626"/>
            <w:tcBorders>
              <w:top w:val="single" w:color="2E75B6" w:sz="6" w:space="1"/>
              <w:left w:val="single" w:color="2E75B6" w:sz="6" w:space="1"/>
              <w:bottom w:val="single" w:color="2E75B6" w:sz="6" w:space="1"/>
              <w:right w:val="single" w:color="2E75B6" w:sz="6" w:space="1"/>
            </w:tcBorders>
            <w:tcMar>
              <w:top w:type="dxa" w:w="80"/>
              <w:left w:type="dxa" w:w="120"/>
              <w:bottom w:type="dxa" w:w="80"/>
              <w:right w:type="dxa" w:w="120"/>
            </w:tcMar>
          </w:tcPr>
          <w:p>
            <w:r>
              <w:t xml:space="preserve">EU*</w:t>
            </w:r>
          </w:p>
        </w:tc>
      </w:tr>
      <w:tr>
        <w:tc>
          <w:tcPr>
            <w:tcW w:type="dxa" w:w="2200"/>
            <w:tcBorders>
              <w:top w:val="single" w:color="2E75B6" w:sz="6" w:space="1"/>
              <w:left w:val="single" w:color="2E75B6" w:sz="6" w:space="1"/>
              <w:bottom w:val="single" w:color="2E75B6" w:sz="6" w:space="1"/>
              <w:right w:val="single" w:color="2E75B6" w:sz="6" w:space="1"/>
            </w:tcBorders>
            <w:tcMar>
              <w:top w:type="dxa" w:w="80"/>
              <w:left w:type="dxa" w:w="120"/>
              <w:bottom w:type="dxa" w:w="80"/>
              <w:right w:type="dxa" w:w="120"/>
            </w:tcMar>
          </w:tcPr>
          <w:p>
            <w:r>
              <w:t xml:space="preserve">OpenRouter</w:t>
            </w:r>
          </w:p>
        </w:tc>
        <w:tc>
          <w:tcPr>
            <w:tcW w:type="dxa" w:w="3400"/>
            <w:tcBorders>
              <w:top w:val="single" w:color="2E75B6" w:sz="6" w:space="1"/>
              <w:left w:val="single" w:color="2E75B6" w:sz="6" w:space="1"/>
              <w:bottom w:val="single" w:color="2E75B6" w:sz="6" w:space="1"/>
              <w:right w:val="single" w:color="2E75B6" w:sz="6" w:space="1"/>
            </w:tcBorders>
            <w:tcMar>
              <w:top w:type="dxa" w:w="80"/>
              <w:left w:type="dxa" w:w="120"/>
              <w:bottom w:type="dxa" w:w="80"/>
              <w:right w:type="dxa" w:w="120"/>
            </w:tcMar>
          </w:tcPr>
          <w:p>
            <w:r>
              <w:t xml:space="preserve">AI-textgenerering</w:t>
            </w:r>
          </w:p>
        </w:tc>
        <w:tc>
          <w:tcPr>
            <w:tcW w:type="dxa" w:w="1800"/>
            <w:tcBorders>
              <w:top w:val="single" w:color="2E75B6" w:sz="6" w:space="1"/>
              <w:left w:val="single" w:color="2E75B6" w:sz="6" w:space="1"/>
              <w:bottom w:val="single" w:color="2E75B6" w:sz="6" w:space="1"/>
              <w:right w:val="single" w:color="2E75B6" w:sz="6" w:space="1"/>
            </w:tcBorders>
            <w:tcMar>
              <w:top w:type="dxa" w:w="80"/>
              <w:left w:type="dxa" w:w="120"/>
              <w:bottom w:type="dxa" w:w="80"/>
              <w:right w:type="dxa" w:w="120"/>
            </w:tcMar>
          </w:tcPr>
          <w:p>
            <w:r>
              <w:t xml:space="preserve">CV-text, jobbeskrivningar</w:t>
            </w:r>
          </w:p>
        </w:tc>
        <w:tc>
          <w:tcPr>
            <w:tcW w:type="dxa" w:w="1626"/>
            <w:tcBorders>
              <w:top w:val="single" w:color="2E75B6" w:sz="6" w:space="1"/>
              <w:left w:val="single" w:color="2E75B6" w:sz="6" w:space="1"/>
              <w:bottom w:val="single" w:color="2E75B6" w:sz="6" w:space="1"/>
              <w:right w:val="single" w:color="2E75B6" w:sz="6" w:space="1"/>
            </w:tcBorders>
            <w:tcMar>
              <w:top w:type="dxa" w:w="80"/>
              <w:left w:type="dxa" w:w="120"/>
              <w:bottom w:type="dxa" w:w="80"/>
              <w:right w:type="dxa" w:w="120"/>
            </w:tcMar>
          </w:tcPr>
          <w:p>
            <w:r>
              <w:t xml:space="preserve">USA</w:t>
            </w:r>
          </w:p>
        </w:tc>
      </w:tr>
      <w:tr>
        <w:tc>
          <w:tcPr>
            <w:tcW w:type="dxa" w:w="2200"/>
            <w:tcBorders>
              <w:top w:val="single" w:color="2E75B6" w:sz="6" w:space="1"/>
              <w:left w:val="single" w:color="2E75B6" w:sz="6" w:space="1"/>
              <w:bottom w:val="single" w:color="2E75B6" w:sz="6" w:space="1"/>
              <w:right w:val="single" w:color="2E75B6" w:sz="6" w:space="1"/>
            </w:tcBorders>
            <w:tcMar>
              <w:top w:type="dxa" w:w="80"/>
              <w:left w:type="dxa" w:w="120"/>
              <w:bottom w:type="dxa" w:w="80"/>
              <w:right w:type="dxa" w:w="120"/>
            </w:tcMar>
          </w:tcPr>
          <w:p>
            <w:r>
              <w:t xml:space="preserve">Sentry</w:t>
            </w:r>
          </w:p>
        </w:tc>
        <w:tc>
          <w:tcPr>
            <w:tcW w:type="dxa" w:w="3400"/>
            <w:tcBorders>
              <w:top w:val="single" w:color="2E75B6" w:sz="6" w:space="1"/>
              <w:left w:val="single" w:color="2E75B6" w:sz="6" w:space="1"/>
              <w:bottom w:val="single" w:color="2E75B6" w:sz="6" w:space="1"/>
              <w:right w:val="single" w:color="2E75B6" w:sz="6" w:space="1"/>
            </w:tcBorders>
            <w:tcMar>
              <w:top w:type="dxa" w:w="80"/>
              <w:left w:type="dxa" w:w="120"/>
              <w:bottom w:type="dxa" w:w="80"/>
              <w:right w:type="dxa" w:w="120"/>
            </w:tcMar>
          </w:tcPr>
          <w:p>
            <w:r>
              <w:t xml:space="preserve">Felövervakning och loggning</w:t>
            </w:r>
          </w:p>
        </w:tc>
        <w:tc>
          <w:tcPr>
            <w:tcW w:type="dxa" w:w="1800"/>
            <w:tcBorders>
              <w:top w:val="single" w:color="2E75B6" w:sz="6" w:space="1"/>
              <w:left w:val="single" w:color="2E75B6" w:sz="6" w:space="1"/>
              <w:bottom w:val="single" w:color="2E75B6" w:sz="6" w:space="1"/>
              <w:right w:val="single" w:color="2E75B6" w:sz="6" w:space="1"/>
            </w:tcBorders>
            <w:tcMar>
              <w:top w:type="dxa" w:w="80"/>
              <w:left w:type="dxa" w:w="120"/>
              <w:bottom w:type="dxa" w:w="80"/>
              <w:right w:type="dxa" w:w="120"/>
            </w:tcMar>
          </w:tcPr>
          <w:p>
            <w:r>
              <w:t xml:space="preserve">Felloggar, hashat user-ID, breadcrumbs</w:t>
            </w:r>
          </w:p>
        </w:tc>
        <w:tc>
          <w:tcPr>
            <w:tcW w:type="dxa" w:w="1626"/>
            <w:tcBorders>
              <w:top w:val="single" w:color="2E75B6" w:sz="6" w:space="1"/>
              <w:left w:val="single" w:color="2E75B6" w:sz="6" w:space="1"/>
              <w:bottom w:val="single" w:color="2E75B6" w:sz="6" w:space="1"/>
              <w:right w:val="single" w:color="2E75B6" w:sz="6" w:space="1"/>
            </w:tcBorders>
            <w:tcMar>
              <w:top w:type="dxa" w:w="80"/>
              <w:left w:type="dxa" w:w="120"/>
              <w:bottom w:type="dxa" w:w="80"/>
              <w:right w:type="dxa" w:w="120"/>
            </w:tcMar>
          </w:tcPr>
          <w:p>
            <w:r>
              <w:t xml:space="preserve">EU/USA</w:t>
            </w:r>
          </w:p>
        </w:tc>
      </w:tr>
    </w:tbl>
    <w:p>
      <w:pPr>
        <w:spacing w:before="80" w:after="240"/>
      </w:pPr>
      <w:r>
        <w:rPr>
          <w:sz w:val="20"/>
          <w:szCs w:val="20"/>
        </w:rPr>
        <w:t xml:space="preserve">* Supabase-lagringsplats: ATT VERIFIERA</w:t>
      </w:r>
    </w:p>
    <w:p>
      <w:pPr>
        <w:pStyle w:val="Heading1"/>
        <w:spacing w:before="240" w:after="120"/>
      </w:pPr>
      <w:r>
        <w:rPr>
          <w:b/>
          <w:bCs/>
          <w:color w:val="2E75B6"/>
          <w:sz w:val="32"/>
          <w:szCs w:val="32"/>
        </w:rPr>
        <w:t xml:space="preserve">3. Biträdets skyldigheter</w:t>
      </w:r>
    </w:p>
    <w:p>
      <w:pPr>
        <w:spacing w:line="360" w:after="120"/>
      </w:pPr>
      <w:r>
        <w:t xml:space="preserve">Biträdet förbinder sig att:</w:t>
      </w:r>
    </w:p>
    <w:p>
      <w:pPr>
        <w:pStyle w:val="ListParagraph"/>
        <w:numPr>
          <w:ilvl w:val="0"/>
          <w:numId w:val="2"/>
        </w:numPr>
        <w:spacing w:after="80"/>
      </w:pPr>
      <w:r>
        <w:t xml:space="preserve">Behandla personuppgifterna enbart enligt instruktioner från den ansvariga</w:t>
      </w:r>
    </w:p>
    <w:p>
      <w:pPr>
        <w:pStyle w:val="ListParagraph"/>
        <w:numPr>
          <w:ilvl w:val="0"/>
          <w:numId w:val="2"/>
        </w:numPr>
        <w:spacing w:after="80"/>
      </w:pPr>
      <w:r>
        <w:t xml:space="preserve">Säkerställa att personal med åtkomst till personuppgifterna är bundna av sekretess</w:t>
      </w:r>
    </w:p>
    <w:p>
      <w:pPr>
        <w:pStyle w:val="ListParagraph"/>
        <w:numPr>
          <w:ilvl w:val="0"/>
          <w:numId w:val="2"/>
        </w:numPr>
        <w:spacing w:after="80"/>
      </w:pPr>
      <w:r>
        <w:t xml:space="preserve">Genomföra lämpliga tekniska och organisatoriska säkerhetsåtgärder enligt artikel 32 GDPR</w:t>
      </w:r>
    </w:p>
    <w:p>
      <w:pPr>
        <w:pStyle w:val="ListParagraph"/>
        <w:numPr>
          <w:ilvl w:val="0"/>
          <w:numId w:val="2"/>
        </w:numPr>
        <w:spacing w:after="80"/>
      </w:pPr>
      <w:r>
        <w:t xml:space="preserve">Kräva förhandsgodkännande innan underbiträden engageras</w:t>
      </w:r>
    </w:p>
    <w:p>
      <w:pPr>
        <w:pStyle w:val="ListParagraph"/>
        <w:numPr>
          <w:ilvl w:val="0"/>
          <w:numId w:val="2"/>
        </w:numPr>
        <w:spacing w:after="80"/>
      </w:pPr>
      <w:r>
        <w:t xml:space="preserve">Stödja registrerades rättigheter (tillgång, rättelse, radering)</w:t>
      </w:r>
    </w:p>
    <w:p>
      <w:pPr>
        <w:pStyle w:val="ListParagraph"/>
        <w:numPr>
          <w:ilvl w:val="0"/>
          <w:numId w:val="2"/>
        </w:numPr>
        <w:spacing w:after="80"/>
      </w:pPr>
      <w:r>
        <w:t xml:space="preserve">Radera eller återlämna personuppgifterna vid avtalets slut</w:t>
      </w:r>
    </w:p>
    <w:p>
      <w:pPr>
        <w:pStyle w:val="ListParagraph"/>
        <w:numPr>
          <w:ilvl w:val="0"/>
          <w:numId w:val="2"/>
        </w:numPr>
        <w:spacing w:after="80"/>
      </w:pPr>
      <w:r>
        <w:t xml:space="preserve">Möjliggöra granskning och revision från den ansvariga</w:t>
      </w:r>
    </w:p>
    <w:p>
      <w:pPr>
        <w:pStyle w:val="ListParagraph"/>
        <w:numPr>
          <w:ilvl w:val="0"/>
          <w:numId w:val="2"/>
        </w:numPr>
        <w:spacing w:after="80"/>
      </w:pPr>
      <w:r>
        <w:t xml:space="preserve">Anmäla personuppgiftsincidenter inom 24 timmar</w:t>
      </w:r>
    </w:p>
    <w:p>
      <w:pPr>
        <w:spacing w:after="240"/>
      </w:pPr>
    </w:p>
    <w:p>
      <w:pPr>
        <w:pStyle w:val="Heading1"/>
        <w:spacing w:before="240" w:after="120"/>
      </w:pPr>
      <w:r>
        <w:rPr>
          <w:b/>
          <w:bCs/>
          <w:color w:val="2E75B6"/>
          <w:sz w:val="32"/>
          <w:szCs w:val="32"/>
        </w:rPr>
        <w:t xml:space="preserve">4. Underbiträden</w:t>
      </w:r>
    </w:p>
    <w:p>
      <w:pPr>
        <w:spacing w:line="360" w:after="120"/>
      </w:pPr>
      <w:r>
        <w:t xml:space="preserve">Biträdet får engagera underbiträden endast efter förhandsgodkännande från den ansvariga. En förteckning över godkända underbiträden presenteras här:</w:t>
      </w:r>
    </w:p>
    <w:p>
      <w:pPr>
        <w:spacing w:after="80"/>
      </w:pPr>
      <w:r>
        <w:t xml:space="preserve">1. Supabase (datalagring)</w:t>
      </w:r>
    </w:p>
    <w:p>
      <w:pPr>
        <w:spacing w:after="80"/>
      </w:pPr>
      <w:r>
        <w:t xml:space="preserve">2. OpenRouter AI Inc. (AI-tjänster)</w:t>
      </w:r>
    </w:p>
    <w:p>
      <w:pPr>
        <w:spacing w:after="160"/>
      </w:pPr>
      <w:r>
        <w:t xml:space="preserve">3. Sentry (felövervakning)</w:t>
      </w:r>
    </w:p>
    <w:p>
      <w:pPr>
        <w:spacing w:line="360" w:after="120"/>
      </w:pPr>
      <w:r>
        <w:t xml:space="preserve">Biträdet ska underrätta den ansvariga innan nya underbiträden engageras.</w:t>
      </w:r>
    </w:p>
    <w:p>
      <w:pPr>
        <w:spacing w:after="240"/>
      </w:pPr>
    </w:p>
    <w:p>
      <w:pPr>
        <w:pStyle w:val="Heading1"/>
        <w:spacing w:before="240" w:after="120"/>
      </w:pPr>
      <w:r>
        <w:rPr>
          <w:b/>
          <w:bCs/>
          <w:color w:val="2E75B6"/>
          <w:sz w:val="32"/>
          <w:szCs w:val="32"/>
        </w:rPr>
        <w:t xml:space="preserve">5. Överföring till tredjeland</w:t>
      </w:r>
    </w:p>
    <w:p>
      <w:pPr>
        <w:spacing w:line="360" w:after="120"/>
      </w:pPr>
      <w:r>
        <w:t xml:space="preserve">Överföring av personuppgifter till USA sker enligt EU:s standardavtalsklausuler (SCC, förordning 2021/914). Biträdet säkerställer att lämpliga skyddsåtgärder är på plats för överföringar enligt artikel 46 GDPR.</w:t>
      </w:r>
    </w:p>
    <w:p>
      <w:pPr>
        <w:spacing w:after="240"/>
      </w:pPr>
    </w:p>
    <w:p>
      <w:pPr>
        <w:pStyle w:val="Heading1"/>
        <w:spacing w:before="240" w:after="120"/>
      </w:pPr>
      <w:r>
        <w:rPr>
          <w:b/>
          <w:bCs/>
          <w:color w:val="2E75B6"/>
          <w:sz w:val="32"/>
          <w:szCs w:val="32"/>
        </w:rPr>
        <w:t xml:space="preserve">6. Personuppgiftsincidenter</w:t>
      </w:r>
    </w:p>
    <w:p>
      <w:pPr>
        <w:spacing w:line="360" w:after="120"/>
      </w:pPr>
      <w:r>
        <w:t xml:space="preserve">Biträdet ska omedelbar anmäla eventuella personuppgiftsincidenter till den ansvariga. Anmälan ska göras senast 24 timmar efter att incidenten upptäcktes och ska innehålla:</w:t>
      </w:r>
    </w:p>
    <w:p>
      <w:pPr>
        <w:pStyle w:val="ListParagraph"/>
        <w:numPr>
          <w:ilvl w:val="0"/>
          <w:numId w:val="2"/>
        </w:numPr>
        <w:spacing w:after="80"/>
      </w:pPr>
      <w:r>
        <w:t xml:space="preserve">Beskrivning av incidenten</w:t>
      </w:r>
    </w:p>
    <w:p>
      <w:pPr>
        <w:pStyle w:val="ListParagraph"/>
        <w:numPr>
          <w:ilvl w:val="0"/>
          <w:numId w:val="2"/>
        </w:numPr>
        <w:spacing w:after="80"/>
      </w:pPr>
      <w:r>
        <w:t xml:space="preserve">Antal berörda registrerade</w:t>
      </w:r>
    </w:p>
    <w:p>
      <w:pPr>
        <w:pStyle w:val="ListParagraph"/>
        <w:numPr>
          <w:ilvl w:val="0"/>
          <w:numId w:val="2"/>
        </w:numPr>
        <w:spacing w:after="80"/>
      </w:pPr>
      <w:r>
        <w:t xml:space="preserve">Trolig orsak till incidenten</w:t>
      </w:r>
    </w:p>
    <w:p>
      <w:pPr>
        <w:pStyle w:val="ListParagraph"/>
        <w:numPr>
          <w:ilvl w:val="0"/>
          <w:numId w:val="2"/>
        </w:numPr>
        <w:spacing w:after="80"/>
      </w:pPr>
      <w:r>
        <w:t xml:space="preserve">Åtgärder som redan vidtagits</w:t>
      </w:r>
    </w:p>
    <w:p>
      <w:pPr>
        <w:spacing w:after="240"/>
      </w:pPr>
    </w:p>
    <w:p>
      <w:pPr>
        <w:pStyle w:val="Heading1"/>
        <w:spacing w:before="240" w:after="120"/>
      </w:pPr>
      <w:r>
        <w:rPr>
          <w:b/>
          <w:bCs/>
          <w:color w:val="2E75B6"/>
          <w:sz w:val="32"/>
          <w:szCs w:val="32"/>
        </w:rPr>
        <w:t xml:space="preserve">7. Avtalstid och upphörande</w:t>
      </w:r>
    </w:p>
    <w:p>
      <w:pPr>
        <w:spacing w:line="360" w:after="120"/>
      </w:pPr>
      <w:r>
        <w:t xml:space="preserve">Detta avtal träder i kraft på underteckningsdagen och löper till dess att parterna säger upp det skriftligen. Vid upphörande ska biträdet radera eller återlämna alla personuppgifter enligt instruktioner från den ansvariga.</w:t>
      </w:r>
    </w:p>
    <w:p>
      <w:pPr>
        <w:spacing w:after="240"/>
      </w:pPr>
    </w:p>
    <w:p>
      <w:pPr>
        <w:pStyle w:val="Heading1"/>
        <w:spacing w:before="240" w:after="120"/>
      </w:pPr>
      <w:r>
        <w:rPr>
          <w:b/>
          <w:bCs/>
          <w:color w:val="2E75B6"/>
          <w:sz w:val="32"/>
          <w:szCs w:val="32"/>
        </w:rPr>
        <w:t xml:space="preserve">8. Ansvar och skadestånd</w:t>
      </w:r>
    </w:p>
    <w:p>
      <w:pPr>
        <w:spacing w:line="360" w:after="120"/>
      </w:pPr>
      <w:r>
        <w:t xml:space="preserve">Biträdet är ansvarigt för skador som uppstår på grund av brott mot detta avtal eller GDPR. Ansvar begränsas dock till direkt provad skada, upp till ett belopp motsvarande den årliga ersättningen för biträdesuppgifterna (max 12 månaders avgifter) eller sådan summa som överenskoms skriftligen.</w:t>
      </w:r>
    </w:p>
    <w:p>
      <w:pPr>
        <w:spacing w:after="240"/>
      </w:pPr>
    </w:p>
    <w:p>
      <w:pPr>
        <w:pStyle w:val="Heading1"/>
        <w:spacing w:before="240" w:after="120"/>
      </w:pPr>
      <w:r>
        <w:rPr>
          <w:b/>
          <w:bCs/>
          <w:color w:val="2E75B6"/>
          <w:sz w:val="32"/>
          <w:szCs w:val="32"/>
        </w:rPr>
        <w:t xml:space="preserve">9. Underskrifter</w:t>
      </w:r>
    </w:p>
    <w:p>
      <w:pPr>
        <w:spacing w:after="120"/>
      </w:pPr>
      <w:r>
        <w:rPr>
          <w:b/>
          <w:bCs/>
        </w:rPr>
        <w:t xml:space="preserve">Personuppgiftsansvarig</w:t>
      </w:r>
    </w:p>
    <w:p>
      <w:pPr>
        <w:spacing w:after="40"/>
      </w:pPr>
      <w:r>
        <w:t xml:space="preserve">_______________________________</w:t>
      </w:r>
    </w:p>
    <w:p>
      <w:pPr>
        <w:spacing w:after="160"/>
      </w:pPr>
      <w:r>
        <w:t xml:space="preserve">Namn och signatur</w:t>
      </w:r>
    </w:p>
    <w:p>
      <w:pPr>
        <w:spacing w:after="120"/>
      </w:pPr>
      <w:r>
        <w:rPr>
          <w:b/>
          <w:bCs/>
        </w:rPr>
        <w:t xml:space="preserve">Personuppgiftsbiträde</w:t>
      </w:r>
    </w:p>
    <w:p>
      <w:pPr>
        <w:spacing w:after="40"/>
      </w:pPr>
      <w:r>
        <w:t xml:space="preserve">_______________________________</w:t>
      </w:r>
    </w:p>
    <w:p>
      <w:pPr>
        <w:spacing w:after="160"/>
      </w:pPr>
      <w:r>
        <w:t xml:space="preserve">Namn och signatur</w:t>
      </w:r>
    </w:p>
    <w:p>
      <w:pPr>
        <w:spacing w:after="0"/>
      </w:pPr>
      <w:r>
        <w:t xml:space="preserve">Datum: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2026-03-28T12:09:52.482Z</dcterms:created>
  <dcterms:modified xsi:type="dcterms:W3CDTF">2026-03-28T12:09:52.482Z</dcterms:modified>
</cp:coreProperties>
</file>

<file path=docProps/custom.xml><?xml version="1.0" encoding="utf-8"?>
<Properties xmlns="http://schemas.openxmlformats.org/officeDocument/2006/custom-properties" xmlns:vt="http://schemas.openxmlformats.org/officeDocument/2006/docPropsVTypes"/>
</file>