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Transfer Impact Assessment (TIA)</w:t>
      </w:r>
    </w:p>
    <w:p>
      <w:pPr>
        <w:spacing w:after="240"/>
        <w:jc w:val="center"/>
      </w:pPr>
      <w:r>
        <w:rPr>
          <w:color w:val="2E75B6"/>
          <w:sz w:val="24"/>
          <w:szCs w:val="24"/>
        </w:rPr>
        <w:t xml:space="preserve">Deltagarportalen – Personuppgiftsöverföring till OpenRouter AI</w:t>
      </w:r>
    </w:p>
    <w:p>
      <w:pPr>
        <w:pStyle w:val="Heading1"/>
        <w:spacing w:before="240" w:after="120"/>
      </w:pPr>
      <w:r>
        <w:rPr>
          <w:b/>
          <w:bCs/>
          <w:color w:val="2E75B6"/>
          <w:sz w:val="32"/>
          <w:szCs w:val="32"/>
        </w:rPr>
        <w:t xml:space="preserve">1. Bakgrund och syfte</w:t>
      </w:r>
    </w:p>
    <w:p>
      <w:pPr>
        <w:spacing w:line="360" w:after="120"/>
      </w:pPr>
      <w:r>
        <w:t xml:space="preserve">Deltagarportalen överför personuppgifter till OpenRouter AI Inc. (USA) för AI-baserad textgenerering. Överföringen sker enligt EU:s standardavtalsklausuler (SCC, förordning 2021/914).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1.1 Data som överförs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CV-text (max 4000 tecken)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Jobbeskrivningar (max 3000–5000 tecken)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Personliga brev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Kompetensanalys</w:t>
      </w:r>
    </w:p>
    <w:p>
      <w:pPr>
        <w:spacing w:line="360" w:after="120"/>
      </w:pPr>
      <w:r>
        <w:t xml:space="preserve">Viktigt: Inga känsliga personuppgifter (ICF-klassificerad hälsodata) ska överföras till AI.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1.2 Överföringskanal och säkerhet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(TLS 1.3) till OpenRouter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Rättslig grund: EU:s standardavtalsklausuler (SCC, 2021/914)</w:t>
      </w:r>
    </w:p>
    <w:p>
      <w:pPr>
        <w:pStyle w:val="Heading1"/>
        <w:spacing w:before="240" w:after="120"/>
      </w:pPr>
      <w:r>
        <w:rPr>
          <w:b/>
          <w:bCs/>
          <w:color w:val="2E75B6"/>
          <w:sz w:val="32"/>
          <w:szCs w:val="32"/>
        </w:rPr>
        <w:t xml:space="preserve">2. Riskbedömning av mottagarlandets lagstiftning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2.1 Lagstiftning i USA</w:t>
      </w:r>
    </w:p>
    <w:p>
      <w:pPr>
        <w:spacing w:line="360" w:after="120"/>
      </w:pPr>
      <w:r>
        <w:t xml:space="preserve">Amerikanska myndigheter kan enligt FISA 702 och Executive Order 12333 få tillgång till överförda personuppgifter. EU-US Data Privacy Framework (DPF) antogs 2023 men gäller endast för certifierade företag.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2.2 DPF-certifiering för OpenRouter</w:t>
      </w:r>
    </w:p>
    <w:p>
      <w:pPr>
        <w:spacing w:line="360" w:after="120"/>
      </w:pPr>
      <w:r>
        <w:t xml:space="preserve">Status: ATT VERIFIERA – Undersök om OpenRouter AI Inc. är registrerad i DPF-listan.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2.3 Riskklassificering</w:t>
      </w:r>
    </w:p>
    <w:p>
      <w:pPr>
        <w:spacing w:line="360" w:after="120"/>
      </w:pPr>
      <w:r>
        <w:t xml:space="preserve">Risknivå: LÅGA–MEDEL. Personuppgifterna är begränsade i omfattning (kortare textfragment, inte fullständiga profiler), vilket minskar sårbarheten vid obehörig åtkomst.</w:t>
      </w:r>
    </w:p>
    <w:p>
      <w:pPr>
        <w:pStyle w:val="Heading1"/>
        <w:spacing w:before="240" w:after="120"/>
      </w:pPr>
      <w:r>
        <w:rPr>
          <w:b/>
          <w:bCs/>
          <w:color w:val="2E75B6"/>
          <w:sz w:val="32"/>
          <w:szCs w:val="32"/>
        </w:rPr>
        <w:t xml:space="preserve">3. Tekniska tilläggsåtgärder</w:t>
      </w:r>
    </w:p>
    <w:p>
      <w:pPr>
        <w:spacing w:line="360" w:after="120"/>
      </w:pPr>
      <w:r>
        <w:t xml:space="preserve">Enligt EDPB:s rekommendationer implementeras följande åtgärder: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minimeras före överföring (max tecken, HTML-sanitering)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NYTT: Namn, e-post och telefonnummer stripas före överföring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API-nycklar lagras server-side (Supabase Edge Functions)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per användare: max 10 förfrågningar/minut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Ingen lagring av data hos OpenRouter (att verifiera med leverantör)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TLS 1.3-kryptering under överföring</w:t>
      </w:r>
    </w:p>
    <w:p>
      <w:pPr>
        <w:pStyle w:val="Heading1"/>
        <w:spacing w:before="240" w:after="120"/>
      </w:pPr>
      <w:r>
        <w:rPr>
          <w:b/>
          <w:bCs/>
          <w:color w:val="2E75B6"/>
          <w:sz w:val="32"/>
          <w:szCs w:val="32"/>
        </w:rPr>
        <w:t xml:space="preserve">4. Organisatoriska tilläggsåtgärder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Personuppgiftsbiträdesavtal (Art. 28 GDPR) med OpenRouter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Regelbunden granskning av DPF-certifiering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Transparent information till användare om AI-behandling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Sekretessöverenskommelse med OpenRouter</w:t>
      </w:r>
    </w:p>
    <w:p>
      <w:pPr>
        <w:pStyle w:val="Heading1"/>
        <w:spacing w:before="240" w:after="120"/>
      </w:pPr>
      <w:r>
        <w:rPr>
          <w:b/>
          <w:bCs/>
          <w:color w:val="2E75B6"/>
          <w:sz w:val="32"/>
          <w:szCs w:val="32"/>
        </w:rPr>
        <w:t xml:space="preserve">5. Samlad bedömning</w:t>
      </w:r>
    </w:p>
    <w:p>
      <w:pPr>
        <w:spacing w:line="360" w:after="120"/>
      </w:pPr>
      <w:r>
        <w:t xml:space="preserve">Med genomförda åtgärder uppfyller överföringen kraven i GDPR Art. 44–49. Kvarstående risk: MEDEL (reducerbar genom pseudonymisering av namn och e-post).</w:t>
      </w:r>
    </w:p>
    <w:p>
      <w:pPr>
        <w:pStyle w:val="Heading1"/>
        <w:spacing w:before="240" w:after="120"/>
      </w:pPr>
      <w:r>
        <w:rPr>
          <w:b/>
          <w:bCs/>
          <w:color w:val="2E75B6"/>
          <w:sz w:val="32"/>
          <w:szCs w:val="32"/>
        </w:rPr>
        <w:t xml:space="preserve">6. Åtgärdsplan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526"/>
      </w:tblGrid>
      <w:tr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Åtgärd</w:t>
            </w:r>
          </w:p>
        </w:tc>
        <w:tc>
          <w:tcPr>
            <w:tcW w:type="dxa" w:w="35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Ansvarig</w:t>
            </w:r>
          </w:p>
        </w:tc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dxa" w:w="1526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Verifiera DPF-certifiering</w:t>
            </w:r>
          </w:p>
        </w:tc>
        <w:tc>
          <w:tcPr>
            <w:tcW w:type="dxa" w:w="35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</w:t>
            </w:r>
          </w:p>
        </w:tc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2026-04-15</w:t>
            </w:r>
          </w:p>
        </w:tc>
        <w:tc>
          <w:tcPr>
            <w:tcW w:type="dxa" w:w="1526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Implementera namn-stripping</w:t>
            </w:r>
          </w:p>
        </w:tc>
        <w:tc>
          <w:tcPr>
            <w:tcW w:type="dxa" w:w="35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Lead</w:t>
            </w:r>
          </w:p>
        </w:tc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2026-05-01</w:t>
            </w:r>
          </w:p>
        </w:tc>
        <w:tc>
          <w:tcPr>
            <w:tcW w:type="dxa" w:w="1526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Teckna PUB-avtal</w:t>
            </w:r>
          </w:p>
        </w:tc>
        <w:tc>
          <w:tcPr>
            <w:tcW w:type="dxa" w:w="35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</w:t>
            </w:r>
          </w:p>
        </w:tc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2026-05-15</w:t>
            </w:r>
          </w:p>
        </w:tc>
        <w:tc>
          <w:tcPr>
            <w:tcW w:type="dxa" w:w="1526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Återkommer granskning</w:t>
            </w:r>
          </w:p>
        </w:tc>
        <w:tc>
          <w:tcPr>
            <w:tcW w:type="dxa" w:w="35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</w:t>
            </w:r>
          </w:p>
        </w:tc>
        <w:tc>
          <w:tcPr>
            <w:tcW w:type="dxa" w:w="2000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Årligt</w:t>
            </w:r>
          </w:p>
        </w:tc>
        <w:tc>
          <w:tcPr>
            <w:tcW w:type="dxa" w:w="1526"/>
            <w:tcBorders>
              <w:top w:val="single" w:color="2E75B6" w:sz="6" w:space="1"/>
              <w:left w:val="single" w:color="2E75B6" w:sz="6" w:space="1"/>
              <w:bottom w:val="single" w:color="2E75B6" w:sz="6" w:space="1"/>
              <w:right w:val="single" w:color="2E75B6" w:sz="6" w:space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b/>
          <w:bCs/>
          <w:color w:val="2E75B6"/>
          <w:sz w:val="32"/>
          <w:szCs w:val="32"/>
        </w:rPr>
        <w:t xml:space="preserve">7. Godkännande</w:t>
      </w:r>
    </w:p>
    <w:p>
      <w:pPr>
        <w:spacing w:after="80"/>
      </w:pPr>
      <w:r>
        <w:rPr>
          <w:b/>
          <w:bCs/>
        </w:rPr>
        <w:t xml:space="preserve">Dataskyddsofficer (DPO)</w:t>
      </w:r>
    </w:p>
    <w:p>
      <w:pPr>
        <w:spacing w:after="40"/>
      </w:pPr>
      <w:r>
        <w:t xml:space="preserve">_______________________________</w:t>
      </w:r>
    </w:p>
    <w:p>
      <w:pPr>
        <w:spacing w:after="160"/>
      </w:pPr>
      <w:r>
        <w:t xml:space="preserve">Namn och signatur</w:t>
      </w:r>
    </w:p>
    <w:p>
      <w:pPr>
        <w:spacing w:after="80"/>
      </w:pPr>
      <w:r>
        <w:rPr>
          <w:b/>
          <w:bCs/>
        </w:rPr>
        <w:t xml:space="preserve">Personuppgiftsansvarig (Data Controller)</w:t>
      </w:r>
    </w:p>
    <w:p>
      <w:pPr>
        <w:spacing w:after="40"/>
      </w:pPr>
      <w:r>
        <w:t xml:space="preserve">_______________________________</w:t>
      </w:r>
    </w:p>
    <w:p>
      <w:pPr>
        <w:spacing w:after="240"/>
      </w:pPr>
      <w:r>
        <w:t xml:space="preserve">Namn och signatur</w:t>
      </w:r>
    </w:p>
    <w:p>
      <w:pPr>
        <w:spacing w:after="0"/>
      </w:pPr>
      <w:r>
        <w:t xml:space="preserve">Datum: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2026-03-28T12:09:52.476Z</dcterms:created>
  <dcterms:modified xsi:type="dcterms:W3CDTF">2026-03-28T12:09:52.477Z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