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e3a5f"/>
          <w:sz w:val="48"/>
          <w:szCs w:val="48"/>
        </w:rPr>
        <w:t xml:space="preserve">Adaptive Multi-Timescale Trading System</w:t>
      </w:r>
    </w:p>
    <w:p>
      <w:pPr>
        <w:spacing w:after="200"/>
        <w:jc w:val="center"/>
      </w:pPr>
      <w:r>
        <w:rPr>
          <w:rFonts w:ascii="Arial" w:cs="Arial" w:eastAsia="Arial" w:hAnsi="Arial"/>
          <w:color w:val="666666"/>
          <w:sz w:val="28"/>
          <w:szCs w:val="28"/>
        </w:rPr>
        <w:t xml:space="preserve">Project Document v0.3</w:t>
      </w:r>
    </w:p>
    <w:p>
      <w:pPr>
        <w:jc w:val="center"/>
      </w:pPr>
      <w:r>
        <w:rPr>
          <w:rFonts w:ascii="Arial" w:cs="Arial" w:eastAsia="Arial" w:hAnsi="Arial"/>
          <w:color w:val="999999"/>
          <w:sz w:val="24"/>
          <w:szCs w:val="24"/>
        </w:rPr>
        <w:t xml:space="preserve">February 2026</w:t>
      </w:r>
    </w:p>
    <w:p>
      <w:pPr>
        <w:spacing w:before="400"/>
        <w:jc w:val="center"/>
      </w:pPr>
      <w:r>
        <w:rPr>
          <w:rFonts w:ascii="Arial" w:cs="Arial" w:eastAsia="Arial" w:hAnsi="Arial"/>
          <w:i/>
          <w:iCs/>
          <w:color w:val="666666"/>
          <w:sz w:val="22"/>
          <w:szCs w:val="22"/>
        </w:rPr>
        <w:t xml:space="preserve">LLM-guided evolutionary strategy system for intraday equity trading</w:t>
      </w:r>
    </w:p>
    <w:p>
      <w:r>
        <w:br w:type="page"/>
      </w:r>
    </w:p>
    <w:p>
      <w:pPr>
        <w:pStyle w:val="Heading1"/>
      </w:pPr>
      <w:r>
        <w:t xml:space="preserve">1. Vision &amp; Core Thesis</w:t>
      </w:r>
    </w:p>
    <w:p>
      <w:pPr>
        <w:spacing w:after="120"/>
      </w:pPr>
      <w:r>
        <w:rPr>
          <w:rFonts w:ascii="Arial" w:cs="Arial" w:eastAsia="Arial" w:hAnsi="Arial"/>
          <w:sz w:val="22"/>
          <w:szCs w:val="22"/>
        </w:rPr>
        <w:t xml:space="preserve">An evolutionary trading system where LLM agents continuously analyze trade outcomes and tune strategy configurations, while a fast Rust execution engine handles real-time trading. The key insight: LLMs are alpha miners, not real-time traders. They identify patterns in historical trade data and evolve strategy parameters between trading sessions.</w:t>
      </w:r>
    </w:p>
    <w:p>
      <w:pPr>
        <w:spacing w:after="120"/>
      </w:pPr>
      <w:r>
        <w:rPr>
          <w:rFonts w:ascii="Arial" w:cs="Arial" w:eastAsia="Arial" w:hAnsi="Arial"/>
          <w:sz w:val="22"/>
          <w:szCs w:val="22"/>
        </w:rPr>
        <w:t xml:space="preserve">The system uses cascading timescale filters (1-minute through monthly) to build a composite market view. Each timescale has a specialist agent that owns its filter parameters. A PM agent orchestrates cross-cutting decisions. All config changes are versioned and auditable.</w:t>
      </w:r>
    </w:p>
    <w:p>
      <w:pPr>
        <w:pStyle w:val="Heading1"/>
      </w:pPr>
      <w:r>
        <w:t xml:space="preserve">2. Two-Layer Architecture</w:t>
      </w:r>
    </w:p>
    <w:p>
      <w:pPr>
        <w:pStyle w:val="Heading2"/>
      </w:pPr>
      <w:r>
        <w:t xml:space="preserve">2.1 Fast Layer (Rust Execution Engine)</w:t>
      </w:r>
    </w:p>
    <w:p>
      <w:pPr>
        <w:spacing w:after="120"/>
      </w:pPr>
      <w:r>
        <w:rPr>
          <w:rFonts w:ascii="Arial" w:cs="Arial" w:eastAsia="Arial" w:hAnsi="Arial"/>
          <w:sz w:val="22"/>
          <w:szCs w:val="22"/>
        </w:rPr>
        <w:t xml:space="preserve">Sub-millisecond tick processing. Loads strategy config on startup and hot-reloads between sessions. Computes indicators via ta-rs (22 native + 74 composable), aggregates per-timescale scores into a composite, evaluates entry/exit actions, and routes orders to the broker. The same Rust logic powers both live execution and backtesting.</w:t>
      </w:r>
    </w:p>
    <w:p>
      <w:pPr>
        <w:pStyle w:val="Heading2"/>
      </w:pPr>
      <w:r>
        <w:t xml:space="preserve">2.2 Slow Layer (Claude Agent SDK + Python Orchestrator)</w:t>
      </w:r>
    </w:p>
    <w:p>
      <w:pPr>
        <w:spacing w:after="120"/>
      </w:pPr>
      <w:r>
        <w:rPr>
          <w:rFonts w:ascii="Arial" w:cs="Arial" w:eastAsia="Arial" w:hAnsi="Arial"/>
          <w:sz w:val="22"/>
          <w:szCs w:val="22"/>
        </w:rPr>
        <w:t xml:space="preserve">Periodic evolution cycles run via the Claude Agent SDK (Python package). A Python orchestrator manages scheduling, budget tracking, and cycle dispatch. Two cycle types operate at different frequencies and cost tiers.</w:t>
      </w:r>
    </w:p>
    <w:p>
      <w:pPr>
        <w:spacing w:after="120"/>
      </w:pPr>
      <w:r>
        <w:rPr>
          <w:rFonts w:ascii="Arial" w:cs="Arial" w:eastAsia="Arial" w:hAnsi="Arial"/>
          <w:b/>
          <w:bCs/>
          <w:sz w:val="22"/>
          <w:szCs w:val="22"/>
        </w:rPr>
        <w:t xml:space="preserve">Full PM Cycles (1-3x daily, Sonnet 4.5):</w:t>
      </w:r>
    </w:p>
    <w:p>
      <w:pPr>
        <w:spacing w:after="120"/>
      </w:pPr>
      <w:r>
        <w:rPr>
          <w:rFonts w:ascii="Arial" w:cs="Arial" w:eastAsia="Arial" w:hAnsi="Arial"/>
          <w:sz w:val="22"/>
          <w:szCs w:val="22"/>
        </w:rPr>
        <w:t xml:space="preserve">All five timescale agents run, each analyzing recent trades and writing recommendation memos. The PM agent reads all memos plus check-in observations, makes cross-timescale decisions, and proposes config mutations. Only full PM cycles have config modification authority. The PM also reviews tool requests and drafts proposals for new tool types.</w:t>
      </w:r>
    </w:p>
    <w:p>
      <w:pPr>
        <w:spacing w:after="120"/>
      </w:pPr>
      <w:r>
        <w:rPr>
          <w:rFonts w:ascii="Arial" w:cs="Arial" w:eastAsia="Arial" w:hAnsi="Arial"/>
          <w:b/>
          <w:bCs/>
          <w:sz w:val="22"/>
          <w:szCs w:val="22"/>
        </w:rPr>
        <w:t xml:space="preserve">Lightweight Check-ins (more frequent, Haiku 4.5):</w:t>
      </w:r>
    </w:p>
    <w:p>
      <w:pPr>
        <w:spacing w:after="120"/>
      </w:pPr>
      <w:r>
        <w:rPr>
          <w:rFonts w:ascii="Arial" w:cs="Arial" w:eastAsia="Arial" w:hAnsi="Arial"/>
          <w:sz w:val="22"/>
          <w:szCs w:val="22"/>
        </w:rPr>
        <w:t xml:space="preserve">Only the 1-minute, 5-minute, and optionally hourly agents run. They observe market conditions and write observation memos with zero config authority. These build a richer evidence base for the next full PM cycle. When the PM does run, it has timestamped intraday observations in addition to raw trade data.</w:t>
      </w:r>
    </w:p>
    <w:p>
      <w:pPr>
        <w:spacing w:after="120"/>
      </w:pPr>
      <w:r>
        <w:rPr>
          <w:rFonts w:ascii="Arial" w:cs="Arial" w:eastAsia="Arial" w:hAnsi="Arial"/>
          <w:sz w:val="22"/>
          <w:szCs w:val="22"/>
        </w:rPr>
        <w:t xml:space="preserve">Check-in frequency is itself a config knob the PM can tune based on how useful the observations prove to be.</w:t>
      </w:r>
    </w:p>
    <w:p>
      <w:pPr>
        <w:pStyle w:val="Heading1"/>
      </w:pPr>
      <w:r>
        <w:t xml:space="preserve">3. Cascading Timescale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gridCol w:w="21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 Indicators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 Role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Microstructure, tape reading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 delta, bid-ask imbalance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 timing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(every 30 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Entry/exit patterns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MACD, candlestick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quality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(every 1 hr)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momentum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VWAP distance, volume 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structure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(every 2-3 hr)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bias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analysis, sector 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context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(full cycle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classification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VIX regime, macro trend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gates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(full cycle only)</w:t>
            </w:r>
          </w:p>
        </w:tc>
      </w:tr>
    </w:tbl>
    <w:p>
      <w:pPr>
        <w:pStyle w:val="Heading1"/>
      </w:pPr>
      <w:r>
        <w:t xml:space="preserve">4. Tool Belt &amp; Knobs</w:t>
      </w:r>
    </w:p>
    <w:p>
      <w:pPr>
        <w:spacing w:after="120"/>
      </w:pPr>
      <w:r>
        <w:rPr>
          <w:rFonts w:ascii="Arial" w:cs="Arial" w:eastAsia="Arial" w:hAnsi="Arial"/>
          <w:sz w:val="22"/>
          <w:szCs w:val="22"/>
        </w:rPr>
        <w:t xml:space="preserve">The Tool Belt consists of two registries: Indicator Registry (sensing) and Action Registry (doing). Each tool has tunable parameters (knobs) that agents adjust via config.</w:t>
      </w:r>
    </w:p>
    <w:p>
      <w:pPr>
        <w:pStyle w:val="Heading2"/>
      </w:pPr>
      <w:r>
        <w:t xml:space="preserve">4.1 Indicator Registry</w:t>
      </w:r>
    </w:p>
    <w:p>
      <w:pPr>
        <w:spacing w:after="120"/>
      </w:pPr>
      <w:r>
        <w:rPr>
          <w:rFonts w:ascii="Arial" w:cs="Arial" w:eastAsia="Arial" w:hAnsi="Arial"/>
          <w:sz w:val="22"/>
          <w:szCs w:val="22"/>
        </w:rPr>
        <w:t xml:space="preserve">Indicators are pure functions: market state in, normalized score out (-1.0 to +1.0). The implementation base is the ta-rs Rust crate. 22 indicators are available natively (EMA, SMA, RSI, MACD, Bollinger Bands, ATR, Keltner, Chandelier, CCI, MFI, OBV, etc.). An additional 74 can be composed from ta-rs primitives with &lt;50 lines of Rust each. The remaining ~67 require custom implementation (order flow, candlestick patterns, external data feeds). See tool_belt_catalog.md for the full 163-indicator inventory, and ta_rs_implementation_map.md for implementation paths.</w:t>
      </w:r>
    </w:p>
    <w:p>
      <w:pPr>
        <w:pStyle w:val="Heading2"/>
      </w:pPr>
      <w:r>
        <w:t xml:space="preserve">4.2 Action Registry</w:t>
      </w:r>
    </w:p>
    <w:p>
      <w:pPr>
        <w:spacing w:after="120"/>
      </w:pPr>
      <w:r>
        <w:rPr>
          <w:rFonts w:ascii="Arial" w:cs="Arial" w:eastAsia="Arial" w:hAnsi="Arial"/>
          <w:sz w:val="22"/>
          <w:szCs w:val="22"/>
        </w:rPr>
        <w:t xml:space="preserve">Actions manage position lifecycle across four phases: Entry (53 types covering breakout, pullback, mean reversion, momentum, order flow, pattern, and time-based entries), Exit (46 types covering stops, trailing stops, take profits, time exits, signal exits, breakeven), Monitor (10 position management types), and Sizing (15 methods from fixed fractional through CPPI). See tool_belt_catalog.md for the full 124-action inventory.</w:t>
      </w:r>
    </w:p>
    <w:p>
      <w:pPr>
        <w:pStyle w:val="Heading2"/>
      </w:pPr>
      <w:r>
        <w:t xml:space="preserve">4.3 Config as Manifest</w:t>
      </w:r>
    </w:p>
    <w:p>
      <w:pPr>
        <w:spacing w:after="120"/>
      </w:pPr>
      <w:r>
        <w:rPr>
          <w:rFonts w:ascii="Arial" w:cs="Arial" w:eastAsia="Arial" w:hAnsi="Arial"/>
          <w:sz w:val="22"/>
          <w:szCs w:val="22"/>
        </w:rPr>
        <w:t xml:space="preserve">The config is a declarative manifest of active tools and their knob values. Agents modify instances freely (enable/disable tools, tune parameters, adjust weights). New tool types require code changes via the Proposal System.</w:t>
      </w:r>
    </w:p>
    <w:p>
      <w:pPr>
        <w:pStyle w:val="Heading1"/>
      </w:pPr>
      <w:r>
        <w:t xml:space="preserve">5. Scoring Pipeline &amp; Decision Tree</w:t>
      </w:r>
    </w:p>
    <w:p>
      <w:pPr>
        <w:spacing w:after="120"/>
      </w:pPr>
      <w:r>
        <w:rPr>
          <w:rFonts w:ascii="Arial" w:cs="Arial" w:eastAsia="Arial" w:hAnsi="Arial"/>
          <w:sz w:val="22"/>
          <w:szCs w:val="22"/>
        </w:rPr>
        <w:t xml:space="preserve">Fixed pipeline architecture: each active indicator computes its score, scores are aggregated per timescale using normalized weights, timescale scores combine into a composite via weighted sum. Hard gates on short timescales (1min/5min must be positive) prevent entries against immediate momentum. Entry threshold and exit threshold are PM-tunable knobs.</w:t>
      </w:r>
    </w:p>
    <w:p>
      <w:pPr>
        <w:pStyle w:val="Heading1"/>
      </w:pPr>
      <w:r>
        <w:t xml:space="preserve">6. Evolutionary Strategy Loop</w:t>
      </w:r>
    </w:p>
    <w:p>
      <w:pPr>
        <w:pStyle w:val="Heading2"/>
      </w:pPr>
      <w:r>
        <w:t xml:space="preserve">6.1 Two-Tier Cycle Architecture</w:t>
      </w:r>
    </w:p>
    <w:p>
      <w:pPr>
        <w:spacing w:after="120"/>
      </w:pPr>
      <w:r>
        <w:rPr>
          <w:rFonts w:ascii="Arial" w:cs="Arial" w:eastAsia="Arial" w:hAnsi="Arial"/>
          <w:sz w:val="22"/>
          <w:szCs w:val="22"/>
        </w:rPr>
        <w:t xml:space="preserve">Full PM cycles run 1-3 times per day using Claude Sonnet 4.5 via the Claude Agent SDK. Each agent receives a system prompt with its timescale context, tools for SQL queries and config operations, and a JSON output schema. The PM agent additionally reads all check-in observation memos accumulated since the last full cycle, giving it intraday context beyond raw trade data.</w:t>
      </w:r>
    </w:p>
    <w:p>
      <w:pPr>
        <w:spacing w:after="120"/>
      </w:pPr>
      <w:r>
        <w:rPr>
          <w:rFonts w:ascii="Arial" w:cs="Arial" w:eastAsia="Arial" w:hAnsi="Arial"/>
          <w:sz w:val="22"/>
          <w:szCs w:val="22"/>
        </w:rPr>
        <w:t xml:space="preserve">Lightweight check-ins run more frequently using Claude Haiku 4.5 for cost efficiency. Only fast agents (1-min, 5-min, hourly) participate. They analyze recent trades and market conditions, writing structured observation memos. These memos have zero config authority but build evidence that the PM consumes.</w:t>
      </w:r>
    </w:p>
    <w:p>
      <w:pPr>
        <w:pStyle w:val="Heading2"/>
      </w:pPr>
      <w:r>
        <w:t xml:space="preserve">6.2 Config Changelog</w:t>
      </w:r>
    </w:p>
    <w:p>
      <w:pPr>
        <w:spacing w:after="120"/>
      </w:pPr>
      <w:r>
        <w:rPr>
          <w:rFonts w:ascii="Arial" w:cs="Arial" w:eastAsia="Arial" w:hAnsi="Arial"/>
          <w:sz w:val="22"/>
          <w:szCs w:val="22"/>
        </w:rPr>
        <w:t xml:space="preserve">Every config change produces atomic changelog entries (one row per knob turned, tool enabled/disabled, weight adjusted). Agents read the changelog at the start of every cycle to distinguish config-driven performance shifts from market-driven ones. Key fields: change_category, target_timescale, old_value, new_value, reason, evidence_trade_ids, and source_memo_id linking back to the agent memo that produced the change.</w:t>
      </w:r>
    </w:p>
    <w:p>
      <w:pPr>
        <w:pStyle w:val="Heading2"/>
      </w:pPr>
      <w:r>
        <w:t xml:space="preserve">6.3 Agent SDK Integration</w:t>
      </w:r>
    </w:p>
    <w:p>
      <w:pPr>
        <w:spacing w:after="120"/>
      </w:pPr>
      <w:r>
        <w:rPr>
          <w:rFonts w:ascii="Arial" w:cs="Arial" w:eastAsia="Arial" w:hAnsi="Arial"/>
          <w:sz w:val="22"/>
          <w:szCs w:val="22"/>
        </w:rPr>
        <w:t xml:space="preserve">Each agent invocation uses claude -p (headless mode) with --session-id for context continuity within a cycle, --output-format json for structured parsing, and --max-turns to cap tool use loops. The Python orchestrator dispatches cycles, tracks token usage from API responses, and enforces daily budget limits. Authentication uses standard Anthropic API keys (Tier 1, $100/month cap).</w:t>
      </w:r>
    </w:p>
    <w:p>
      <w:pPr>
        <w:pStyle w:val="Heading1"/>
      </w:pPr>
      <w:r>
        <w:t xml:space="preserve">7. Proposal System (Human-Gated)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240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Gap 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Timescale 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missing capability with trade evidence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ToolRequest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 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Evaluates cross-timescale impact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Accept/Decline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Proposal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 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Drafts Rust implementation + tests + docs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ToolProposal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 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Submits GitHub PR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 link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Human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iterate, merge or reject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Merged/Rejected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 deploy new engine binary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tool type in registry</w:t>
            </w:r>
          </w:p>
        </w:tc>
      </w:tr>
    </w:tbl>
    <w:p>
      <w:pPr>
        <w:pStyle w:val="Heading1"/>
      </w:pPr>
      <w:r>
        <w:t xml:space="preserve">8. Data Model</w:t>
      </w:r>
    </w:p>
    <w:p>
      <w:pPr>
        <w:spacing w:after="120"/>
      </w:pPr>
      <w:r>
        <w:rPr>
          <w:rFonts w:ascii="Arial" w:cs="Arial" w:eastAsia="Arial" w:hAnsi="Arial"/>
          <w:sz w:val="22"/>
          <w:szCs w:val="22"/>
        </w:rPr>
        <w:t xml:space="preserve">Core tables: config_versions (immutable append-only snapshots), trades (full decision context at entry/exit), trade_indicator_snapshots (cached indicator values), agent_memos (structured outputs with observation/recommendation types), evolution_cycles (full PM + check-in tracking with token/cost accounting), config_changelog (atomic change log), daily_budget (spend cap enforcement), tool_requests, and tool_proposals. Per-agent vector stores provide RAG-based insight retrieval.</w:t>
      </w:r>
    </w:p>
    <w:p>
      <w:pPr>
        <w:spacing w:after="120"/>
      </w:pPr>
      <w:r>
        <w:rPr>
          <w:rFonts w:ascii="Arial" w:cs="Arial" w:eastAsia="Arial" w:hAnsi="Arial"/>
          <w:sz w:val="22"/>
          <w:szCs w:val="22"/>
        </w:rPr>
        <w:t xml:space="preserve">See data_model.sql and technical_reference.md for the complete schema.</w:t>
      </w:r>
    </w:p>
    <w:p>
      <w:pPr>
        <w:pStyle w:val="Heading1"/>
      </w:pPr>
      <w:r>
        <w:t xml:space="preserve">9. Cost &amp; Budget Architecture</w:t>
      </w:r>
    </w:p>
    <w:p>
      <w:pPr>
        <w:spacing w:after="120"/>
      </w:pPr>
      <w:r>
        <w:rPr>
          <w:rFonts w:ascii="Arial" w:cs="Arial" w:eastAsia="Arial" w:hAnsi="Arial"/>
          <w:sz w:val="22"/>
          <w:szCs w:val="22"/>
        </w:rPr>
        <w:t xml:space="preserve">The system uses Anthropic API (Tier 1) with a $100/month hard cap. The Python orchestrator enforces a daily budget (default $5/day) by tracking input_tokens and output_tokens from each API response. Cost estimates per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560"/>
        <w:gridCol w:w="18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Cycle Type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 Tokens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Est. Cost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PM Cycle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Sonnet 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~114K 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1-3x/day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Check-in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Haiku 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total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5-10x/day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Daily 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1"/>
      </w:pPr>
      <w: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 ta-rs crate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Sub-ms tick loop, same code for live + backtest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Agent SDK (Python)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Headless mode, JSON output, session continuity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Full Cycles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4.5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$3/$15 per MTok, config authority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Check-ins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4.5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per MTok, observation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budget, dispatch, token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versions, trades, memos, changelog, budget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Store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(per-agent RAG)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Insight retrieval for longitudinal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Key (Tier 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$100/month hard cap, standard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Instrument Focus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 QQQ, 3-5 mega-caps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 equities/ETFs only</w:t>
            </w:r>
          </w:p>
        </w:tc>
      </w:tr>
    </w:tbl>
    <w:p>
      <w:pPr>
        <w:pStyle w:val="Heading1"/>
      </w:pPr>
      <w:r>
        <w:t xml:space="preserve">11. Research Foundations</w:t>
      </w:r>
    </w:p>
    <w:p>
      <w:pPr>
        <w:spacing w:after="120"/>
      </w:pPr>
      <w:r>
        <w:rPr>
          <w:rFonts w:ascii="Arial" w:cs="Arial" w:eastAsia="Arial" w:hAnsi="Arial"/>
          <w:sz w:val="22"/>
          <w:szCs w:val="22"/>
        </w:rPr>
        <w:t xml:space="preserve">The system draws on several research areas: evolutionary computation (strategy parameters evolve through LLM-guided mutation rather than genetic algorithms), multi-agent systems (specialist agents with different temporal perspectives), LLM-as-alpha-miner (using language models to identify patterns in trade logs rather than for real-time prediction), and cascading filter architectures (hierarchical signal aggregation from multiple timeframes).</w:t>
      </w:r>
    </w:p>
    <w:p>
      <w:pPr>
        <w:pStyle w:val="Heading1"/>
      </w:pPr>
      <w:r>
        <w:t xml:space="preserve">12. Deliverables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adaptive_trading_system_project_doc.docx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document (v0.3)</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system_architecture.mermaid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diagram (v0.3) with two-tier cycles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data_model.sql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SQL schema with memo types, cycle types, budget tracking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tool_belt_types.rs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type definitions for indicators, actions, scoring, config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proposal_system.rs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types for tool request/proposal pipeline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technical_reference.md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Consolidated Rust + SQL in single markdown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tool_belt_catalog.md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 indicators + 124 actions with descriptions and knobs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ta_rs_implementation_map.md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Mapping of catalog indicators to ta-rs implementation paths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development_spec.md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 specification for development phase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2026-02-28T05:00:26.399Z</dcterms:created>
  <dcterms:modified xsi:type="dcterms:W3CDTF">2026-02-28T05:00:26.400Z</dcterms:modified>
</cp:coreProperties>
</file>

<file path=docProps/custom.xml><?xml version="1.0" encoding="utf-8"?>
<Properties xmlns="http://schemas.openxmlformats.org/officeDocument/2006/custom-properties" xmlns:vt="http://schemas.openxmlformats.org/officeDocument/2006/docPropsVTypes"/>
</file>