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元界视创欧派 AI 家装共识工作台</w:t>
      </w:r>
    </w:p>
    <w:p>
      <w:r>
        <w:rPr>
          <w:b w:val="0"/>
        </w:rPr>
        <w:t>让生活需求成为可修改的设计方案</w:t>
      </w:r>
    </w:p>
    <w:p>
      <w:r>
        <w:rPr>
          <w:b w:val="0"/>
        </w:rPr>
        <w:t>2026 AI 先锋未来人才大赛 · 区域路演方案</w:t>
      </w:r>
    </w:p>
    <w:p>
      <w:pPr>
        <w:pStyle w:val="Heading1"/>
      </w:pPr>
      <w:r>
        <w:t>一 用户痛点</w:t>
      </w:r>
    </w:p>
    <w:p>
      <w:r>
        <w:rPr>
          <w:b w:val="0"/>
        </w:rPr>
        <w:t>“孩子要有地方玩，家里别太挤，喜欢的家具还想留着。”家庭说的是生活要求，设计师需要把它们落实到布局、家具和空间尺度。方案出来后，家人还要判断：这是不是我们想要的家？</w:t>
      </w:r>
    </w:p>
    <w:p>
      <w:r>
        <w:rPr>
          <w:b w:val="0"/>
        </w:rPr>
        <w:t>真实装修案例中，南京“16号住宅”通过移动椅凳兼顾工作、用餐和休息；“梦想之家”在适应家庭变化时保留屋主珍视的旧物。[1] 家装设计需要理解怎样生活，也需要说明每次调整保留了什么、改变了什么。</w:t>
      </w:r>
    </w:p>
    <w:p>
      <w:r>
        <w:rPr>
          <w:b w:val="0"/>
        </w:rPr>
        <w:t>安徽和瑞安消保机构的地方调查记录了设计不满意、方案反复变化与预算偏差相关的纠纷。[2] 我们选择从设计前期入手，让家庭先看见方案，再确认取舍。</w:t>
      </w:r>
    </w:p>
    <w:p>
      <w:pPr>
        <w:pStyle w:val="Heading1"/>
      </w:pPr>
      <w:r>
        <w:t>二 产品怎么解决</w:t>
      </w:r>
    </w:p>
    <w:p>
      <w:r>
        <w:rPr>
          <w:b w:val="0"/>
        </w:rPr>
        <w:t>家庭用自然语言提出需求，AI在同一个可编辑3D空间中给出调整。用户可以继续修改、比较前后、撤销不满意的结果，最后保存确认版本。</w:t>
      </w:r>
    </w:p>
    <w:p>
      <w:r>
        <w:rPr>
          <w:b w:val="0"/>
        </w:rPr>
      </w:r>
      <w:r>
        <w:rPr>
          <w:b/>
        </w:rPr>
        <w:t>产品流程：</w:t>
      </w:r>
      <w:r>
        <w:rPr>
          <w:b w:val="0"/>
        </w:rPr>
        <w:t>说出需求 → 看见空间变化 → 调整并确认 → 交给设计师。</w:t>
      </w:r>
    </w:p>
    <w:p>
      <w:r>
        <w:rPr>
          <w:b w:val="0"/>
        </w:rPr>
      </w:r>
      <w:r>
        <w:rPr>
          <w:b/>
        </w:rPr>
        <w:t>设计可修改。</w:t>
      </w:r>
      <w:r>
        <w:rPr>
          <w:b w:val="0"/>
        </w:rPr>
        <w:t>平面总览与3D编辑使用同一份空间数据。AI和手动操作经过统一的动作与规则检查，修改落实到具体家具、位置和材质。</w:t>
      </w:r>
    </w:p>
    <w:p>
      <w:r>
        <w:rPr>
          <w:b w:val="0"/>
        </w:rPr>
      </w:r>
      <w:r>
        <w:rPr>
          <w:b/>
        </w:rPr>
        <w:t>取舍可讨论。</w:t>
      </w:r>
      <w:r>
        <w:rPr>
          <w:b w:val="0"/>
        </w:rPr>
        <w:t>家庭围绕同一方案补充意见，决定保留哪些变化，记录仍需解决的问题。</w:t>
      </w:r>
    </w:p>
    <w:p>
      <w:r>
        <w:rPr>
          <w:b w:val="0"/>
        </w:rPr>
      </w:r>
      <w:r>
        <w:rPr>
          <w:b/>
        </w:rPr>
        <w:t>结果可交接。</w:t>
      </w:r>
      <w:r>
        <w:rPr>
          <w:b w:val="0"/>
        </w:rPr>
        <w:t>确认后点击“提交复核并同步飞书”，保存交接快照。设计师承接确认版本、修改记录和待复核事项。DeepSeek负责设计提案，Aily整理共识摘要，多维表格承接留痕。</w:t>
      </w:r>
    </w:p>
    <w:p>
      <w:pPr>
        <w:pStyle w:val="Heading1"/>
      </w:pPr>
      <w:r>
        <w:t>三 演示什么</w:t>
      </w:r>
    </w:p>
    <w:p>
      <w:r>
        <w:rPr>
          <w:b w:val="0"/>
        </w:rPr>
        <w:t>以一个客餐厅演示家庭为例，展示一次家具布局调整：提出生活要求，查看3D变化，对照修改前后，保留或撤销，再打开确认版本与复核交接页。</w:t>
      </w:r>
    </w:p>
    <w:p>
      <w:r>
        <w:rPr>
          <w:b w:val="0"/>
        </w:rPr>
        <w:t>演示重点是让观众看懂“这次改了什么、为什么保留、设计师接下来拿到什么”。固定脚本标注为预设演示，在线模型采用真实运行片段；演示准备要求见附件。</w:t>
      </w:r>
    </w:p>
    <w:p>
      <w:r>
        <w:br w:type="page"/>
      </w:r>
    </w:p>
    <w:p>
      <w:pPr>
        <w:pStyle w:val="Heading1"/>
      </w:pPr>
      <w:r>
        <w:t>四 已有成果</w:t>
      </w:r>
    </w:p>
    <w:p>
      <w:r>
        <w:rPr>
          <w:b w:val="0"/>
        </w:rPr>
        <w:t>9月7日，首页、工作台、复核和交接页面已发布到公网。新版加入飞书同步状态、失败重试和交接记录入口。[3]</w:t>
      </w:r>
    </w:p>
    <w:p>
      <w:r>
        <w:rPr>
          <w:b w:val="0"/>
        </w:rPr>
        <w:t>DeepSeek 已跑通基础设计用例；Aily 摘要与多维表格交接流程已在测试环境验证。复杂需求的 Agent 执行与评测机制仍在完善。</w:t>
      </w:r>
    </w:p>
    <w:p>
      <w:r>
        <w:rPr>
          <w:b w:val="0"/>
        </w:rPr>
      </w:r>
      <w:r>
        <w:rPr>
          <w:b/>
        </w:rPr>
        <w:t>当前范围：</w:t>
      </w:r>
      <w:r>
        <w:rPr>
          <w:b w:val="0"/>
        </w:rPr>
        <w:t>企业真实商品、报价、BOM和生产系统尚未接入，业务提效待试点验证。</w:t>
      </w:r>
    </w:p>
    <w:p>
      <w:pPr>
        <w:pStyle w:val="Heading1"/>
      </w:pPr>
      <w:r>
        <w:t>五 企业价值</w:t>
      </w:r>
    </w:p>
    <w:p>
      <w:r>
        <w:rPr>
          <w:b w:val="0"/>
        </w:rPr>
        <w:t>我们希望设计师在深化前拿到清楚的生活需求、确认方案和待解决问题，减少重复解释与版本错用；家庭能够看懂并参与自己的设计决定。</w:t>
      </w:r>
    </w:p>
    <w:p>
      <w:r>
        <w:rPr>
          <w:b w:val="0"/>
        </w:rPr>
        <w:t>下一步选择一个门店或设计团队，在相近任务下比较现有流程与工作台，观察三个结果：</w:t>
      </w:r>
      <w:r>
        <w:rPr>
          <w:b/>
        </w:rPr>
        <w:t>确认方案用了多久、重大修改有几轮、多少交接因需求或版本不清被退回。</w:t>
      </w:r>
      <w:r>
        <w:rPr>
          <w:b w:val="0"/>
        </w:rPr>
        <w:t>用实际结果判断是否扩大应用。</w:t>
      </w:r>
    </w:p>
    <w:p>
      <w:r>
        <w:rPr>
          <w:b w:val="0"/>
        </w:rPr>
        <w:t>团队分工：冯汉骥负责技术与集成，林楚钒负责产品体验与演示，郑绮岚负责行业及用户研究。</w:t>
      </w:r>
    </w:p>
    <w:p>
      <w:r>
        <w:rPr>
          <w:b w:val="0"/>
        </w:rPr>
      </w:r>
      <w:r>
        <w:rPr>
          <w:b/>
        </w:rPr>
        <w:t>我们交付的是一份能继续推进的设计：家庭知道确认了什么，设计师知道从哪里接手。</w:t>
      </w:r>
      <w:r>
        <w:rPr>
          <w:b w:val="0"/>
        </w:rPr>
      </w:r>
    </w:p>
    <w:p>
      <w:r>
        <w:rPr>
          <w:b w:val="0"/>
        </w:rPr>
        <w:t>体验入口：</w:t>
      </w:r>
      <w:hyperlink r:id="rId10">
        <w:r>
          <w:rPr>
            <w:color w:val="245477"/>
          </w:rPr>
          <w:t>欧派共创空间</w:t>
        </w:r>
      </w:hyperlink>
      <w:r>
        <w:rPr>
          <w:b w:val="0"/>
        </w:rPr>
        <w:t>。随附材料包含装修案例、行业调查、运行证据及答辩备忘。</w:t>
      </w:r>
    </w:p>
    <w:p>
      <w:pPr>
        <w:pStyle w:val="Heading2"/>
      </w:pPr>
      <w:r>
        <w:t>参考资料</w:t>
      </w:r>
    </w:p>
    <w:p>
      <w:pPr>
        <w:spacing w:line="260" w:lineRule="exact" w:after="80"/>
      </w:pPr>
      <w:r>
        <w:rPr>
          <w:b w:val="0"/>
          <w:sz w:val="18"/>
        </w:rPr>
        <w:t xml:space="preserve">[1] </w:t>
      </w:r>
      <w:hyperlink r:id="rId11">
        <w:r>
          <w:rPr>
            <w:color w:val="245477"/>
          </w:rPr>
          <w:t>16号住宅</w:t>
        </w:r>
      </w:hyperlink>
      <w:r>
        <w:rPr>
          <w:b w:val="0"/>
          <w:sz w:val="18"/>
        </w:rPr>
        <w:t>；</w:t>
      </w:r>
      <w:hyperlink r:id="rId12">
        <w:r>
          <w:rPr>
            <w:color w:val="245477"/>
          </w:rPr>
          <w:t>梦想之家</w:t>
        </w:r>
      </w:hyperlink>
      <w:r>
        <w:rPr>
          <w:b w:val="0"/>
          <w:sz w:val="18"/>
        </w:rPr>
        <w:t>。项目案例用于解释生活需求。</w:t>
      </w:r>
    </w:p>
    <w:p>
      <w:pPr>
        <w:spacing w:line="260" w:lineRule="exact" w:after="80"/>
      </w:pPr>
      <w:r>
        <w:rPr>
          <w:b w:val="0"/>
          <w:sz w:val="18"/>
        </w:rPr>
        <w:t xml:space="preserve">[2] </w:t>
      </w:r>
      <w:hyperlink r:id="rId13">
        <w:r>
          <w:rPr>
            <w:color w:val="245477"/>
          </w:rPr>
          <w:t>安徽省消保委调查</w:t>
        </w:r>
      </w:hyperlink>
      <w:r>
        <w:rPr>
          <w:b w:val="0"/>
          <w:sz w:val="18"/>
        </w:rPr>
        <w:t>，2026年发布；</w:t>
      </w:r>
      <w:hyperlink r:id="rId14">
        <w:r>
          <w:rPr>
            <w:color w:val="245477"/>
          </w:rPr>
          <w:t>瑞安市消保委调查</w:t>
        </w:r>
      </w:hyperlink>
      <w:r>
        <w:rPr>
          <w:b w:val="0"/>
          <w:sz w:val="18"/>
        </w:rPr>
        <w:t>，2025年发布。地方调查，不代表全国发生率。</w:t>
      </w:r>
    </w:p>
    <w:p>
      <w:pPr>
        <w:spacing w:line="260" w:lineRule="exact" w:after="80"/>
      </w:pPr>
      <w:r>
        <w:rPr>
          <w:b w:val="0"/>
          <w:sz w:val="18"/>
        </w:rPr>
        <w:t>[3] 项目技术进展与后续计划见《老师提交正文》第六节。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432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340" w:lineRule="exact"/>
    </w:pPr>
    <w:rPr>
      <w:rFonts w:ascii="Arial Unicode MS" w:hAnsi="Arial Unicode MS" w:eastAsia="Arial Unicode MS" w:cs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 w:line="460" w:lineRule="exact"/>
      <w:outlineLvl w:val="0"/>
    </w:pPr>
    <w:rPr>
      <w:rFonts w:ascii="Arial Unicode MS" w:hAnsi="Arial Unicode MS" w:eastAsia="Arial Unicode MS" w:cs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 w:line="380" w:lineRule="exact"/>
      <w:outlineLvl w:val="1"/>
    </w:pPr>
    <w:rPr>
      <w:rFonts w:ascii="Arial Unicode MS" w:hAnsi="Arial Unicode MS" w:eastAsia="Arial Unicode MS" w:cs="Arial Unicode M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620" w:lineRule="exact"/>
      <w:contextualSpacing/>
    </w:pPr>
    <w:rPr>
      <w:rFonts w:ascii="Arial Unicode MS" w:hAnsi="Arial Unicode MS" w:eastAsia="Arial Unicode MS" w:cs="Arial Unicode MS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 w:line="380" w:lineRule="exact"/>
    </w:pPr>
    <w:rPr>
      <w:rFonts w:ascii="Arial Unicode MS" w:hAnsi="Arial Unicode MS" w:eastAsia="Arial Unicode MS" w:cs="Arial Unicode MS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opai.glasser.top" TargetMode="External"/><Relationship Id="rId11" Type="http://schemas.openxmlformats.org/officeDocument/2006/relationships/hyperlink" Target="https://www.archdaily.com/zh/965911/16hao-zhu-zhai-moujian-zhu-gong-she" TargetMode="External"/><Relationship Id="rId12" Type="http://schemas.openxmlformats.org/officeDocument/2006/relationships/hyperlink" Target="https://www.archdaily.cn/cn/933046/meng-xiang-zhi-jia-jin-gu-feng-huang-kong-jian-ce-hua-ji-gou" TargetMode="External"/><Relationship Id="rId13" Type="http://schemas.openxmlformats.org/officeDocument/2006/relationships/hyperlink" Target="https://www.ah315.cn/display.asp?id=145553" TargetMode="External"/><Relationship Id="rId14" Type="http://schemas.openxmlformats.org/officeDocument/2006/relationships/hyperlink" Target="https://www.zj315.org/News/ArticleDetail.aspx?iIY2ISQvqOCx2lyebzV9sw=%3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元界视创欧派 AI 家装共识工作台</dc:title>
  <dc:subject>区域路演方案优化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