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DataKollecta</w:t>
      </w:r>
    </w:p>
    <w:p>
      <w:pPr>
        <w:pStyle w:val="Subtitle"/>
      </w:pPr>
      <w:r>
        <w:t xml:space="preserve">System Management SOP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628"/>
        <w:gridCol w:w="7009"/>
      </w:tblGrid>
      <w:tr>
        <w:trPr>
          <w:cantSplit/>
          <w:tblHeader w:val="true"/>
        </w:trPr>
        <w:tc>
          <w:tcPr>
            <w:tcW w:type="dxa" w:w="262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Document control</w:t>
            </w:r>
          </w:p>
        </w:tc>
        <w:tc>
          <w:tcPr>
            <w:tcW w:type="dxa" w:w="7009"/>
            <w:shd w:val="clear" w:color="auto" w:fill="DCE4EE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ID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DK-SOP-001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Approved for use once signed below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IDRC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DataKollecta electronic data capture system (field application, web portal and server, survey tools)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Effective date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Date of final approval signature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Supersedes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None (first issue)</w:t>
            </w:r>
          </w:p>
        </w:tc>
      </w:tr>
    </w:tbl>
    <w:bookmarkStart w:id="20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By signing, each person confirms that they have reviewed this document and that it is</w:t>
      </w:r>
      <w:r>
        <w:t xml:space="preserve"> </w:t>
      </w:r>
      <w:r>
        <w:t xml:space="preserve">accurate and fit for its stated purpose. The document is effective from the date of the</w:t>
      </w:r>
      <w:r>
        <w:t xml:space="preserve"> </w:t>
      </w:r>
      <w:r>
        <w:t xml:space="preserve">last signature.</w:t>
      </w:r>
    </w:p>
    <w:tbl>
      <w:tblPr>
        <w:tblStyle w:val="Table"/>
        <w:tblW w:type="dxa" w:w="9635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230"/>
        <w:gridCol w:w="3075"/>
        <w:gridCol w:w="2050"/>
        <w:gridCol w:w="2050"/>
        <w:gridCol w:w="1230"/>
      </w:tblGrid>
      <w:tr>
        <w:trPr>
          <w:cantSplit/>
          <w:tblHeader w:val="true"/>
        </w:trPr>
        <w:tc>
          <w:tcPr>
            <w:tcW w:type="dxa" w:w="123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Signatory</w:t>
            </w:r>
          </w:p>
        </w:tc>
        <w:tc>
          <w:tcPr>
            <w:tcW w:type="dxa" w:w="307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Role</w:t>
            </w:r>
          </w:p>
        </w:tc>
        <w:tc>
          <w:tcPr>
            <w:tcW w:type="dxa" w:w="205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Name</w:t>
            </w:r>
          </w:p>
        </w:tc>
        <w:tc>
          <w:tcPr>
            <w:tcW w:type="dxa" w:w="205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Signature</w:t>
            </w:r>
          </w:p>
        </w:tc>
        <w:tc>
          <w:tcPr>
            <w:tcW w:type="dxa" w:w="123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Date</w:t>
            </w:r>
          </w:p>
        </w:tc>
      </w:tr>
      <w:tr>
        <w:trPr>
          <w:cantSplit/>
          <w:trHeight w:val="567"/>
        </w:trPr>
        <w:tc>
          <w:tcPr>
            <w:tcW w:type="dxa" w:w="1230"/>
          </w:tcPr>
          <w:p>
            <w:pPr>
              <w:pStyle w:val="Compact"/>
              <w:keepNext/>
              <w:jc w:val="left"/>
            </w:pPr>
            <w:r>
              <w:rPr>
                <w:bCs/>
                <w:b/>
              </w:rPr>
              <w:t xml:space="preserve">Author</w:t>
            </w:r>
          </w:p>
        </w:tc>
        <w:tc>
          <w:tcPr>
            <w:tcW w:type="dxa" w:w="3075"/>
          </w:tcPr>
          <w:p>
            <w:pPr>
              <w:pStyle w:val="Compact"/>
              <w:keepNext/>
              <w:jc w:val="left"/>
            </w:pPr>
            <w:r>
              <w:t xml:space="preserve">System Owner / Lead Developer</w:t>
            </w: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1230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1230"/>
          </w:tcPr>
          <w:p>
            <w:pPr>
              <w:pStyle w:val="Compact"/>
              <w:keepNext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>
            <w:tcW w:type="dxa" w:w="3075"/>
          </w:tcPr>
          <w:p>
            <w:pPr>
              <w:pStyle w:val="Compact"/>
              <w:keepNext/>
              <w:jc w:val="left"/>
            </w:pPr>
            <w:r>
              <w:t xml:space="preserve">Quality Assurance</w:t>
            </w: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1230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123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Approver</w:t>
            </w:r>
          </w:p>
        </w:tc>
        <w:tc>
          <w:tcPr>
            <w:tcW w:type="dxa" w:w="3075"/>
          </w:tcPr>
          <w:p>
            <w:pPr>
              <w:pStyle w:val="Compact"/>
              <w:jc w:val="left"/>
            </w:pPr>
            <w:r>
              <w:t xml:space="preserve">Head of Data Management</w:t>
            </w:r>
          </w:p>
        </w:tc>
        <w:tc>
          <w:tcPr>
            <w:tcW w:type="dxa" w:w="2050"/>
          </w:tcPr>
          <w:p>
            <w:pPr>
              <w:pStyle w:val="Compact"/>
            </w:pPr>
          </w:p>
        </w:tc>
        <w:tc>
          <w:tcPr>
            <w:tcW w:type="dxa" w:w="2050"/>
          </w:tcPr>
          <w:p>
            <w:pPr>
              <w:pStyle w:val="Compact"/>
            </w:pPr>
          </w:p>
        </w:tc>
        <w:tc>
          <w:tcPr>
            <w:tcW w:type="dxa" w:w="1230"/>
          </w:tcPr>
          <w:p>
            <w:pPr>
              <w:pStyle w:val="Compact"/>
            </w:pPr>
          </w:p>
        </w:tc>
      </w:tr>
    </w:tbl>
    <w:bookmarkEnd w:id="20"/>
    <w:bookmarkStart w:id="21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dxa" w:w="96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097"/>
        <w:gridCol w:w="1219"/>
        <w:gridCol w:w="5856"/>
        <w:gridCol w:w="1464"/>
      </w:tblGrid>
      <w:tr>
        <w:trPr>
          <w:cantSplit/>
          <w:tblHeader w:val="true"/>
        </w:trPr>
        <w:tc>
          <w:tcPr>
            <w:tcW w:type="dxa" w:w="109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W w:type="dxa" w:w="121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5856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  <w:tc>
          <w:tcPr>
            <w:tcW w:type="dxa" w:w="146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rPr>
          <w:cantSplit/>
        </w:trPr>
        <w:tc>
          <w:tcPr>
            <w:tcW w:type="dxa" w:w="1097"/>
          </w:tcPr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>
            <w:tcW w:type="dxa" w:w="1219"/>
          </w:tcPr>
          <w:p>
            <w:pPr>
              <w:pStyle w:val="Compact"/>
            </w:pPr>
          </w:p>
        </w:tc>
        <w:tc>
          <w:tcPr>
            <w:tcW w:type="dxa" w:w="5856"/>
          </w:tcPr>
          <w:p>
            <w:pPr>
              <w:pStyle w:val="Compact"/>
              <w:jc w:val="left"/>
            </w:pPr>
            <w:r>
              <w:t xml:space="preserve">First issue. Retrospective validation baseline.</w:t>
            </w:r>
          </w:p>
        </w:tc>
        <w:tc>
          <w:tcPr>
            <w:tcW w:type="dxa" w:w="1464"/>
          </w:tcPr>
          <w:p>
            <w:pPr>
              <w:pStyle w:val="Compact"/>
            </w:pPr>
          </w:p>
        </w:tc>
      </w:tr>
    </w:tbl>
    <w:bookmarkEnd w:id="21"/>
    <w:bookmarkStart w:id="22" w:name="purpose"/>
    <w:p>
      <w:pPr>
        <w:pStyle w:val="Heading1"/>
        <w:pageBreakBefore/>
      </w:pPr>
      <w:r>
        <w:t xml:space="preserve">1. Purpose</w:t>
      </w:r>
    </w:p>
    <w:p>
      <w:pPr>
        <w:pStyle w:val="FirstParagraph"/>
      </w:pPr>
      <w:r>
        <w:t xml:space="preserve">This standard operating procedure (SOP) defines how the DataKollecta system is operated and</w:t>
      </w:r>
      <w:r>
        <w:t xml:space="preserve"> </w:t>
      </w:r>
      <w:r>
        <w:t xml:space="preserve">maintained so that it stays in a validated state throughout its life. It covers:</w:t>
      </w:r>
    </w:p>
    <w:p>
      <w:pPr>
        <w:pStyle w:val="Compact"/>
        <w:numPr>
          <w:ilvl w:val="0"/>
          <w:numId w:val="1001"/>
        </w:numPr>
      </w:pPr>
      <w:r>
        <w:t xml:space="preserve">change control and release;</w:t>
      </w:r>
    </w:p>
    <w:p>
      <w:pPr>
        <w:pStyle w:val="Compact"/>
        <w:numPr>
          <w:ilvl w:val="0"/>
          <w:numId w:val="1001"/>
        </w:numPr>
      </w:pPr>
      <w:r>
        <w:t xml:space="preserve">user access;</w:t>
      </w:r>
    </w:p>
    <w:p>
      <w:pPr>
        <w:pStyle w:val="Compact"/>
        <w:numPr>
          <w:ilvl w:val="0"/>
          <w:numId w:val="1001"/>
        </w:numPr>
      </w:pPr>
      <w:r>
        <w:t xml:space="preserve">audit-trail review;</w:t>
      </w:r>
    </w:p>
    <w:p>
      <w:pPr>
        <w:pStyle w:val="Compact"/>
        <w:numPr>
          <w:ilvl w:val="0"/>
          <w:numId w:val="1001"/>
        </w:numPr>
      </w:pPr>
      <w:r>
        <w:t xml:space="preserve">backup and recovery;</w:t>
      </w:r>
    </w:p>
    <w:p>
      <w:pPr>
        <w:pStyle w:val="Compact"/>
        <w:numPr>
          <w:ilvl w:val="0"/>
          <w:numId w:val="1001"/>
        </w:numPr>
      </w:pPr>
      <w:r>
        <w:t xml:space="preserve">incidents and support;</w:t>
      </w:r>
    </w:p>
    <w:p>
      <w:pPr>
        <w:pStyle w:val="Compact"/>
        <w:numPr>
          <w:ilvl w:val="0"/>
          <w:numId w:val="1001"/>
        </w:numPr>
      </w:pPr>
      <w:r>
        <w:t xml:space="preserve">security;</w:t>
      </w:r>
    </w:p>
    <w:p>
      <w:pPr>
        <w:pStyle w:val="Compact"/>
        <w:numPr>
          <w:ilvl w:val="0"/>
          <w:numId w:val="1001"/>
        </w:numPr>
      </w:pPr>
      <w:r>
        <w:t xml:space="preserve">the release of study configurations;</w:t>
      </w:r>
    </w:p>
    <w:p>
      <w:pPr>
        <w:pStyle w:val="Compact"/>
        <w:numPr>
          <w:ilvl w:val="0"/>
          <w:numId w:val="1001"/>
        </w:numPr>
      </w:pPr>
      <w:r>
        <w:t xml:space="preserve">periodic review;</w:t>
      </w:r>
    </w:p>
    <w:p>
      <w:pPr>
        <w:pStyle w:val="Compact"/>
        <w:numPr>
          <w:ilvl w:val="0"/>
          <w:numId w:val="1001"/>
        </w:numPr>
      </w:pPr>
      <w:r>
        <w:t xml:space="preserve">training;</w:t>
      </w:r>
    </w:p>
    <w:p>
      <w:pPr>
        <w:pStyle w:val="Compact"/>
        <w:numPr>
          <w:ilvl w:val="0"/>
          <w:numId w:val="1001"/>
        </w:numPr>
      </w:pPr>
      <w:r>
        <w:t xml:space="preserve">retention and decommissioning.</w:t>
      </w:r>
    </w:p>
    <w:p>
      <w:pPr>
        <w:pStyle w:val="FirstParagraph"/>
      </w:pPr>
      <w:r>
        <w:t xml:space="preserve">One SOP covers all of these so that the procedures stay consistent with each other. The forms</w:t>
      </w:r>
      <w:r>
        <w:t xml:space="preserve"> </w:t>
      </w:r>
      <w:r>
        <w:t xml:space="preserve">needed to record each activity are in the appendices.</w:t>
      </w:r>
    </w:p>
    <w:bookmarkEnd w:id="22"/>
    <w:bookmarkStart w:id="23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This SOP applies to every component of the DataKollecta system listed in the Validation Plan</w:t>
      </w:r>
      <w:r>
        <w:t xml:space="preserve"> </w:t>
      </w:r>
      <w:r>
        <w:t xml:space="preserve">(DK-VAL-001), in production, and to everyone who develops, administers or uses it.</w:t>
      </w:r>
      <w:r>
        <w:t xml:space="preserve"> </w:t>
      </w:r>
      <w:r>
        <w:t xml:space="preserve">Study-specific procedures, such as data management plans and data query processes, are</w:t>
      </w:r>
      <w:r>
        <w:t xml:space="preserve"> </w:t>
      </w:r>
      <w:r>
        <w:t xml:space="preserve">outside its scope. This SOP refers to them where they connect.</w:t>
      </w:r>
    </w:p>
    <w:bookmarkEnd w:id="23"/>
    <w:bookmarkStart w:id="24" w:name="responsibilities"/>
    <w:p>
      <w:pPr>
        <w:pStyle w:val="Heading1"/>
      </w:pPr>
      <w:r>
        <w:t xml:space="preserve">3. Responsibilities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665"/>
        <w:gridCol w:w="6972"/>
      </w:tblGrid>
      <w:tr>
        <w:trPr>
          <w:cantSplit/>
          <w:tblHeader w:val="true"/>
        </w:trPr>
        <w:tc>
          <w:tcPr>
            <w:tcW w:type="dxa" w:w="266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W w:type="dxa" w:w="697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Responsibilities under this SOP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Owner</w:t>
            </w:r>
          </w:p>
        </w:tc>
        <w:tc>
          <w:tcPr>
            <w:tcW w:type="dxa" w:w="6972"/>
          </w:tcPr>
          <w:p>
            <w:pPr>
              <w:pStyle w:val="Compact"/>
              <w:jc w:val="left"/>
            </w:pPr>
            <w:r>
              <w:t xml:space="preserve">Accountable for the system and its validated state. Approves changes and releases; ensures that reviews, backups and restore tests happen; keeps the validation package current.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</w:t>
            </w:r>
          </w:p>
        </w:tc>
        <w:tc>
          <w:tcPr>
            <w:tcW w:type="dxa" w:w="6972"/>
          </w:tcPr>
          <w:p>
            <w:pPr>
              <w:pStyle w:val="Compact"/>
              <w:jc w:val="left"/>
            </w:pPr>
            <w:r>
              <w:t xml:space="preserve">Makes changes under change control, runs the automated tests, prepares releases, documents changes.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Assurance (QA)</w:t>
            </w:r>
          </w:p>
        </w:tc>
        <w:tc>
          <w:tcPr>
            <w:tcW w:type="dxa" w:w="6972"/>
          </w:tcPr>
          <w:p>
            <w:pPr>
              <w:pStyle w:val="Compact"/>
              <w:jc w:val="left"/>
            </w:pPr>
            <w:r>
              <w:t xml:space="preserve">Independently reviews changes, test evidence and periodic reviews; approves Major changes; follows up CAPAs.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Administrator</w:t>
            </w:r>
          </w:p>
        </w:tc>
        <w:tc>
          <w:tcPr>
            <w:tcW w:type="dxa" w:w="6972"/>
          </w:tcPr>
          <w:p>
            <w:pPr>
              <w:pStyle w:val="Compact"/>
              <w:jc w:val="left"/>
            </w:pPr>
            <w:r>
              <w:t xml:space="preserve">Administers the hosting accounts; runs backups and restore tests; applies platform and security settings. Must not take part in entering or changing study data.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Owner</w:t>
            </w:r>
            <w:r>
              <w:t xml:space="preserve"> </w:t>
            </w:r>
            <w:r>
              <w:t xml:space="preserve">(portal role)</w:t>
            </w:r>
          </w:p>
        </w:tc>
        <w:tc>
          <w:tcPr>
            <w:tcW w:type="dxa" w:w="6972"/>
          </w:tcPr>
          <w:p>
            <w:pPr>
              <w:pStyle w:val="Compact"/>
              <w:jc w:val="left"/>
            </w:pPr>
            <w:r>
              <w:t xml:space="preserve">Manages a project’s members and field credentials; locks and unlocks data; carries out access and audit-trail reviews for the project.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Manager</w:t>
            </w:r>
          </w:p>
        </w:tc>
        <w:tc>
          <w:tcPr>
            <w:tcW w:type="dxa" w:w="6972"/>
          </w:tcPr>
          <w:p>
            <w:pPr>
              <w:pStyle w:val="Compact"/>
              <w:jc w:val="left"/>
            </w:pPr>
            <w:r>
              <w:t xml:space="preserve">Completes the Study Build Validation Record; reviews data and audit trails; runs exports.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users</w:t>
            </w:r>
          </w:p>
        </w:tc>
        <w:tc>
          <w:tcPr>
            <w:tcW w:type="dxa" w:w="6972"/>
          </w:tcPr>
          <w:p>
            <w:pPr>
              <w:pStyle w:val="Compact"/>
              <w:jc w:val="left"/>
            </w:pPr>
            <w:r>
              <w:t xml:space="preserve">Use their own accounts only; keep passwords confidential; report incidents and defects without delay.</w:t>
            </w:r>
          </w:p>
        </w:tc>
      </w:tr>
    </w:tbl>
    <w:bookmarkEnd w:id="24"/>
    <w:bookmarkStart w:id="31" w:name="change-control-and-release"/>
    <w:p>
      <w:pPr>
        <w:pStyle w:val="Heading1"/>
      </w:pPr>
      <w:r>
        <w:t xml:space="preserve">4. Change control and release</w:t>
      </w:r>
    </w:p>
    <w:bookmarkStart w:id="25" w:name="what-is-a-change"/>
    <w:p>
      <w:pPr>
        <w:pStyle w:val="Heading2"/>
      </w:pPr>
      <w:r>
        <w:t xml:space="preserve">4.1 What is a change</w:t>
      </w:r>
    </w:p>
    <w:p>
      <w:pPr>
        <w:pStyle w:val="FirstParagraph"/>
      </w:pPr>
      <w:r>
        <w:t xml:space="preserve">A change is anything that alters the system’s software, configuration or environment. That</w:t>
      </w:r>
      <w:r>
        <w:t xml:space="preserve"> </w:t>
      </w:r>
      <w:r>
        <w:t xml:space="preserve">includes:</w:t>
      </w:r>
    </w:p>
    <w:p>
      <w:pPr>
        <w:pStyle w:val="Compact"/>
        <w:numPr>
          <w:ilvl w:val="0"/>
          <w:numId w:val="1002"/>
        </w:numPr>
      </w:pPr>
      <w:r>
        <w:t xml:space="preserve">application, portal or server-function code;</w:t>
      </w:r>
    </w:p>
    <w:p>
      <w:pPr>
        <w:pStyle w:val="Compact"/>
        <w:numPr>
          <w:ilvl w:val="0"/>
          <w:numId w:val="1002"/>
        </w:numPr>
      </w:pPr>
      <w:r>
        <w:t xml:space="preserve">database migrations;</w:t>
      </w:r>
    </w:p>
    <w:p>
      <w:pPr>
        <w:pStyle w:val="Compact"/>
        <w:numPr>
          <w:ilvl w:val="0"/>
          <w:numId w:val="1002"/>
        </w:numPr>
      </w:pPr>
      <w:r>
        <w:t xml:space="preserve">authentication or hosting settings;</w:t>
      </w:r>
    </w:p>
    <w:p>
      <w:pPr>
        <w:pStyle w:val="Compact"/>
        <w:numPr>
          <w:ilvl w:val="0"/>
          <w:numId w:val="1002"/>
        </w:numPr>
      </w:pPr>
      <w:r>
        <w:t xml:space="preserve">the survey and backup tools;</w:t>
      </w:r>
    </w:p>
    <w:p>
      <w:pPr>
        <w:pStyle w:val="Compact"/>
        <w:numPr>
          <w:ilvl w:val="0"/>
          <w:numId w:val="1002"/>
        </w:numPr>
      </w:pPr>
      <w:r>
        <w:t xml:space="preserve">the hosting plan or provider;</w:t>
      </w:r>
    </w:p>
    <w:p>
      <w:pPr>
        <w:pStyle w:val="Compact"/>
        <w:numPr>
          <w:ilvl w:val="0"/>
          <w:numId w:val="1002"/>
        </w:numPr>
      </w:pPr>
      <w:r>
        <w:t xml:space="preserve">the procedures in this SOP.</w:t>
      </w:r>
    </w:p>
    <w:p>
      <w:pPr>
        <w:pStyle w:val="FirstParagraph"/>
      </w:pPr>
      <w:r>
        <w:t xml:space="preserve">Study configurations (survey packages) are controlled separately under section 10.</w:t>
      </w:r>
    </w:p>
    <w:bookmarkEnd w:id="25"/>
    <w:bookmarkStart w:id="26" w:name="classification"/>
    <w:p>
      <w:pPr>
        <w:pStyle w:val="Heading2"/>
      </w:pPr>
      <w:r>
        <w:t xml:space="preserve">4.2 Classification</w:t>
      </w:r>
    </w:p>
    <w:tbl>
      <w:tblPr>
        <w:tblStyle w:val="Table"/>
        <w:tblW w:type="dxa" w:w="96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248"/>
        <w:gridCol w:w="3837"/>
        <w:gridCol w:w="4551"/>
      </w:tblGrid>
      <w:tr>
        <w:trPr>
          <w:cantSplit/>
          <w:tblHeader w:val="true"/>
        </w:trPr>
        <w:tc>
          <w:tcPr>
            <w:tcW w:type="dxa" w:w="124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W w:type="dxa" w:w="383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>
            <w:tcW w:type="dxa" w:w="4551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Minor</w:t>
            </w:r>
          </w:p>
        </w:tc>
        <w:tc>
          <w:tcPr>
            <w:tcW w:type="dxa" w:w="3837"/>
          </w:tcPr>
          <w:p>
            <w:pPr>
              <w:pStyle w:val="Compact"/>
              <w:jc w:val="left"/>
            </w:pPr>
            <w:r>
              <w:t xml:space="preserve">Wording, layout or help-text changes with no effect on data; documentation</w:t>
            </w:r>
          </w:p>
        </w:tc>
        <w:tc>
          <w:tcPr>
            <w:tcW w:type="dxa" w:w="4551"/>
          </w:tcPr>
          <w:p>
            <w:pPr>
              <w:pStyle w:val="Compact"/>
              <w:jc w:val="left"/>
            </w:pPr>
            <w:r>
              <w:t xml:space="preserve">Change log entry; review by a second person; automated suites relevant to the component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>
            <w:tcW w:type="dxa" w:w="3837"/>
          </w:tcPr>
          <w:p>
            <w:pPr>
              <w:pStyle w:val="Compact"/>
              <w:jc w:val="left"/>
            </w:pPr>
            <w:r>
              <w:t xml:space="preserve">New or changed functions; bug fixes; dependency upgrades</w:t>
            </w:r>
          </w:p>
        </w:tc>
        <w:tc>
          <w:tcPr>
            <w:tcW w:type="dxa" w:w="4551"/>
          </w:tcPr>
          <w:p>
            <w:pPr>
              <w:pStyle w:val="Compact"/>
              <w:jc w:val="left"/>
            </w:pPr>
            <w:r>
              <w:t xml:space="preserve">Change Request (Appendix A) with impact assessment; all automated suites (AT-01 to AT-10) for the affected components; the manual OQ test cases for the affected requirements; QA review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</w:t>
            </w:r>
          </w:p>
        </w:tc>
        <w:tc>
          <w:tcPr>
            <w:tcW w:type="dxa" w:w="3837"/>
          </w:tcPr>
          <w:p>
            <w:pPr>
              <w:pStyle w:val="Compact"/>
              <w:jc w:val="left"/>
            </w:pPr>
            <w:r>
              <w:t xml:space="preserve">Changes to the audit trail, access control, authentication, synchronisation, data storage, export or backup; database schema changes affecting collected data; a new platform or provider</w:t>
            </w:r>
          </w:p>
        </w:tc>
        <w:tc>
          <w:tcPr>
            <w:tcW w:type="dxa" w:w="4551"/>
          </w:tcPr>
          <w:p>
            <w:pPr>
              <w:pStyle w:val="Compact"/>
              <w:jc w:val="left"/>
            </w:pPr>
            <w:r>
              <w:t xml:space="preserve">As Standard, plus a written test plan approved by QA before testing, re-execution of all High-risk test cases for the affected area, an update to DK-VAL-002 and DK-VAL-003, and a Validation Summary Report addendum approved before release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Emergency</w:t>
            </w:r>
          </w:p>
        </w:tc>
        <w:tc>
          <w:tcPr>
            <w:tcW w:type="dxa" w:w="3837"/>
          </w:tcPr>
          <w:p>
            <w:pPr>
              <w:pStyle w:val="Compact"/>
              <w:jc w:val="left"/>
            </w:pPr>
            <w:r>
              <w:t xml:space="preserve">A fix needed at once to stop data loss, a security breach or an outage</w:t>
            </w:r>
          </w:p>
        </w:tc>
        <w:tc>
          <w:tcPr>
            <w:tcW w:type="dxa" w:w="4551"/>
          </w:tcPr>
          <w:p>
            <w:pPr>
              <w:pStyle w:val="Compact"/>
              <w:jc w:val="left"/>
            </w:pPr>
            <w:r>
              <w:t xml:space="preserve">May be released after the Developer’s own testing and the System Owner’s approval. The full change record, testing and QA review must follow within 5 working days.</w:t>
            </w:r>
          </w:p>
        </w:tc>
      </w:tr>
    </w:tbl>
    <w:bookmarkEnd w:id="26"/>
    <w:bookmarkStart w:id="27" w:name="procedure"/>
    <w:p>
      <w:pPr>
        <w:pStyle w:val="Heading2"/>
      </w:pPr>
      <w:r>
        <w:t xml:space="preserve">4.3 Procedure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Request.</w:t>
      </w:r>
      <w:r>
        <w:t xml:space="preserve"> </w:t>
      </w:r>
      <w:r>
        <w:t xml:space="preserve">Record the change on a Change Request (Appendix A): what, why, the</w:t>
      </w:r>
      <w:r>
        <w:t xml:space="preserve"> </w:t>
      </w:r>
      <w:r>
        <w:t xml:space="preserve">components affected, and the classification.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Impact assessment.</w:t>
      </w:r>
      <w:r>
        <w:t xml:space="preserve"> </w:t>
      </w:r>
      <w:r>
        <w:t xml:space="preserve">Assess the effect on:</w:t>
      </w:r>
    </w:p>
    <w:p>
      <w:pPr>
        <w:pStyle w:val="Compact"/>
        <w:numPr>
          <w:ilvl w:val="1"/>
          <w:numId w:val="1004"/>
        </w:numPr>
      </w:pPr>
      <w:r>
        <w:t xml:space="preserve">the requirements (DK-VAL-002), including their risk ratings;</w:t>
      </w:r>
    </w:p>
    <w:p>
      <w:pPr>
        <w:pStyle w:val="Compact"/>
        <w:numPr>
          <w:ilvl w:val="1"/>
          <w:numId w:val="1004"/>
        </w:numPr>
      </w:pPr>
      <w:r>
        <w:t xml:space="preserve">data already collected (for example, whether a schema change preserves existing</w:t>
      </w:r>
      <w:r>
        <w:t xml:space="preserve"> </w:t>
      </w:r>
      <w:r>
        <w:t xml:space="preserve">records);</w:t>
      </w:r>
    </w:p>
    <w:p>
      <w:pPr>
        <w:pStyle w:val="Compact"/>
        <w:numPr>
          <w:ilvl w:val="1"/>
          <w:numId w:val="1004"/>
        </w:numPr>
      </w:pPr>
      <w:r>
        <w:t xml:space="preserve">studies in progress;</w:t>
      </w:r>
    </w:p>
    <w:p>
      <w:pPr>
        <w:pStyle w:val="Compact"/>
        <w:numPr>
          <w:ilvl w:val="1"/>
          <w:numId w:val="1004"/>
        </w:numPr>
      </w:pPr>
      <w:r>
        <w:t xml:space="preserve">documentation and training.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Develop.</w:t>
      </w:r>
      <w:r>
        <w:t xml:space="preserve"> </w:t>
      </w:r>
      <w:r>
        <w:t xml:space="preserve">Make the change on a branch in the component’s repository. Every change is</w:t>
      </w:r>
      <w:r>
        <w:t xml:space="preserve"> </w:t>
      </w:r>
      <w:r>
        <w:t xml:space="preserve">committed with a description; nothing is changed directly in production except as part</w:t>
      </w:r>
      <w:r>
        <w:t xml:space="preserve"> </w:t>
      </w:r>
      <w:r>
        <w:t xml:space="preserve">of a release (section 4.4).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Test.</w:t>
      </w:r>
    </w:p>
    <w:p>
      <w:pPr>
        <w:pStyle w:val="Compact"/>
        <w:numPr>
          <w:ilvl w:val="1"/>
          <w:numId w:val="1005"/>
        </w:numPr>
      </w:pPr>
      <w:r>
        <w:t xml:space="preserve">Run the automated suites required by the classification on the commit to be released.</w:t>
      </w:r>
      <w:r>
        <w:t xml:space="preserve"> </w:t>
      </w:r>
      <w:r>
        <w:t xml:space="preserve">Keep their logs.</w:t>
      </w:r>
    </w:p>
    <w:p>
      <w:pPr>
        <w:pStyle w:val="Compact"/>
        <w:numPr>
          <w:ilvl w:val="1"/>
          <w:numId w:val="1005"/>
        </w:numPr>
      </w:pPr>
      <w:r>
        <w:t xml:space="preserve">Execute the manual test cases required, using the forms in DK-VAL-004.</w:t>
      </w:r>
    </w:p>
    <w:p>
      <w:pPr>
        <w:pStyle w:val="Compact"/>
        <w:numPr>
          <w:ilvl w:val="1"/>
          <w:numId w:val="1005"/>
        </w:numPr>
      </w:pPr>
      <w:r>
        <w:t xml:space="preserve">Record failures as deviations.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Review and approve.</w:t>
      </w:r>
      <w:r>
        <w:t xml:space="preserve"> </w:t>
      </w:r>
      <w:r>
        <w:t xml:space="preserve">A person other than the developer reviews the change and its</w:t>
      </w:r>
      <w:r>
        <w:t xml:space="preserve"> </w:t>
      </w:r>
      <w:r>
        <w:t xml:space="preserve">test evidence. The System Owner approves release (and QA, for Major changes).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Release</w:t>
      </w:r>
      <w:r>
        <w:t xml:space="preserve"> </w:t>
      </w:r>
      <w:r>
        <w:t xml:space="preserve">(section 4.4), then update the validation documents and training material as</w:t>
      </w:r>
      <w:r>
        <w:t xml:space="preserve"> </w:t>
      </w:r>
      <w:r>
        <w:t xml:space="preserve">identified in step 2.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Notify</w:t>
      </w:r>
      <w:r>
        <w:t xml:space="preserve"> </w:t>
      </w:r>
      <w:r>
        <w:t xml:space="preserve">the Project Owners and data managers of active studies of any change that</w:t>
      </w:r>
      <w:r>
        <w:t xml:space="preserve"> </w:t>
      </w:r>
      <w:r>
        <w:t xml:space="preserve">affects how they use the system, before or at release.</w:t>
      </w:r>
    </w:p>
    <w:bookmarkEnd w:id="27"/>
    <w:bookmarkStart w:id="28" w:name="release-and-version-identification"/>
    <w:p>
      <w:pPr>
        <w:pStyle w:val="Heading2"/>
      </w:pPr>
      <w:r>
        <w:t xml:space="preserve">4.4 Release and version identification</w:t>
      </w:r>
    </w:p>
    <w:p>
      <w:pPr>
        <w:pStyle w:val="FirstParagraph"/>
      </w:pPr>
      <w:r>
        <w:t xml:space="preserve">Each release is identified by a unique version (DK-VAL-003, section 9):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Field application.</w:t>
      </w:r>
    </w:p>
    <w:p>
      <w:pPr>
        <w:pStyle w:val="Compact"/>
        <w:numPr>
          <w:ilvl w:val="1"/>
          <w:numId w:val="1007"/>
        </w:numPr>
      </w:pPr>
      <w:r>
        <w:t xml:space="preserve">Rename the</w:t>
      </w:r>
      <w:r>
        <w:t xml:space="preserve"> </w:t>
      </w:r>
      <w:r>
        <w:rPr>
          <w:rStyle w:val="VerbatimChar"/>
        </w:rPr>
        <w:t xml:space="preserve">[UNRELEASED]</w:t>
      </w:r>
      <w:r>
        <w:t xml:space="preserve"> </w:t>
      </w:r>
      <w:r>
        <w:t xml:space="preserve">heading 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to the version and date.</w:t>
      </w:r>
    </w:p>
    <w:p>
      <w:pPr>
        <w:pStyle w:val="Compact"/>
        <w:numPr>
          <w:ilvl w:val="1"/>
          <w:numId w:val="1007"/>
        </w:numPr>
      </w:pPr>
      <w:r>
        <w:t xml:space="preserve">Bump the build number.</w:t>
      </w:r>
    </w:p>
    <w:p>
      <w:pPr>
        <w:pStyle w:val="Compact"/>
        <w:numPr>
          <w:ilvl w:val="1"/>
          <w:numId w:val="1007"/>
        </w:numPr>
      </w:pPr>
      <w:r>
        <w:t xml:space="preserve">Build every product and flavor from the same commit, without a further bump.</w:t>
      </w:r>
    </w:p>
    <w:p>
      <w:pPr>
        <w:pStyle w:val="Compact"/>
        <w:numPr>
          <w:ilvl w:val="1"/>
          <w:numId w:val="1007"/>
        </w:numPr>
      </w:pPr>
      <w:r>
        <w:t xml:space="preserve">Commit the version files, and tag</w:t>
      </w:r>
      <w:r>
        <w:t xml:space="preserve"> </w:t>
      </w:r>
      <w:r>
        <w:rPr>
          <w:rStyle w:val="VerbatimChar"/>
        </w:rPr>
        <w:t xml:space="preserve">vX.Y.Z+B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Record the SHA-256 checksum of each distributed package file on the Change Request.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Portal, server functions and database.</w:t>
      </w:r>
    </w:p>
    <w:p>
      <w:pPr>
        <w:pStyle w:val="Compact"/>
        <w:numPr>
          <w:ilvl w:val="1"/>
          <w:numId w:val="1008"/>
        </w:numPr>
      </w:pPr>
      <w:r>
        <w:t xml:space="preserve">Rename</w:t>
      </w:r>
      <w:r>
        <w:t xml:space="preserve"> </w:t>
      </w:r>
      <w:r>
        <w:rPr>
          <w:rStyle w:val="VerbatimChar"/>
        </w:rPr>
        <w:t xml:space="preserve">[Unreleased]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to the version and date, and record the</w:t>
      </w:r>
      <w:r>
        <w:t xml:space="preserve"> </w:t>
      </w:r>
      <w:r>
        <w:t xml:space="preserve">migration head.</w:t>
      </w:r>
    </w:p>
    <w:p>
      <w:pPr>
        <w:pStyle w:val="Compact"/>
        <w:numPr>
          <w:ilvl w:val="1"/>
          <w:numId w:val="1008"/>
        </w:numPr>
      </w:pPr>
      <w:r>
        <w:t xml:space="preserve">Set the version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Commit, and tag</w:t>
      </w:r>
      <w:r>
        <w:t xml:space="preserve"> </w:t>
      </w:r>
      <w:r>
        <w:rPr>
          <w:rStyle w:val="VerbatimChar"/>
        </w:rPr>
        <w:t xml:space="preserve">web-vX.Y.Z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Apply database migrations (</w:t>
      </w:r>
      <w:r>
        <w:rPr>
          <w:rStyle w:val="VerbatimChar"/>
        </w:rPr>
        <w:t xml:space="preserve">supabase db push</w:t>
      </w:r>
      <w:r>
        <w:t xml:space="preserve">)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pushing to the main branch,</w:t>
      </w:r>
      <w:r>
        <w:t xml:space="preserve"> </w:t>
      </w:r>
      <w:r>
        <w:t xml:space="preserve">because the portal deploys automatically from that branch.</w:t>
      </w:r>
    </w:p>
    <w:p>
      <w:pPr>
        <w:pStyle w:val="Compact"/>
        <w:numPr>
          <w:ilvl w:val="1"/>
          <w:numId w:val="1008"/>
        </w:numPr>
      </w:pPr>
      <w:r>
        <w:t xml:space="preserve">Deploy any changed server functions.</w:t>
      </w:r>
    </w:p>
    <w:p>
      <w:pPr>
        <w:pStyle w:val="Compact"/>
        <w:numPr>
          <w:ilvl w:val="1"/>
          <w:numId w:val="1008"/>
        </w:numPr>
      </w:pPr>
      <w:r>
        <w:t xml:space="preserve">Push the main branch and the tag.</w:t>
      </w:r>
    </w:p>
    <w:p>
      <w:pPr>
        <w:pStyle w:val="Compact"/>
        <w:numPr>
          <w:ilvl w:val="1"/>
          <w:numId w:val="1008"/>
        </w:numPr>
      </w:pPr>
      <w:r>
        <w:t xml:space="preserve">Check the sidebar version and commit in production.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Survey tools and backup tools.</w:t>
      </w:r>
      <w:r>
        <w:t xml:space="preserve"> </w:t>
      </w:r>
      <w:r>
        <w:t xml:space="preserve">Record the commit in use on the Change Request, and on</w:t>
      </w:r>
      <w:r>
        <w:t xml:space="preserve"> </w:t>
      </w:r>
      <w:r>
        <w:t xml:space="preserve">any Study Build Validation Record or Restore Test Record made with them.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version history</w:t>
      </w:r>
      <w:r>
        <w:t xml:space="preserve"> </w:t>
      </w:r>
      <w:r>
        <w:t xml:space="preserve">of every component (repository history, tags and change logs) is</w:t>
      </w:r>
      <w:r>
        <w:t xml:space="preserve"> </w:t>
      </w:r>
      <w:r>
        <w:t xml:space="preserve">kept for the life of the system and for the retention period in section 13.</w:t>
      </w:r>
    </w:p>
    <w:bookmarkEnd w:id="28"/>
    <w:bookmarkStart w:id="29" w:name="configuration-changes"/>
    <w:p>
      <w:pPr>
        <w:pStyle w:val="Heading2"/>
      </w:pPr>
      <w:r>
        <w:t xml:space="preserve">4.5 Configuration changes</w:t>
      </w:r>
    </w:p>
    <w:p>
      <w:pPr>
        <w:pStyle w:val="FirstParagraph"/>
      </w:pPr>
      <w:r>
        <w:t xml:space="preserve">Authentication and other server settings are kept in the committed file</w:t>
      </w:r>
      <w:r>
        <w:t xml:space="preserve"> </w:t>
      </w:r>
      <w:r>
        <w:rPr>
          <w:rStyle w:val="VerbatimChar"/>
        </w:rPr>
        <w:t xml:space="preserve">supabase/config.toml</w:t>
      </w:r>
      <w:r>
        <w:t xml:space="preserve">. They are changed only by editing that file under this procedure, then</w:t>
      </w:r>
      <w:r>
        <w:t xml:space="preserve"> </w:t>
      </w:r>
      <w:r>
        <w:t xml:space="preserve">applying it.</w:t>
      </w:r>
    </w:p>
    <w:p>
      <w:pPr>
        <w:pStyle w:val="BodyText"/>
      </w:pPr>
      <w:r>
        <w:t xml:space="preserve">Before applying, compare the file with the live settings and record the differences on the</w:t>
      </w:r>
      <w:r>
        <w:t xml:space="preserve"> </w:t>
      </w:r>
      <w:r>
        <w:t xml:space="preserve">Change Request. After applying, check the live settings again. This control was introduced</w:t>
      </w:r>
      <w:r>
        <w:t xml:space="preserve"> </w:t>
      </w:r>
      <w:r>
        <w:t xml:space="preserve">after the 4 September 2026 incident (DK-VAL-002, R-20).</w:t>
      </w:r>
    </w:p>
    <w:p>
      <w:pPr>
        <w:pStyle w:val="BodyText"/>
      </w:pPr>
      <w:r>
        <w:t xml:space="preserve">Hosting-account settings that are not in a file (plan, backups, administrators) are recorded</w:t>
      </w:r>
      <w:r>
        <w:t xml:space="preserve"> </w:t>
      </w:r>
      <w:r>
        <w:t xml:space="preserve">on the Change Request when changed.</w:t>
      </w:r>
    </w:p>
    <w:bookmarkEnd w:id="29"/>
    <w:bookmarkStart w:id="30" w:name="distributing-the-field-application"/>
    <w:p>
      <w:pPr>
        <w:pStyle w:val="Heading2"/>
      </w:pPr>
      <w:r>
        <w:t xml:space="preserve">4.6 Distributing the field application</w:t>
      </w:r>
    </w:p>
    <w:p>
      <w:pPr>
        <w:pStyle w:val="FirstParagraph"/>
      </w:pPr>
      <w:r>
        <w:t xml:space="preserve">Install packages only from the release build recorded on the Change Request. Record the</w:t>
      </w:r>
      <w:r>
        <w:t xml:space="preserve"> </w:t>
      </w:r>
      <w:r>
        <w:t xml:space="preserve">version installed on each device in the device register (section 9.3). A device must be</w:t>
      </w:r>
      <w:r>
        <w:t xml:space="preserve"> </w:t>
      </w:r>
      <w:r>
        <w:t xml:space="preserve">upgraded before the old version is withdrawn, and only after the device’s pending records</w:t>
      </w:r>
      <w:r>
        <w:t xml:space="preserve"> </w:t>
      </w:r>
      <w:r>
        <w:t xml:space="preserve">have been synchronised.</w:t>
      </w:r>
    </w:p>
    <w:bookmarkEnd w:id="30"/>
    <w:bookmarkEnd w:id="31"/>
    <w:bookmarkStart w:id="36" w:name="user-access-management"/>
    <w:p>
      <w:pPr>
        <w:pStyle w:val="Heading1"/>
      </w:pPr>
      <w:r>
        <w:t xml:space="preserve">5. User access management</w:t>
      </w:r>
    </w:p>
    <w:bookmarkStart w:id="32" w:name="portal-accounts"/>
    <w:p>
      <w:pPr>
        <w:pStyle w:val="Heading2"/>
      </w:pPr>
      <w:r>
        <w:t xml:space="preserve">5.1 Portal accounts</w:t>
      </w:r>
    </w:p>
    <w:p>
      <w:pPr>
        <w:pStyle w:val="Compact"/>
        <w:numPr>
          <w:ilvl w:val="0"/>
          <w:numId w:val="1009"/>
        </w:numPr>
      </w:pPr>
      <w:r>
        <w:rPr>
          <w:bCs/>
          <w:b/>
        </w:rPr>
        <w:t xml:space="preserve">Individual accounts.</w:t>
      </w:r>
      <w:r>
        <w:t xml:space="preserve"> </w:t>
      </w:r>
      <w:r>
        <w:t xml:space="preserve">Every person has their own account, registered with their own</w:t>
      </w:r>
      <w:r>
        <w:t xml:space="preserve"> </w:t>
      </w:r>
      <w:r>
        <w:t xml:space="preserve">e-mail address. Shared or generic accounts are not allowed.</w:t>
      </w:r>
    </w:p>
    <w:p>
      <w:pPr>
        <w:pStyle w:val="Compact"/>
        <w:numPr>
          <w:ilvl w:val="0"/>
          <w:numId w:val="1009"/>
        </w:numPr>
      </w:pPr>
      <w:r>
        <w:rPr>
          <w:bCs/>
          <w:b/>
        </w:rPr>
        <w:t xml:space="preserve">Granting access.</w:t>
      </w:r>
      <w:r>
        <w:t xml:space="preserve"> </w:t>
      </w:r>
      <w:r>
        <w:t xml:space="preserve">A Project Owner adds a person to a project only when:</w:t>
      </w:r>
    </w:p>
    <w:p>
      <w:pPr>
        <w:pStyle w:val="Compact"/>
        <w:numPr>
          <w:ilvl w:val="1"/>
          <w:numId w:val="1010"/>
        </w:numPr>
      </w:pPr>
      <w:r>
        <w:t xml:space="preserve">the person is authorised to work on the study (for example, on the delegation log);</w:t>
      </w:r>
    </w:p>
    <w:p>
      <w:pPr>
        <w:pStyle w:val="Compact"/>
        <w:numPr>
          <w:ilvl w:val="1"/>
          <w:numId w:val="1010"/>
        </w:numPr>
      </w:pPr>
      <w:r>
        <w:t xml:space="preserve">they have been trained (section 12);</w:t>
      </w:r>
    </w:p>
    <w:p>
      <w:pPr>
        <w:pStyle w:val="Compact"/>
        <w:numPr>
          <w:ilvl w:val="1"/>
          <w:numId w:val="1010"/>
        </w:numPr>
      </w:pPr>
      <w:r>
        <w:t xml:space="preserve">the study’s approvals are in place.</w:t>
      </w:r>
    </w:p>
    <w:p>
      <w:pPr>
        <w:pStyle w:val="Compact"/>
        <w:numPr>
          <w:ilvl w:val="0"/>
          <w:numId w:val="1009"/>
        </w:numPr>
      </w:pPr>
      <w:r>
        <w:rPr>
          <w:bCs/>
          <w:b/>
        </w:rPr>
        <w:t xml:space="preserve">Least privilege.</w:t>
      </w:r>
      <w:r>
        <w:t xml:space="preserve"> </w:t>
      </w:r>
      <w:r>
        <w:t xml:space="preserve">Give each person the lowest role that lets them do their work: Viewer</w:t>
      </w:r>
      <w:r>
        <w:t xml:space="preserve"> </w:t>
      </w:r>
      <w:r>
        <w:t xml:space="preserve">for monitors, statisticians and data reviewers; Editor for survey designers and field</w:t>
      </w:r>
      <w:r>
        <w:t xml:space="preserve"> </w:t>
      </w:r>
      <w:r>
        <w:t xml:space="preserve">coordinators; Owner for the principal investigator or study manager. Each project should</w:t>
      </w:r>
      <w:r>
        <w:t xml:space="preserve"> </w:t>
      </w:r>
      <w:r>
        <w:t xml:space="preserve">have at least two Owners. Every role can export all data (DK-VAL-002, R-18), so only add</w:t>
      </w:r>
      <w:r>
        <w:t xml:space="preserve"> </w:t>
      </w:r>
      <w:r>
        <w:t xml:space="preserve">people who are allowed to see the study’s data.</w:t>
      </w:r>
    </w:p>
    <w:p>
      <w:pPr>
        <w:pStyle w:val="Compact"/>
        <w:numPr>
          <w:ilvl w:val="0"/>
          <w:numId w:val="1009"/>
        </w:numPr>
      </w:pPr>
      <w:r>
        <w:rPr>
          <w:bCs/>
          <w:b/>
        </w:rPr>
        <w:t xml:space="preserve">Changes and removal.</w:t>
      </w:r>
      <w:r>
        <w:t xml:space="preserve"> </w:t>
      </w:r>
      <w:r>
        <w:t xml:space="preserve">When someone’s role changes or they leave, the Project Owner</w:t>
      </w:r>
      <w:r>
        <w:t xml:space="preserve"> </w:t>
      </w:r>
      <w:r>
        <w:t xml:space="preserve">changes or removes their access within</w:t>
      </w:r>
      <w:r>
        <w:t xml:space="preserve"> </w:t>
      </w:r>
      <w:r>
        <w:rPr>
          <w:bCs/>
          <w:b/>
        </w:rPr>
        <w:t xml:space="preserve">2 working days</w:t>
      </w:r>
      <w:r>
        <w:t xml:space="preserve">, and the same day for a</w:t>
      </w:r>
      <w:r>
        <w:t xml:space="preserve"> </w:t>
      </w:r>
      <w:r>
        <w:t xml:space="preserve">dismissal or a suspected compromise.</w:t>
      </w:r>
    </w:p>
    <w:bookmarkEnd w:id="32"/>
    <w:bookmarkStart w:id="33" w:name="field-credentials"/>
    <w:p>
      <w:pPr>
        <w:pStyle w:val="Heading2"/>
      </w:pPr>
      <w:r>
        <w:t xml:space="preserve">5.2 Field credentials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One credential per person.</w:t>
      </w:r>
      <w:r>
        <w:t xml:space="preserve"> </w:t>
      </w:r>
      <w:r>
        <w:t xml:space="preserve">Each interviewer has their own field credential; the</w:t>
      </w:r>
      <w:r>
        <w:t xml:space="preserve"> </w:t>
      </w:r>
      <w:r>
        <w:t xml:space="preserve">username identifies the person. Credentials are not shared. If a device is shared between</w:t>
      </w:r>
      <w:r>
        <w:t xml:space="preserve"> </w:t>
      </w:r>
      <w:r>
        <w:t xml:space="preserve">interviewers, each signs in with their own credential; the handover is recorded in the</w:t>
      </w:r>
      <w:r>
        <w:t xml:space="preserve"> </w:t>
      </w:r>
      <w:r>
        <w:t xml:space="preserve">device register.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Passwords.</w:t>
      </w:r>
      <w:r>
        <w:t xml:space="preserve"> </w:t>
      </w:r>
      <w:r>
        <w:t xml:space="preserve">Field passwords are given to the interviewer in person or through a</w:t>
      </w:r>
      <w:r>
        <w:t xml:space="preserve"> </w:t>
      </w:r>
      <w:r>
        <w:t xml:space="preserve">separate channel, not written on the device.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Leavers and lost devices.</w:t>
      </w:r>
      <w:r>
        <w:t xml:space="preserve"> </w:t>
      </w:r>
      <w:r>
        <w:t xml:space="preserve">When an interviewer leaves, or a device is lost or stolen,</w:t>
      </w:r>
      <w:r>
        <w:t xml:space="preserve"> </w:t>
      </w:r>
      <w:r>
        <w:t xml:space="preserve">the credential is</w:t>
      </w:r>
      <w:r>
        <w:t xml:space="preserve"> </w:t>
      </w:r>
      <w:r>
        <w:rPr>
          <w:bCs/>
          <w:b/>
        </w:rPr>
        <w:t xml:space="preserve">reset or disabled the same day</w:t>
      </w:r>
      <w:r>
        <w:t xml:space="preserve">. Resetting signs out every device</w:t>
      </w:r>
      <w:r>
        <w:t xml:space="preserve"> </w:t>
      </w:r>
      <w:r>
        <w:t xml:space="preserve">using it immediately.</w:t>
      </w:r>
    </w:p>
    <w:bookmarkEnd w:id="33"/>
    <w:bookmarkStart w:id="34" w:name="administrator-access"/>
    <w:p>
      <w:pPr>
        <w:pStyle w:val="Heading2"/>
      </w:pPr>
      <w:r>
        <w:t xml:space="preserve">5.3 Administrator access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Who.</w:t>
      </w:r>
      <w:r>
        <w:t xml:space="preserve"> </w:t>
      </w:r>
      <w:r>
        <w:t xml:space="preserve">Administrative access to the hosting accounts (Supabase, Vercel, GitHub) is limited</w:t>
      </w:r>
      <w:r>
        <w:t xml:space="preserve"> </w:t>
      </w:r>
      <w:r>
        <w:t xml:space="preserve">to named System Administrators and Developers, listed on the Periodic Review record.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MFA.</w:t>
      </w:r>
      <w:r>
        <w:t xml:space="preserve"> </w:t>
      </w:r>
      <w:r>
        <w:t xml:space="preserve">Multi-factor authentication is mandatory on all of them.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Separation from study data.</w:t>
      </w:r>
      <w:r>
        <w:t xml:space="preserve"> </w:t>
      </w:r>
      <w:r>
        <w:t xml:space="preserve">Administrators must not use administrative access to view</w:t>
      </w:r>
      <w:r>
        <w:t xml:space="preserve"> </w:t>
      </w:r>
      <w:r>
        <w:t xml:space="preserve">or change study data, except to investigate an incident, which is then recorded on an</w:t>
      </w:r>
      <w:r>
        <w:t xml:space="preserve"> </w:t>
      </w:r>
      <w:r>
        <w:t xml:space="preserve">Incident Record. Direct database changes to study data are forbidden. A correction to</w:t>
      </w:r>
      <w:r>
        <w:t xml:space="preserve"> </w:t>
      </w:r>
      <w:r>
        <w:t xml:space="preserve">collected data is made on the device and travels through synchronisation, so that it is</w:t>
      </w:r>
      <w:r>
        <w:t xml:space="preserve"> </w:t>
      </w:r>
      <w:r>
        <w:t xml:space="preserve">audited.</w:t>
      </w:r>
    </w:p>
    <w:bookmarkEnd w:id="34"/>
    <w:bookmarkStart w:id="35" w:name="access-review"/>
    <w:p>
      <w:pPr>
        <w:pStyle w:val="Heading2"/>
      </w:pPr>
      <w:r>
        <w:t xml:space="preserve">5.4 Access review</w:t>
      </w:r>
    </w:p>
    <w:p>
      <w:pPr>
        <w:pStyle w:val="FirstParagraph"/>
      </w:pPr>
      <w:r>
        <w:rPr>
          <w:bCs/>
          <w:b/>
        </w:rPr>
        <w:t xml:space="preserve">Each Project Owner, every 3 months for active projects:</w:t>
      </w:r>
    </w:p>
    <w:p>
      <w:pPr>
        <w:pStyle w:val="Compact"/>
        <w:numPr>
          <w:ilvl w:val="0"/>
          <w:numId w:val="1013"/>
        </w:numPr>
      </w:pPr>
      <w:r>
        <w:t xml:space="preserve">Compare the Members list and the Field team list with the study’s delegation log.</w:t>
      </w:r>
    </w:p>
    <w:p>
      <w:pPr>
        <w:pStyle w:val="Compact"/>
        <w:numPr>
          <w:ilvl w:val="0"/>
          <w:numId w:val="1013"/>
        </w:numPr>
      </w:pPr>
      <w:r>
        <w:t xml:space="preserve">Remove or disable anything not justified.</w:t>
      </w:r>
    </w:p>
    <w:p>
      <w:pPr>
        <w:pStyle w:val="Compact"/>
        <w:numPr>
          <w:ilvl w:val="0"/>
          <w:numId w:val="1013"/>
        </w:numPr>
      </w:pPr>
      <w:r>
        <w:t xml:space="preserve">Record the review on an Access Review Record (Appendix B).</w:t>
      </w:r>
    </w:p>
    <w:p>
      <w:pPr>
        <w:pStyle w:val="FirstParagraph"/>
      </w:pPr>
      <w:r>
        <w:rPr>
          <w:bCs/>
          <w:b/>
        </w:rPr>
        <w:t xml:space="preserve">The System Owner, at the periodic review (section 11):</w:t>
      </w:r>
      <w:r>
        <w:t xml:space="preserve"> </w:t>
      </w:r>
      <w:r>
        <w:t xml:space="preserve">review the administrator accounts.</w:t>
      </w:r>
    </w:p>
    <w:bookmarkEnd w:id="35"/>
    <w:bookmarkEnd w:id="36"/>
    <w:bookmarkStart w:id="37" w:name="audit-trail-review"/>
    <w:p>
      <w:pPr>
        <w:pStyle w:val="Heading1"/>
      </w:pPr>
      <w:r>
        <w:t xml:space="preserve">6. Audit-trail review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When.</w:t>
      </w:r>
      <w:r>
        <w:t xml:space="preserve"> </w:t>
      </w:r>
      <w:r>
        <w:t xml:space="preserve">The Data Manager reviews each active project’s audit trail every month during</w:t>
      </w:r>
      <w:r>
        <w:t xml:space="preserve"> </w:t>
      </w:r>
      <w:r>
        <w:t xml:space="preserve">data collection, and once more before the data is locked for analysis. Review is</w:t>
      </w:r>
      <w:r>
        <w:t xml:space="preserve"> </w:t>
      </w:r>
      <w:r>
        <w:t xml:space="preserve">risk-based: it concentrates on changes to critical data (eligibility, consent, primary</w:t>
      </w:r>
      <w:r>
        <w:t xml:space="preserve"> </w:t>
      </w:r>
      <w:r>
        <w:t xml:space="preserve">endpoints, safety data, identifiers).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How.</w:t>
      </w:r>
      <w:r>
        <w:t xml:space="preserve"> </w:t>
      </w:r>
      <w:r>
        <w:t xml:space="preserve">Export the project’s data (DK-VAL-003, section 6.9) and review</w:t>
      </w:r>
      <w:r>
        <w:t xml:space="preserve"> </w:t>
      </w:r>
      <w:r>
        <w:rPr>
          <w:rStyle w:val="VerbatimChar"/>
        </w:rPr>
        <w:t xml:space="preserve">formchanges.csv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project_audit.csv</w:t>
      </w:r>
      <w:r>
        <w:t xml:space="preserve">. Look for:</w:t>
      </w:r>
    </w:p>
    <w:p>
      <w:pPr>
        <w:pStyle w:val="Compact"/>
        <w:numPr>
          <w:ilvl w:val="1"/>
          <w:numId w:val="1015"/>
        </w:numPr>
      </w:pPr>
      <w:r>
        <w:t xml:space="preserve">edits to records after they were first uploaded, especially to critical fields;</w:t>
      </w:r>
    </w:p>
    <w:p>
      <w:pPr>
        <w:pStyle w:val="Compact"/>
        <w:numPr>
          <w:ilvl w:val="1"/>
          <w:numId w:val="1015"/>
        </w:numPr>
      </w:pPr>
      <w:r>
        <w:t xml:space="preserve">edits made long after the interview, or by an interviewer other than the original one;</w:t>
      </w:r>
    </w:p>
    <w:p>
      <w:pPr>
        <w:pStyle w:val="Compact"/>
        <w:numPr>
          <w:ilvl w:val="1"/>
          <w:numId w:val="1015"/>
        </w:numPr>
      </w:pPr>
      <w:r>
        <w:t xml:space="preserve">unusual patterns, such as one user making many changes, or changes at unusual times;</w:t>
      </w:r>
    </w:p>
    <w:p>
      <w:pPr>
        <w:pStyle w:val="Compact"/>
        <w:numPr>
          <w:ilvl w:val="1"/>
          <w:numId w:val="1015"/>
        </w:numPr>
      </w:pPr>
      <w:r>
        <w:t xml:space="preserve">reclassifications, purges, data locks and unlocks, and their reasons;</w:t>
      </w:r>
    </w:p>
    <w:p>
      <w:pPr>
        <w:pStyle w:val="Compact"/>
        <w:numPr>
          <w:ilvl w:val="1"/>
          <w:numId w:val="1015"/>
        </w:numPr>
      </w:pPr>
      <w:r>
        <w:t xml:space="preserve">access changes (members, roles, field credentials) and data-feed key activity.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Device edits</w:t>
      </w:r>
      <w:r>
        <w:t xml:space="preserve"> </w:t>
      </w:r>
      <w:r>
        <w:t xml:space="preserve">carry no reason for change (DK-VAL-002, R-01). Until that is corrected:</w:t>
      </w:r>
    </w:p>
    <w:p>
      <w:pPr>
        <w:pStyle w:val="Compact"/>
        <w:numPr>
          <w:ilvl w:val="1"/>
          <w:numId w:val="1016"/>
        </w:numPr>
      </w:pPr>
      <w:r>
        <w:t xml:space="preserve">every correction to data that has already been uploaded must be requested through the</w:t>
      </w:r>
      <w:r>
        <w:t xml:space="preserve"> </w:t>
      </w:r>
      <w:r>
        <w:t xml:space="preserve">study’s data query process, which records the reason;</w:t>
      </w:r>
    </w:p>
    <w:p>
      <w:pPr>
        <w:pStyle w:val="Compact"/>
        <w:numPr>
          <w:ilvl w:val="1"/>
          <w:numId w:val="1016"/>
        </w:numPr>
      </w:pPr>
      <w:r>
        <w:t xml:space="preserve">the reviewer reconciles each post-upload device edit against a resolved query.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Findings.</w:t>
      </w:r>
      <w:r>
        <w:t xml:space="preserve"> </w:t>
      </w:r>
      <w:r>
        <w:t xml:space="preserve">An edit with no corresponding query is followed up with the interviewer and</w:t>
      </w:r>
      <w:r>
        <w:t xml:space="preserve"> </w:t>
      </w:r>
      <w:r>
        <w:t xml:space="preserve">documented. A suspected falsification, or an unexplained or unauthorised change, is an</w:t>
      </w:r>
      <w:r>
        <w:t xml:space="preserve"> </w:t>
      </w:r>
      <w:r>
        <w:t xml:space="preserve">incident (section 8).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Record.</w:t>
      </w:r>
      <w:r>
        <w:t xml:space="preserve"> </w:t>
      </w:r>
      <w:r>
        <w:t xml:space="preserve">Record the review (date, period covered, reviewer, findings, actions) in the</w:t>
      </w:r>
      <w:r>
        <w:t xml:space="preserve"> </w:t>
      </w:r>
      <w:r>
        <w:t xml:space="preserve">study’s data management file.</w:t>
      </w:r>
    </w:p>
    <w:bookmarkEnd w:id="37"/>
    <w:bookmarkStart w:id="41" w:name="backup-restore-and-disaster-recovery"/>
    <w:p>
      <w:pPr>
        <w:pStyle w:val="Heading1"/>
      </w:pPr>
      <w:r>
        <w:t xml:space="preserve">7. Backup, restore and disaster recovery</w:t>
      </w:r>
    </w:p>
    <w:bookmarkStart w:id="38" w:name="backups"/>
    <w:p>
      <w:pPr>
        <w:pStyle w:val="Heading2"/>
      </w:pPr>
      <w:r>
        <w:t xml:space="preserve">7.1 Backups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621"/>
        <w:gridCol w:w="2792"/>
        <w:gridCol w:w="2702"/>
        <w:gridCol w:w="2522"/>
      </w:tblGrid>
      <w:tr>
        <w:trPr>
          <w:cantSplit/>
          <w:tblHeader w:val="true"/>
        </w:trPr>
        <w:tc>
          <w:tcPr>
            <w:tcW w:type="dxa" w:w="1621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>
            <w:tcW w:type="dxa" w:w="279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W w:type="dxa" w:w="270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W w:type="dxa" w:w="252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Kept</w:t>
            </w:r>
          </w:p>
        </w:tc>
      </w:tr>
      <w:tr>
        <w:trPr>
          <w:cantSplit/>
        </w:trPr>
        <w:tc>
          <w:tcPr>
            <w:tcW w:type="dxa" w:w="1621"/>
          </w:tcPr>
          <w:p>
            <w:pPr>
              <w:pStyle w:val="Compact"/>
              <w:jc w:val="left"/>
            </w:pPr>
            <w:r>
              <w:t xml:space="preserve">Platform database backup</w:t>
            </w:r>
          </w:p>
        </w:tc>
        <w:tc>
          <w:tcPr>
            <w:tcW w:type="dxa" w:w="2792"/>
          </w:tcPr>
          <w:p>
            <w:pPr>
              <w:pStyle w:val="Compact"/>
              <w:jc w:val="left"/>
            </w:pPr>
            <w:r>
              <w:t xml:space="preserve">Hosting provider</w:t>
            </w:r>
          </w:p>
        </w:tc>
        <w:tc>
          <w:tcPr>
            <w:tcW w:type="dxa" w:w="2702"/>
          </w:tcPr>
          <w:p>
            <w:pPr>
              <w:pStyle w:val="Compact"/>
              <w:jc w:val="left"/>
            </w:pPr>
            <w:r>
              <w:t xml:space="preserve">As provided by the plan (recorded at IQ-07)</w:t>
            </w:r>
          </w:p>
        </w:tc>
        <w:tc>
          <w:tcPr>
            <w:tcW w:type="dxa" w:w="2522"/>
          </w:tcPr>
          <w:p>
            <w:pPr>
              <w:pStyle w:val="Compact"/>
              <w:jc w:val="left"/>
            </w:pPr>
            <w:r>
              <w:t xml:space="preserve">Per plan</w:t>
            </w:r>
          </w:p>
        </w:tc>
      </w:tr>
      <w:tr>
        <w:trPr>
          <w:cantSplit/>
        </w:trPr>
        <w:tc>
          <w:tcPr>
            <w:tcW w:type="dxa" w:w="1621"/>
          </w:tcPr>
          <w:p>
            <w:pPr>
              <w:pStyle w:val="Compact"/>
              <w:jc w:val="left"/>
            </w:pPr>
            <w:r>
              <w:t xml:space="preserve">Scheduled CSV export of every project</w:t>
            </w:r>
          </w:p>
        </w:tc>
        <w:tc>
          <w:tcPr>
            <w:tcW w:type="dxa" w:w="279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export_data.py</w:t>
            </w:r>
            <w:r>
              <w:t xml:space="preserve"> </w:t>
            </w:r>
            <w:r>
              <w:t xml:space="preserve">(DataBackup)</w:t>
            </w:r>
          </w:p>
        </w:tc>
        <w:tc>
          <w:tcPr>
            <w:tcW w:type="dxa" w:w="2702"/>
          </w:tcPr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>
            <w:tcW w:type="dxa" w:w="2522"/>
          </w:tcPr>
          <w:p>
            <w:pPr>
              <w:pStyle w:val="Compact"/>
              <w:jc w:val="left"/>
            </w:pPr>
            <w:r>
              <w:t xml:space="preserve">At least 90 days of dailies, plus the last of each month for the life of the system</w:t>
            </w:r>
          </w:p>
        </w:tc>
      </w:tr>
      <w:tr>
        <w:trPr>
          <w:cantSplit/>
        </w:trPr>
        <w:tc>
          <w:tcPr>
            <w:tcW w:type="dxa" w:w="1621"/>
          </w:tcPr>
          <w:p>
            <w:pPr>
              <w:pStyle w:val="Compact"/>
              <w:jc w:val="left"/>
            </w:pPr>
            <w:r>
              <w:t xml:space="preserve">Encrypted full snapshot (database and files)</w:t>
            </w:r>
          </w:p>
        </w:tc>
        <w:tc>
          <w:tcPr>
            <w:tcW w:type="dxa" w:w="279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backup_snapshot.py create</w:t>
            </w:r>
          </w:p>
        </w:tc>
        <w:tc>
          <w:tcPr>
            <w:tcW w:type="dxa" w:w="2702"/>
          </w:tcPr>
          <w:p>
            <w:pPr>
              <w:pStyle w:val="Compact"/>
              <w:jc w:val="left"/>
            </w:pPr>
            <w:r>
              <w:t xml:space="preserve">Weekly; before every release; at every database lock</w:t>
            </w:r>
          </w:p>
        </w:tc>
        <w:tc>
          <w:tcPr>
            <w:tcW w:type="dxa" w:w="2522"/>
          </w:tcPr>
          <w:p>
            <w:pPr>
              <w:pStyle w:val="Compact"/>
              <w:jc w:val="left"/>
            </w:pPr>
            <w:r>
              <w:t xml:space="preserve">The last 8 weeklies; every pre-release and database-lock snapshot for the retention period</w:t>
            </w:r>
          </w:p>
        </w:tc>
      </w:tr>
    </w:tbl>
    <w:p>
      <w:pPr>
        <w:pStyle w:val="BodyText"/>
      </w:pPr>
      <w:r>
        <w:rPr>
          <w:bCs/>
          <w:b/>
        </w:rPr>
        <w:t xml:space="preserve">Storage.</w:t>
      </w:r>
    </w:p>
    <w:p>
      <w:pPr>
        <w:pStyle w:val="Compact"/>
        <w:numPr>
          <w:ilvl w:val="0"/>
          <w:numId w:val="1017"/>
        </w:numPr>
      </w:pPr>
      <w:r>
        <w:t xml:space="preserve">Backups are stored on organisation-controlled storage that is independent of the hosting</w:t>
      </w:r>
      <w:r>
        <w:t xml:space="preserve"> </w:t>
      </w:r>
      <w:r>
        <w:t xml:space="preserve">provider, with access limited to the System Administrators.</w:t>
      </w:r>
    </w:p>
    <w:p>
      <w:pPr>
        <w:pStyle w:val="Compact"/>
        <w:numPr>
          <w:ilvl w:val="0"/>
          <w:numId w:val="1017"/>
        </w:numPr>
      </w:pPr>
      <w:r>
        <w:t xml:space="preserve">Snapshots are encrypted with the organisation’s approved backup key. The private key is</w:t>
      </w:r>
      <w:r>
        <w:t xml:space="preserve"> </w:t>
      </w:r>
      <w:r>
        <w:t xml:space="preserve">held by two named people and stored securely, separately from the backups.</w:t>
      </w:r>
    </w:p>
    <w:p>
      <w:pPr>
        <w:pStyle w:val="Compact"/>
        <w:numPr>
          <w:ilvl w:val="0"/>
          <w:numId w:val="1017"/>
        </w:numPr>
      </w:pPr>
      <w:r>
        <w:t xml:space="preserve">The scheduled export e-mails a summary after every run. A</w:t>
      </w:r>
      <w:r>
        <w:t xml:space="preserve"> </w:t>
      </w:r>
      <w:r>
        <w:rPr>
          <w:bCs/>
          <w:b/>
        </w:rPr>
        <w:t xml:space="preserve">failed backup</w:t>
      </w:r>
      <w:r>
        <w:t xml:space="preserve"> </w:t>
      </w:r>
      <w:r>
        <w:t xml:space="preserve">is</w:t>
      </w:r>
      <w:r>
        <w:t xml:space="preserve"> </w:t>
      </w:r>
      <w:r>
        <w:t xml:space="preserve">investigated on the same working day and recorded as an incident if it cannot be fixed at</w:t>
      </w:r>
      <w:r>
        <w:t xml:space="preserve"> </w:t>
      </w:r>
      <w:r>
        <w:t xml:space="preserve">once.</w:t>
      </w:r>
    </w:p>
    <w:bookmarkEnd w:id="38"/>
    <w:bookmarkStart w:id="39" w:name="restore-testing"/>
    <w:p>
      <w:pPr>
        <w:pStyle w:val="Heading2"/>
      </w:pPr>
      <w:r>
        <w:t xml:space="preserve">7.2 Restore testing</w:t>
      </w:r>
    </w:p>
    <w:p>
      <w:pPr>
        <w:pStyle w:val="FirstParagraph"/>
      </w:pPr>
      <w:r>
        <w:t xml:space="preserve">At least</w:t>
      </w:r>
      <w:r>
        <w:t xml:space="preserve"> </w:t>
      </w:r>
      <w:r>
        <w:rPr>
          <w:bCs/>
          <w:b/>
        </w:rPr>
        <w:t xml:space="preserve">every 6 months</w:t>
      </w:r>
      <w:r>
        <w:t xml:space="preserve">, and after any change to the backup tools or hosting plan, a</w:t>
      </w:r>
      <w:r>
        <w:t xml:space="preserve"> </w:t>
      </w:r>
      <w:r>
        <w:t xml:space="preserve">System Administrator restores the latest snapshot locally (</w:t>
      </w:r>
      <w:r>
        <w:rPr>
          <w:rStyle w:val="VerbatimChar"/>
        </w:rPr>
        <w:t xml:space="preserve">backup_snapshot.py restore-local</w:t>
      </w:r>
      <w:r>
        <w:t xml:space="preserve">). They reconcile record counts with production, test the restore of the</w:t>
      </w:r>
      <w:r>
        <w:t xml:space="preserve"> </w:t>
      </w:r>
      <w:r>
        <w:t xml:space="preserve">latest CSV export, and record it all on a Restore Test Record (Appendix E).</w:t>
      </w:r>
    </w:p>
    <w:bookmarkEnd w:id="39"/>
    <w:bookmarkStart w:id="40" w:name="disaster-recovery"/>
    <w:p>
      <w:pPr>
        <w:pStyle w:val="Heading2"/>
      </w:pPr>
      <w:r>
        <w:t xml:space="preserve">7.3 Disaster recovery</w:t>
      </w:r>
    </w:p>
    <w:p>
      <w:pPr>
        <w:pStyle w:val="FirstParagraph"/>
      </w:pPr>
      <w:r>
        <w:t xml:space="preserve">If the production service is lost or its data is damaged:</w:t>
      </w:r>
    </w:p>
    <w:p>
      <w:pPr>
        <w:pStyle w:val="Compact"/>
        <w:numPr>
          <w:ilvl w:val="0"/>
          <w:numId w:val="1018"/>
        </w:numPr>
      </w:pPr>
      <w:r>
        <w:t xml:space="preserve">Declare an incident (section 8), stop data collection uploads if needed (pause the</w:t>
      </w:r>
      <w:r>
        <w:t xml:space="preserve"> </w:t>
      </w:r>
      <w:r>
        <w:t xml:space="preserve">affected projects), and notify the Project Owners.</w:t>
      </w:r>
    </w:p>
    <w:p>
      <w:pPr>
        <w:pStyle w:val="Compact"/>
        <w:numPr>
          <w:ilvl w:val="0"/>
          <w:numId w:val="1018"/>
        </w:numPr>
      </w:pPr>
      <w:r>
        <w:t xml:space="preserve">Field devices keep all unsynchronised data safely. Instruct interviewers to keep</w:t>
      </w:r>
      <w:r>
        <w:t xml:space="preserve"> </w:t>
      </w:r>
      <w:r>
        <w:t xml:space="preserve">collecting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 remove surveys or the application.</w:t>
      </w:r>
    </w:p>
    <w:p>
      <w:pPr>
        <w:pStyle w:val="Compact"/>
        <w:numPr>
          <w:ilvl w:val="0"/>
          <w:numId w:val="1018"/>
        </w:numPr>
      </w:pPr>
      <w:r>
        <w:t xml:space="preserve">Recover through the hosting provider’s backup or point-in-time recovery. If that is not</w:t>
      </w:r>
      <w:r>
        <w:t xml:space="preserve"> </w:t>
      </w:r>
      <w:r>
        <w:t xml:space="preserve">possible, recover from the latest snapshot into a new production project, apply</w:t>
      </w:r>
      <w:r>
        <w:t xml:space="preserve"> </w:t>
      </w:r>
      <w:r>
        <w:t xml:space="preserve">configuration from the repository, and redeploy the portal and server functions.</w:t>
      </w:r>
    </w:p>
    <w:p>
      <w:pPr>
        <w:pStyle w:val="Compact"/>
        <w:numPr>
          <w:ilvl w:val="0"/>
          <w:numId w:val="1018"/>
        </w:numPr>
      </w:pPr>
      <w:r>
        <w:t xml:space="preserve">Verify the recovered system with IQ-03 to IQ-05, and reconcile record counts against the</w:t>
      </w:r>
      <w:r>
        <w:t xml:space="preserve"> </w:t>
      </w:r>
      <w:r>
        <w:t xml:space="preserve">last export.</w:t>
      </w:r>
    </w:p>
    <w:p>
      <w:pPr>
        <w:pStyle w:val="Compact"/>
        <w:numPr>
          <w:ilvl w:val="0"/>
          <w:numId w:val="1018"/>
        </w:numPr>
      </w:pPr>
      <w:r>
        <w:t xml:space="preserve">Resume synchronisation. Devices upload anything received after the recovery point. The</w:t>
      </w:r>
      <w:r>
        <w:t xml:space="preserve"> </w:t>
      </w:r>
      <w:r>
        <w:t xml:space="preserve">upload is idempotent, so records are neither duplicated nor lost.</w:t>
      </w:r>
    </w:p>
    <w:p>
      <w:pPr>
        <w:pStyle w:val="Compact"/>
        <w:numPr>
          <w:ilvl w:val="0"/>
          <w:numId w:val="1018"/>
        </w:numPr>
      </w:pPr>
      <w:r>
        <w:t xml:space="preserve">Record the recovery on the Incident Record and a Restore Test Record.</w:t>
      </w:r>
    </w:p>
    <w:bookmarkEnd w:id="40"/>
    <w:bookmarkEnd w:id="41"/>
    <w:bookmarkStart w:id="42" w:name="incidents-defects-and-user-support"/>
    <w:p>
      <w:pPr>
        <w:pStyle w:val="Heading1"/>
      </w:pPr>
      <w:r>
        <w:t xml:space="preserve">8. Incidents, defects and user support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Reporting.</w:t>
      </w:r>
      <w:r>
        <w:t xml:space="preserve"> </w:t>
      </w:r>
      <w:r>
        <w:t xml:space="preserve">Users report problems, suspected defects and security concerns to the</w:t>
      </w:r>
      <w:r>
        <w:t xml:space="preserve"> </w:t>
      </w:r>
      <w:r>
        <w:t xml:space="preserve">support contact published in the portal help (</w:t>
      </w:r>
      <w:r>
        <w:rPr>
          <w:iCs/>
          <w:i/>
        </w:rPr>
        <w:t xml:space="preserve">Support</w:t>
      </w:r>
      <w:r>
        <w:t xml:space="preserve">) or to the System Owner. Field</w:t>
      </w:r>
      <w:r>
        <w:t xml:space="preserve"> </w:t>
      </w:r>
      <w:r>
        <w:t xml:space="preserve">staff report through their supervisor.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Recording.</w:t>
      </w:r>
      <w:r>
        <w:t xml:space="preserve"> </w:t>
      </w:r>
      <w:r>
        <w:t xml:space="preserve">Every report is recorded on an Incident / Defect Record (Appendix C), or</w:t>
      </w:r>
      <w:r>
        <w:t xml:space="preserve"> </w:t>
      </w:r>
      <w:r>
        <w:t xml:space="preserve">in the issue tracker of the affected repository with the same information, and given a</w:t>
      </w:r>
      <w:r>
        <w:t xml:space="preserve"> </w:t>
      </w:r>
      <w:r>
        <w:t xml:space="preserve">number.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Classification.</w:t>
      </w:r>
    </w:p>
    <w:tbl>
      <w:tblPr>
        <w:tblStyle w:val="Table"/>
        <w:tblW w:type="dxa" w:w="96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070"/>
        <w:gridCol w:w="5841"/>
        <w:gridCol w:w="2725"/>
      </w:tblGrid>
      <w:tr>
        <w:trPr>
          <w:cantSplit/>
          <w:tblHeader w:val="true"/>
        </w:trPr>
        <w:tc>
          <w:tcPr>
            <w:tcW w:type="dxa" w:w="107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W w:type="dxa" w:w="5841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W w:type="dxa" w:w="272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Target response</w:t>
            </w:r>
          </w:p>
        </w:tc>
      </w:tr>
      <w:tr>
        <w:trPr>
          <w:cantSplit/>
        </w:trPr>
        <w:tc>
          <w:tcPr>
            <w:tcW w:type="dxa" w:w="1070"/>
          </w:tcPr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>
            <w:tcW w:type="dxa" w:w="5841"/>
          </w:tcPr>
          <w:p>
            <w:pPr>
              <w:pStyle w:val="Compact"/>
              <w:jc w:val="left"/>
            </w:pPr>
            <w:r>
              <w:t xml:space="preserve">Possible data loss or corruption; security breach or suspected unauthorised access; failure of the audit trail; total outage</w:t>
            </w:r>
          </w:p>
        </w:tc>
        <w:tc>
          <w:tcPr>
            <w:tcW w:type="dxa" w:w="2725"/>
          </w:tcPr>
          <w:p>
            <w:pPr>
              <w:pStyle w:val="Compact"/>
              <w:jc w:val="left"/>
            </w:pPr>
            <w:r>
              <w:t xml:space="preserve">Start the same day; System Owner and QA informed at once</w:t>
            </w:r>
          </w:p>
        </w:tc>
      </w:tr>
      <w:tr>
        <w:trPr>
          <w:cantSplit/>
        </w:trPr>
        <w:tc>
          <w:tcPr>
            <w:tcW w:type="dxa" w:w="1070"/>
          </w:tcPr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>
            <w:tcW w:type="dxa" w:w="5841"/>
          </w:tcPr>
          <w:p>
            <w:pPr>
              <w:pStyle w:val="Compact"/>
              <w:jc w:val="left"/>
            </w:pPr>
            <w:r>
              <w:t xml:space="preserve">A function not working, with a workaround</w:t>
            </w:r>
          </w:p>
        </w:tc>
        <w:tc>
          <w:tcPr>
            <w:tcW w:type="dxa" w:w="2725"/>
          </w:tcPr>
          <w:p>
            <w:pPr>
              <w:pStyle w:val="Compact"/>
              <w:jc w:val="left"/>
            </w:pPr>
            <w:r>
              <w:t xml:space="preserve">Start within 2 working days</w:t>
            </w:r>
          </w:p>
        </w:tc>
      </w:tr>
      <w:tr>
        <w:trPr>
          <w:cantSplit/>
        </w:trPr>
        <w:tc>
          <w:tcPr>
            <w:tcW w:type="dxa" w:w="1070"/>
          </w:tcPr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>
            <w:tcW w:type="dxa" w:w="5841"/>
          </w:tcPr>
          <w:p>
            <w:pPr>
              <w:pStyle w:val="Compact"/>
              <w:jc w:val="left"/>
            </w:pPr>
            <w:r>
              <w:t xml:space="preserve">Cosmetic or documentation</w:t>
            </w:r>
          </w:p>
        </w:tc>
        <w:tc>
          <w:tcPr>
            <w:tcW w:type="dxa" w:w="2725"/>
          </w:tcPr>
          <w:p>
            <w:pPr>
              <w:pStyle w:val="Compact"/>
              <w:jc w:val="left"/>
            </w:pPr>
            <w:r>
              <w:t xml:space="preserve">Next planned release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bCs/>
          <w:b/>
        </w:rPr>
        <w:t xml:space="preserve">Investigation.</w:t>
      </w:r>
      <w:r>
        <w:t xml:space="preserve"> </w:t>
      </w:r>
      <w:r>
        <w:t xml:space="preserve">Investigate the cause. Assess the effect on data already collected</w:t>
      </w:r>
      <w:r>
        <w:t xml:space="preserve"> </w:t>
      </w:r>
      <w:r>
        <w:t xml:space="preserve">and on studies in progress. Agree corrective and preventive actions (CAPA). Fixes are</w:t>
      </w:r>
      <w:r>
        <w:t xml:space="preserve"> </w:t>
      </w:r>
      <w:r>
        <w:t xml:space="preserve">made under change control (section 4).</w:t>
      </w:r>
    </w:p>
    <w:p>
      <w:pPr>
        <w:pStyle w:val="Compact"/>
        <w:numPr>
          <w:ilvl w:val="0"/>
          <w:numId w:val="1020"/>
        </w:numPr>
      </w:pPr>
      <w:r>
        <w:rPr>
          <w:bCs/>
          <w:b/>
        </w:rPr>
        <w:t xml:space="preserve">Security incidents and personal data breaches.</w:t>
      </w:r>
      <w:r>
        <w:t xml:space="preserve"> </w:t>
      </w:r>
      <w:r>
        <w:t xml:space="preserve">A suspected breach, including a lost or</w:t>
      </w:r>
      <w:r>
        <w:t xml:space="preserve"> </w:t>
      </w:r>
      <w:r>
        <w:t xml:space="preserve">stolen device holding unsynchronised data, is reported at once to the System Owner and</w:t>
      </w:r>
      <w:r>
        <w:t xml:space="preserve"> </w:t>
      </w:r>
      <w:r>
        <w:t xml:space="preserve">the organisation’s data protection officer. It is also reported to the study sponsors</w:t>
      </w:r>
      <w:r>
        <w:t xml:space="preserve"> </w:t>
      </w:r>
      <w:r>
        <w:t xml:space="preserve">affected, in time for them to meet their own reporting obligations (normally within 24</w:t>
      </w:r>
      <w:r>
        <w:t xml:space="preserve"> </w:t>
      </w:r>
      <w:r>
        <w:t xml:space="preserve">hours). The credential of a lost device is reset at once (section 5.2).</w:t>
      </w:r>
    </w:p>
    <w:p>
      <w:pPr>
        <w:pStyle w:val="Compact"/>
        <w:numPr>
          <w:ilvl w:val="0"/>
          <w:numId w:val="1020"/>
        </w:numPr>
      </w:pPr>
      <w:r>
        <w:rPr>
          <w:bCs/>
          <w:b/>
        </w:rPr>
        <w:t xml:space="preserve">Closure.</w:t>
      </w:r>
      <w:r>
        <w:t xml:space="preserve"> </w:t>
      </w:r>
      <w:r>
        <w:t xml:space="preserve">An incident is closed when its CAPAs are complete and their effectiveness</w:t>
      </w:r>
      <w:r>
        <w:t xml:space="preserve"> </w:t>
      </w:r>
      <w:r>
        <w:t xml:space="preserve">has been checked. Incidents are reviewed at each periodic review for trends.</w:t>
      </w:r>
    </w:p>
    <w:bookmarkEnd w:id="42"/>
    <w:bookmarkStart w:id="47" w:name="security-and-platform-management"/>
    <w:p>
      <w:pPr>
        <w:pStyle w:val="Heading1"/>
      </w:pPr>
      <w:r>
        <w:t xml:space="preserve">9. Security and platform management</w:t>
      </w:r>
    </w:p>
    <w:bookmarkStart w:id="43" w:name="passwords-and-authentication"/>
    <w:p>
      <w:pPr>
        <w:pStyle w:val="Heading2"/>
      </w:pPr>
      <w:r>
        <w:t xml:space="preserve">9.1 Passwords and authentication</w:t>
      </w:r>
    </w:p>
    <w:p>
      <w:pPr>
        <w:pStyle w:val="Compact"/>
        <w:numPr>
          <w:ilvl w:val="0"/>
          <w:numId w:val="1021"/>
        </w:numPr>
      </w:pPr>
      <w:r>
        <w:rPr>
          <w:bCs/>
          <w:b/>
        </w:rPr>
        <w:t xml:space="preserve">Portal passwords</w:t>
      </w:r>
      <w:r>
        <w:t xml:space="preserve"> </w:t>
      </w:r>
      <w:r>
        <w:t xml:space="preserve">must be at least 10 characters, unique to DataKollecta, and kept in a</w:t>
      </w:r>
      <w:r>
        <w:t xml:space="preserve"> </w:t>
      </w:r>
      <w:r>
        <w:t xml:space="preserve">password manager. They must never be shared or written down.</w:t>
      </w:r>
    </w:p>
    <w:p>
      <w:pPr>
        <w:pStyle w:val="Compact"/>
        <w:numPr>
          <w:ilvl w:val="0"/>
          <w:numId w:val="1021"/>
        </w:numPr>
      </w:pPr>
      <w:r>
        <w:rPr>
          <w:bCs/>
          <w:b/>
        </w:rPr>
        <w:t xml:space="preserve">Shared browsers.</w:t>
      </w:r>
      <w:r>
        <w:t xml:space="preserve"> </w:t>
      </w:r>
      <w:r>
        <w:t xml:space="preserve">Users must not let a browser save their portal password on a shared</w:t>
      </w:r>
      <w:r>
        <w:t xml:space="preserve"> </w:t>
      </w:r>
      <w:r>
        <w:t xml:space="preserve">or personal computer they do not control.</w:t>
      </w:r>
    </w:p>
    <w:p>
      <w:pPr>
        <w:pStyle w:val="Compact"/>
        <w:numPr>
          <w:ilvl w:val="0"/>
          <w:numId w:val="1021"/>
        </w:numPr>
      </w:pPr>
      <w:r>
        <w:rPr>
          <w:bCs/>
          <w:b/>
        </w:rPr>
        <w:t xml:space="preserve">Administrators</w:t>
      </w:r>
      <w:r>
        <w:t xml:space="preserve"> </w:t>
      </w:r>
      <w:r>
        <w:t xml:space="preserve">use MFA on all hosting accounts (section 5.3). Until MFA enrolment is</w:t>
      </w:r>
      <w:r>
        <w:t xml:space="preserve"> </w:t>
      </w:r>
      <w:r>
        <w:t xml:space="preserve">available in the portal (DK-VAL-002, R-02), Project Owners must use a password manager</w:t>
      </w:r>
      <w:r>
        <w:t xml:space="preserve"> </w:t>
      </w:r>
      <w:r>
        <w:t xml:space="preserve">with a unique generated password.</w:t>
      </w:r>
    </w:p>
    <w:bookmarkEnd w:id="43"/>
    <w:bookmarkStart w:id="44" w:name="workstations"/>
    <w:p>
      <w:pPr>
        <w:pStyle w:val="Heading2"/>
      </w:pPr>
      <w:r>
        <w:t xml:space="preserve">9.2 Workstations</w:t>
      </w:r>
    </w:p>
    <w:p>
      <w:pPr>
        <w:pStyle w:val="FirstParagraph"/>
      </w:pPr>
      <w:r>
        <w:t xml:space="preserve">Computers used to access the portal or run the survey and backup tools must:</w:t>
      </w:r>
    </w:p>
    <w:p>
      <w:pPr>
        <w:pStyle w:val="Compact"/>
        <w:numPr>
          <w:ilvl w:val="0"/>
          <w:numId w:val="1022"/>
        </w:numPr>
      </w:pPr>
      <w:r>
        <w:t xml:space="preserve">run a supported operating system with security updates applied;</w:t>
      </w:r>
    </w:p>
    <w:p>
      <w:pPr>
        <w:pStyle w:val="Compact"/>
        <w:numPr>
          <w:ilvl w:val="0"/>
          <w:numId w:val="1022"/>
        </w:numPr>
      </w:pPr>
      <w:r>
        <w:t xml:space="preserve">run current anti-virus software;</w:t>
      </w:r>
    </w:p>
    <w:p>
      <w:pPr>
        <w:pStyle w:val="Compact"/>
        <w:numPr>
          <w:ilvl w:val="0"/>
          <w:numId w:val="1022"/>
        </w:numPr>
      </w:pPr>
      <w:r>
        <w:t xml:space="preserve">lock the screen after at most</w:t>
      </w:r>
      <w:r>
        <w:t xml:space="preserve"> </w:t>
      </w:r>
      <w:r>
        <w:rPr>
          <w:bCs/>
          <w:b/>
        </w:rPr>
        <w:t xml:space="preserve">10 minutes</w:t>
      </w:r>
      <w:r>
        <w:t xml:space="preserve"> </w:t>
      </w:r>
      <w:r>
        <w:t xml:space="preserve">of inactivity (DK-VAL-002, R-03).</w:t>
      </w:r>
    </w:p>
    <w:p>
      <w:pPr>
        <w:pStyle w:val="FirstParagraph"/>
      </w:pPr>
      <w:r>
        <w:t xml:space="preserve">Users must sign out of the portal when they finish on a shared computer. USB drives used to</w:t>
      </w:r>
      <w:r>
        <w:t xml:space="preserve"> </w:t>
      </w:r>
      <w:r>
        <w:t xml:space="preserve">move survey packages or exports must be organisation-owned and scanned for malware.</w:t>
      </w:r>
    </w:p>
    <w:bookmarkEnd w:id="44"/>
    <w:bookmarkStart w:id="45" w:name="field-devices"/>
    <w:p>
      <w:pPr>
        <w:pStyle w:val="Heading2"/>
      </w:pPr>
      <w:r>
        <w:t xml:space="preserve">9.3 Field devices</w:t>
      </w:r>
    </w:p>
    <w:p>
      <w:pPr>
        <w:pStyle w:val="FirstParagraph"/>
      </w:pPr>
      <w:r>
        <w:t xml:space="preserve">Devices used for data collection must:</w:t>
      </w:r>
    </w:p>
    <w:p>
      <w:pPr>
        <w:pStyle w:val="Compact"/>
        <w:numPr>
          <w:ilvl w:val="0"/>
          <w:numId w:val="1023"/>
        </w:numPr>
      </w:pPr>
      <w:r>
        <w:t xml:space="preserve">run a supported Android version (or Windows with full-disk encryption) and receive</w:t>
      </w:r>
      <w:r>
        <w:t xml:space="preserve"> </w:t>
      </w:r>
      <w:r>
        <w:t xml:space="preserve">security updates;</w:t>
      </w:r>
    </w:p>
    <w:p>
      <w:pPr>
        <w:pStyle w:val="Compact"/>
        <w:numPr>
          <w:ilvl w:val="0"/>
          <w:numId w:val="1023"/>
        </w:numPr>
      </w:pPr>
      <w:r>
        <w:t xml:space="preserve">have a screen lock with PIN or password. This also activates the operating system’s storage</w:t>
      </w:r>
      <w:r>
        <w:t xml:space="preserve"> </w:t>
      </w:r>
      <w:r>
        <w:t xml:space="preserve">encryption (DK-VAL-002, R-06 and R-07);</w:t>
      </w:r>
    </w:p>
    <w:p>
      <w:pPr>
        <w:pStyle w:val="Compact"/>
        <w:numPr>
          <w:ilvl w:val="0"/>
          <w:numId w:val="1023"/>
        </w:numPr>
      </w:pPr>
      <w:r>
        <w:t xml:space="preserve">have automatic network date, time and time zone switched on (R-17);</w:t>
      </w:r>
    </w:p>
    <w:p>
      <w:pPr>
        <w:pStyle w:val="Compact"/>
        <w:numPr>
          <w:ilvl w:val="0"/>
          <w:numId w:val="1023"/>
        </w:numPr>
      </w:pPr>
      <w:r>
        <w:t xml:space="preserve">not be rooted or jail-broken;</w:t>
      </w:r>
    </w:p>
    <w:p>
      <w:pPr>
        <w:pStyle w:val="Compact"/>
        <w:numPr>
          <w:ilvl w:val="0"/>
          <w:numId w:val="1023"/>
        </w:numPr>
      </w:pPr>
      <w:r>
        <w:t xml:space="preserve">have the DataKollecta application installed only from the release build (section 4.6).</w:t>
      </w:r>
    </w:p>
    <w:p>
      <w:pPr>
        <w:pStyle w:val="FirstParagraph"/>
      </w:pPr>
      <w:r>
        <w:t xml:space="preserve">The System Administrator keeps a</w:t>
      </w:r>
      <w:r>
        <w:t xml:space="preserve"> </w:t>
      </w:r>
      <w:r>
        <w:rPr>
          <w:bCs/>
          <w:b/>
        </w:rPr>
        <w:t xml:space="preserve">device register</w:t>
      </w:r>
      <w:r>
        <w:t xml:space="preserve">: device, serial number, assigned</w:t>
      </w:r>
      <w:r>
        <w:t xml:space="preserve"> </w:t>
      </w:r>
      <w:r>
        <w:t xml:space="preserve">interviewer, application version installed, and dates of issue, handover and return.</w:t>
      </w:r>
    </w:p>
    <w:p>
      <w:pPr>
        <w:pStyle w:val="BodyText"/>
      </w:pPr>
      <w:r>
        <w:t xml:space="preserve">Interviewers synchronise</w:t>
      </w:r>
      <w:r>
        <w:t xml:space="preserve"> </w:t>
      </w:r>
      <w:r>
        <w:rPr>
          <w:bCs/>
          <w:b/>
        </w:rPr>
        <w:t xml:space="preserve">at least daily</w:t>
      </w:r>
      <w:r>
        <w:t xml:space="preserve"> </w:t>
      </w:r>
      <w:r>
        <w:t xml:space="preserve">when a connection is available, so that as</w:t>
      </w:r>
      <w:r>
        <w:t xml:space="preserve"> </w:t>
      </w:r>
      <w:r>
        <w:t xml:space="preserve">little data as possible is held only on the device.</w:t>
      </w:r>
    </w:p>
    <w:p>
      <w:pPr>
        <w:pStyle w:val="BodyText"/>
      </w:pPr>
      <w:r>
        <w:t xml:space="preserve">macOS, Linux and iOS builds of the field application are not used for production data</w:t>
      </w:r>
      <w:r>
        <w:t xml:space="preserve"> </w:t>
      </w:r>
      <w:r>
        <w:t xml:space="preserve">collection.</w:t>
      </w:r>
    </w:p>
    <w:bookmarkEnd w:id="45"/>
    <w:bookmarkStart w:id="46" w:name="platform-and-provider-management"/>
    <w:p>
      <w:pPr>
        <w:pStyle w:val="Heading2"/>
      </w:pPr>
      <w:r>
        <w:t xml:space="preserve">9.4 Platform and provider management</w:t>
      </w:r>
    </w:p>
    <w:p>
      <w:pPr>
        <w:pStyle w:val="FirstParagraph"/>
      </w:pPr>
      <w:r>
        <w:t xml:space="preserve">The System Owner:</w:t>
      </w:r>
    </w:p>
    <w:p>
      <w:pPr>
        <w:pStyle w:val="Compact"/>
        <w:numPr>
          <w:ilvl w:val="0"/>
          <w:numId w:val="1024"/>
        </w:numPr>
      </w:pPr>
      <w:r>
        <w:t xml:space="preserve">monitors the hosting providers’ status pages and change notices;</w:t>
      </w:r>
    </w:p>
    <w:p>
      <w:pPr>
        <w:pStyle w:val="Compact"/>
        <w:numPr>
          <w:ilvl w:val="0"/>
          <w:numId w:val="1024"/>
        </w:numPr>
      </w:pPr>
      <w:r>
        <w:t xml:space="preserve">assesses any platform change that could affect the system, and handles it as a change or</w:t>
      </w:r>
      <w:r>
        <w:t xml:space="preserve"> </w:t>
      </w:r>
      <w:r>
        <w:t xml:space="preserve">an incident;</w:t>
      </w:r>
    </w:p>
    <w:p>
      <w:pPr>
        <w:pStyle w:val="Compact"/>
        <w:numPr>
          <w:ilvl w:val="0"/>
          <w:numId w:val="1024"/>
        </w:numPr>
      </w:pPr>
      <w:r>
        <w:t xml:space="preserve">keeps provider terms, data-processing agreements and security attestations on file, and</w:t>
      </w:r>
      <w:r>
        <w:t xml:space="preserve"> </w:t>
      </w:r>
      <w:r>
        <w:t xml:space="preserve">reviews them at each periodic review;</w:t>
      </w:r>
    </w:p>
    <w:p>
      <w:pPr>
        <w:pStyle w:val="Compact"/>
        <w:numPr>
          <w:ilvl w:val="0"/>
          <w:numId w:val="1024"/>
        </w:numPr>
      </w:pPr>
      <w:r>
        <w:t xml:space="preserve">applies dependency and platform updates through change control.</w:t>
      </w:r>
    </w:p>
    <w:p>
      <w:pPr>
        <w:pStyle w:val="FirstParagraph"/>
      </w:pPr>
      <w:r>
        <w:t xml:space="preserve">Security updates rated critical by the vendor are assessed within 5 working days.</w:t>
      </w:r>
    </w:p>
    <w:bookmarkEnd w:id="46"/>
    <w:bookmarkEnd w:id="47"/>
    <w:bookmarkStart w:id="48" w:name="X117b1cfbb9ac6f782a5bd7ea6082f796027db24"/>
    <w:p>
      <w:pPr>
        <w:pStyle w:val="Heading1"/>
      </w:pPr>
      <w:r>
        <w:t xml:space="preserve">10. Study configuration: build, validation and release</w:t>
      </w:r>
    </w:p>
    <w:p>
      <w:pPr>
        <w:pStyle w:val="FirstParagraph"/>
      </w:pPr>
      <w:r>
        <w:t xml:space="preserve">Each study’s survey is validated before it is used to collect real data, and again for each</w:t>
      </w:r>
      <w:r>
        <w:t xml:space="preserve"> </w:t>
      </w:r>
      <w:r>
        <w:t xml:space="preserve">protocol amendment that changes it: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Specification.</w:t>
      </w:r>
      <w:r>
        <w:t xml:space="preserve"> </w:t>
      </w:r>
      <w:r>
        <w:t xml:space="preserve">The Data Manager prepares the data dictionary from the protocol and</w:t>
      </w:r>
      <w:r>
        <w:t xml:space="preserve"> </w:t>
      </w:r>
      <w:r>
        <w:t xml:space="preserve">the case report forms, and has it reviewed by a second person against them.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Build.</w:t>
      </w:r>
      <w:r>
        <w:t xml:space="preserve"> </w:t>
      </w:r>
      <w:r>
        <w:t xml:space="preserve">Build the package with SurveyGen (or the portal designer). The build must</w:t>
      </w:r>
      <w:r>
        <w:t xml:space="preserve"> </w:t>
      </w:r>
      <w:r>
        <w:t xml:space="preserve">complete with no errors; every warning is assessed.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Test.</w:t>
      </w:r>
    </w:p>
    <w:p>
      <w:pPr>
        <w:pStyle w:val="Compact"/>
        <w:numPr>
          <w:ilvl w:val="1"/>
          <w:numId w:val="1026"/>
        </w:numPr>
      </w:pPr>
      <w:r>
        <w:t xml:space="preserve">Run SurveyTest on the package and resolve or justify every finding.</w:t>
      </w:r>
    </w:p>
    <w:p>
      <w:pPr>
        <w:pStyle w:val="Compact"/>
        <w:numPr>
          <w:ilvl w:val="1"/>
          <w:numId w:val="1026"/>
        </w:numPr>
      </w:pPr>
      <w:r>
        <w:t xml:space="preserve">Upload the package to the project and promote it to</w:t>
      </w:r>
      <w:r>
        <w:t xml:space="preserve"> </w:t>
      </w:r>
      <w:r>
        <w:rPr>
          <w:bCs/>
          <w:b/>
        </w:rPr>
        <w:t xml:space="preserve">Test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Carry out the user acceptance test on a device, following the checklist in DK-TPL-001.</w:t>
      </w:r>
    </w:p>
    <w:p>
      <w:pPr>
        <w:pStyle w:val="Compact"/>
        <w:numPr>
          <w:ilvl w:val="1"/>
          <w:numId w:val="1026"/>
        </w:numPr>
      </w:pPr>
      <w:r>
        <w:t xml:space="preserve">Involve at least one future user (for example a field supervisor).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Record.</w:t>
      </w:r>
      <w:r>
        <w:t xml:space="preserve"> </w:t>
      </w:r>
      <w:r>
        <w:t xml:space="preserve">Complete the Study Build Validation Record (DK-TPL-001) and have it signed.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Release.</w:t>
      </w:r>
      <w:r>
        <w:t xml:space="preserve"> </w:t>
      </w:r>
      <w:r>
        <w:t xml:space="preserve">Only then promote the survey to</w:t>
      </w:r>
      <w:r>
        <w:t xml:space="preserve"> </w:t>
      </w:r>
      <w:r>
        <w:rPr>
          <w:bCs/>
          <w:b/>
        </w:rPr>
        <w:t xml:space="preserve">Deployed</w:t>
      </w:r>
      <w:r>
        <w:t xml:space="preserve">. Records collected during</w:t>
      </w:r>
      <w:r>
        <w:t xml:space="preserve"> </w:t>
      </w:r>
      <w:r>
        <w:t xml:space="preserve">testing remain labelled</w:t>
      </w:r>
      <w:r>
        <w:t xml:space="preserve"> </w:t>
      </w:r>
      <w:r>
        <w:rPr>
          <w:iCs/>
          <w:i/>
        </w:rPr>
        <w:t xml:space="preserve">test</w:t>
      </w:r>
      <w:r>
        <w:t xml:space="preserve"> </w:t>
      </w:r>
      <w:r>
        <w:t xml:space="preserve">and can be purged by the Owner (with a reason) before</w:t>
      </w:r>
      <w:r>
        <w:t xml:space="preserve"> </w:t>
      </w:r>
      <w:r>
        <w:t xml:space="preserve">deployment.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Amendments.</w:t>
      </w:r>
    </w:p>
    <w:p>
      <w:pPr>
        <w:pStyle w:val="Compact"/>
        <w:numPr>
          <w:ilvl w:val="1"/>
          <w:numId w:val="1027"/>
        </w:numPr>
      </w:pPr>
      <w:r>
        <w:t xml:space="preserve">Make each change as a</w:t>
      </w:r>
      <w:r>
        <w:t xml:space="preserve"> </w:t>
      </w:r>
      <w:r>
        <w:rPr>
          <w:bCs/>
          <w:b/>
        </w:rPr>
        <w:t xml:space="preserve">New Version</w:t>
      </w:r>
      <w:r>
        <w:t xml:space="preserve"> </w:t>
      </w:r>
      <w:r>
        <w:t xml:space="preserve">of the survey, keeping the same database name</w:t>
      </w:r>
      <w:r>
        <w:t xml:space="preserve"> </w:t>
      </w:r>
      <w:r>
        <w:t xml:space="preserve">(DK-VAL-003, section 3.4).</w:t>
      </w:r>
    </w:p>
    <w:p>
      <w:pPr>
        <w:pStyle w:val="Compact"/>
        <w:numPr>
          <w:ilvl w:val="1"/>
          <w:numId w:val="1027"/>
        </w:numPr>
      </w:pPr>
      <w:r>
        <w:t xml:space="preserve">Validate it with a new DK-TPL-001 record that refers to the previous one.</w:t>
      </w:r>
    </w:p>
    <w:p>
      <w:pPr>
        <w:pStyle w:val="Compact"/>
        <w:numPr>
          <w:ilvl w:val="1"/>
          <w:numId w:val="1027"/>
        </w:numPr>
      </w:pPr>
      <w:r>
        <w:t xml:space="preserve">Deploy it only once the amendment has the necessary approvals.</w:t>
      </w:r>
    </w:p>
    <w:p>
      <w:pPr>
        <w:pStyle w:val="Compact"/>
        <w:numPr>
          <w:ilvl w:val="1"/>
          <w:numId w:val="1027"/>
        </w:numPr>
      </w:pPr>
      <w:r>
        <w:t xml:space="preserve">Inform the investigators and field teams of the change and its effective date.</w:t>
      </w:r>
    </w:p>
    <w:bookmarkEnd w:id="48"/>
    <w:bookmarkStart w:id="49" w:name="periodic-review"/>
    <w:p>
      <w:pPr>
        <w:pStyle w:val="Heading1"/>
      </w:pPr>
      <w:r>
        <w:t xml:space="preserve">11. Periodic review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bCs/>
          <w:b/>
        </w:rPr>
        <w:t xml:space="preserve">12 months</w:t>
      </w:r>
      <w:r>
        <w:t xml:space="preserve">, and after any Major incident, the System Owner and QA review whether the</w:t>
      </w:r>
      <w:r>
        <w:t xml:space="preserve"> </w:t>
      </w:r>
      <w:r>
        <w:t xml:space="preserve">system is still in a validated state. They record the result on a Periodic Review Record</w:t>
      </w:r>
      <w:r>
        <w:t xml:space="preserve"> </w:t>
      </w:r>
      <w:r>
        <w:t xml:space="preserve">(Appendix D). The review covers:</w:t>
      </w:r>
    </w:p>
    <w:p>
      <w:pPr>
        <w:pStyle w:val="Compact"/>
        <w:numPr>
          <w:ilvl w:val="0"/>
          <w:numId w:val="1028"/>
        </w:numPr>
      </w:pPr>
      <w:r>
        <w:t xml:space="preserve">changes made since the last review, including the hosting platforms, and their</w:t>
      </w:r>
      <w:r>
        <w:t xml:space="preserve"> </w:t>
      </w:r>
      <w:r>
        <w:t xml:space="preserve">documentation;</w:t>
      </w:r>
    </w:p>
    <w:p>
      <w:pPr>
        <w:pStyle w:val="Compact"/>
        <w:numPr>
          <w:ilvl w:val="0"/>
          <w:numId w:val="1028"/>
        </w:numPr>
      </w:pPr>
      <w:r>
        <w:t xml:space="preserve">deviations, incidents and CAPAs, and any recurrence;</w:t>
      </w:r>
    </w:p>
    <w:p>
      <w:pPr>
        <w:pStyle w:val="Compact"/>
        <w:numPr>
          <w:ilvl w:val="0"/>
          <w:numId w:val="1028"/>
        </w:numPr>
      </w:pPr>
      <w:r>
        <w:t xml:space="preserve">the residual risk register (DK-VAL-002, section 5): progress of corrections, and any new</w:t>
      </w:r>
      <w:r>
        <w:t xml:space="preserve"> </w:t>
      </w:r>
      <w:r>
        <w:t xml:space="preserve">risk;</w:t>
      </w:r>
    </w:p>
    <w:p>
      <w:pPr>
        <w:pStyle w:val="Compact"/>
        <w:numPr>
          <w:ilvl w:val="0"/>
          <w:numId w:val="1028"/>
        </w:numPr>
      </w:pPr>
      <w:r>
        <w:t xml:space="preserve">security: administrator accounts and MFA, security incidents, provider attestations;</w:t>
      </w:r>
    </w:p>
    <w:p>
      <w:pPr>
        <w:pStyle w:val="Compact"/>
        <w:numPr>
          <w:ilvl w:val="0"/>
          <w:numId w:val="1028"/>
        </w:numPr>
      </w:pPr>
      <w:r>
        <w:t xml:space="preserve">access reviews done during the period;</w:t>
      </w:r>
    </w:p>
    <w:p>
      <w:pPr>
        <w:pStyle w:val="Compact"/>
        <w:numPr>
          <w:ilvl w:val="0"/>
          <w:numId w:val="1028"/>
        </w:numPr>
      </w:pPr>
      <w:r>
        <w:t xml:space="preserve">backups and restore tests done during the period;</w:t>
      </w:r>
    </w:p>
    <w:p>
      <w:pPr>
        <w:pStyle w:val="Compact"/>
        <w:numPr>
          <w:ilvl w:val="0"/>
          <w:numId w:val="1028"/>
        </w:numPr>
      </w:pPr>
      <w:r>
        <w:t xml:space="preserve">the audit-trail protection check: run the query in Appendix G and confirm the result;</w:t>
      </w:r>
    </w:p>
    <w:p>
      <w:pPr>
        <w:pStyle w:val="Compact"/>
        <w:numPr>
          <w:ilvl w:val="0"/>
          <w:numId w:val="1028"/>
        </w:numPr>
      </w:pPr>
      <w:r>
        <w:t xml:space="preserve">whether the requirements still describe how the system is used, including new uses or new</w:t>
      </w:r>
      <w:r>
        <w:t xml:space="preserve"> </w:t>
      </w:r>
      <w:r>
        <w:t xml:space="preserve">regulations;</w:t>
      </w:r>
    </w:p>
    <w:p>
      <w:pPr>
        <w:pStyle w:val="Compact"/>
        <w:numPr>
          <w:ilvl w:val="0"/>
          <w:numId w:val="1028"/>
        </w:numPr>
      </w:pPr>
      <w:r>
        <w:t xml:space="preserve">training records.</w:t>
      </w:r>
    </w:p>
    <w:p>
      <w:pPr>
        <w:pStyle w:val="FirstParagraph"/>
      </w:pPr>
      <w:r>
        <w:t xml:space="preserve">The review concludes either that the system remains validated, or what revalidation is</w:t>
      </w:r>
      <w:r>
        <w:t xml:space="preserve"> </w:t>
      </w:r>
      <w:r>
        <w:t xml:space="preserve">needed.</w:t>
      </w:r>
    </w:p>
    <w:bookmarkEnd w:id="49"/>
    <w:bookmarkStart w:id="50" w:name="training"/>
    <w:p>
      <w:pPr>
        <w:pStyle w:val="Heading1"/>
      </w:pPr>
      <w:r>
        <w:t xml:space="preserve">12. Training</w:t>
      </w:r>
    </w:p>
    <w:p>
      <w:pPr>
        <w:pStyle w:val="FirstParagraph"/>
      </w:pPr>
      <w:r>
        <w:t xml:space="preserve">Before anyone is given access, they are trained in the parts of the system and of this SOP</w:t>
      </w:r>
      <w:r>
        <w:t xml:space="preserve"> </w:t>
      </w:r>
      <w:r>
        <w:t xml:space="preserve">relevant to their role: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129"/>
        <w:gridCol w:w="7508"/>
      </w:tblGrid>
      <w:tr>
        <w:trPr>
          <w:cantSplit/>
          <w:tblHeader w:val="true"/>
        </w:trPr>
        <w:tc>
          <w:tcPr>
            <w:tcW w:type="dxa" w:w="212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W w:type="dxa" w:w="75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Training content</w:t>
            </w:r>
          </w:p>
        </w:tc>
      </w:tr>
      <w:tr>
        <w:trPr>
          <w:cantSplit/>
        </w:trPr>
        <w:tc>
          <w:tcPr>
            <w:tcW w:type="dxa" w:w="2129"/>
          </w:tcPr>
          <w:p>
            <w:pPr>
              <w:pStyle w:val="Compact"/>
              <w:jc w:val="left"/>
            </w:pPr>
            <w:r>
              <w:t xml:space="preserve">Interviewer</w:t>
            </w:r>
          </w:p>
        </w:tc>
        <w:tc>
          <w:tcPr>
            <w:tcW w:type="dxa" w:w="7508"/>
          </w:tcPr>
          <w:p>
            <w:pPr>
              <w:pStyle w:val="Compact"/>
              <w:jc w:val="left"/>
            </w:pPr>
            <w:r>
              <w:t xml:space="preserve">The field application: data entry, edit checks, editing, synchronising; device security; reporting problems</w:t>
            </w:r>
          </w:p>
        </w:tc>
      </w:tr>
      <w:tr>
        <w:trPr>
          <w:cantSplit/>
        </w:trPr>
        <w:tc>
          <w:tcPr>
            <w:tcW w:type="dxa" w:w="2129"/>
          </w:tcPr>
          <w:p>
            <w:pPr>
              <w:pStyle w:val="Compact"/>
              <w:jc w:val="left"/>
            </w:pPr>
            <w:r>
              <w:t xml:space="preserve">Field supervisor</w:t>
            </w:r>
          </w:p>
        </w:tc>
        <w:tc>
          <w:tcPr>
            <w:tcW w:type="dxa" w:w="7508"/>
          </w:tcPr>
          <w:p>
            <w:pPr>
              <w:pStyle w:val="Compact"/>
              <w:jc w:val="left"/>
            </w:pPr>
            <w:r>
              <w:t xml:space="preserve">As interviewer, plus the device register and credential handover</w:t>
            </w:r>
          </w:p>
        </w:tc>
      </w:tr>
      <w:tr>
        <w:trPr>
          <w:cantSplit/>
        </w:trPr>
        <w:tc>
          <w:tcPr>
            <w:tcW w:type="dxa" w:w="2129"/>
          </w:tcPr>
          <w:p>
            <w:pPr>
              <w:pStyle w:val="Compact"/>
              <w:jc w:val="left"/>
            </w:pPr>
            <w:r>
              <w:t xml:space="preserve">Data Manager</w:t>
            </w:r>
          </w:p>
        </w:tc>
        <w:tc>
          <w:tcPr>
            <w:tcW w:type="dxa" w:w="7508"/>
          </w:tcPr>
          <w:p>
            <w:pPr>
              <w:pStyle w:val="Compact"/>
              <w:jc w:val="left"/>
            </w:pPr>
            <w:r>
              <w:t xml:space="preserve">Portal data pages, export and manifest checking, audit-trail review, study build (section 10)</w:t>
            </w:r>
          </w:p>
        </w:tc>
      </w:tr>
      <w:tr>
        <w:trPr>
          <w:cantSplit/>
        </w:trPr>
        <w:tc>
          <w:tcPr>
            <w:tcW w:type="dxa" w:w="2129"/>
          </w:tcPr>
          <w:p>
            <w:pPr>
              <w:pStyle w:val="Compact"/>
              <w:jc w:val="left"/>
            </w:pPr>
            <w:r>
              <w:t xml:space="preserve">Project Owner</w:t>
            </w:r>
          </w:p>
        </w:tc>
        <w:tc>
          <w:tcPr>
            <w:tcW w:type="dxa" w:w="7508"/>
          </w:tcPr>
          <w:p>
            <w:pPr>
              <w:pStyle w:val="Compact"/>
              <w:jc w:val="left"/>
            </w:pPr>
            <w:r>
              <w:t xml:space="preserve">Members, roles and field credentials; data lock, reclassification and purge; access review</w:t>
            </w:r>
          </w:p>
        </w:tc>
      </w:tr>
      <w:tr>
        <w:trPr>
          <w:cantSplit/>
        </w:trPr>
        <w:tc>
          <w:tcPr>
            <w:tcW w:type="dxa" w:w="2129"/>
          </w:tcPr>
          <w:p>
            <w:pPr>
              <w:pStyle w:val="Compact"/>
              <w:jc w:val="left"/>
            </w:pPr>
            <w:r>
              <w:t xml:space="preserve">Developer, Administrator</w:t>
            </w:r>
          </w:p>
        </w:tc>
        <w:tc>
          <w:tcPr>
            <w:tcW w:type="dxa" w:w="7508"/>
          </w:tcPr>
          <w:p>
            <w:pPr>
              <w:pStyle w:val="Compact"/>
              <w:jc w:val="left"/>
            </w:pPr>
            <w:r>
              <w:t xml:space="preserve">This whole SOP and the validation package</w:t>
            </w:r>
          </w:p>
        </w:tc>
      </w:tr>
    </w:tbl>
    <w:p>
      <w:pPr>
        <w:pStyle w:val="BodyText"/>
      </w:pPr>
      <w:r>
        <w:t xml:space="preserve">Training uses the portal’s built-in help (</w:t>
      </w:r>
      <w:r>
        <w:rPr>
          <w:iCs/>
          <w:i/>
        </w:rPr>
        <w:t xml:space="preserve">Documentation</w:t>
      </w:r>
      <w:r>
        <w:t xml:space="preserve">) and the study’s own materials.</w:t>
      </w:r>
      <w:r>
        <w:t xml:space="preserve"> </w:t>
      </w:r>
      <w:r>
        <w:t xml:space="preserve">Training is recorded on a Training Record (Appendix F) or the organisation’s training</w:t>
      </w:r>
      <w:r>
        <w:t xml:space="preserve"> </w:t>
      </w:r>
      <w:r>
        <w:t xml:space="preserve">system, and repeated when a release changes how a role works.</w:t>
      </w:r>
    </w:p>
    <w:bookmarkEnd w:id="50"/>
    <w:bookmarkStart w:id="51" w:name="X22ae013ce8ae87dad73d88c5c22561ba45a5534"/>
    <w:p>
      <w:pPr>
        <w:pStyle w:val="Heading1"/>
      </w:pPr>
      <w:r>
        <w:t xml:space="preserve">13. Record retention, archiving and decommissioning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Retention.</w:t>
      </w:r>
      <w:r>
        <w:t xml:space="preserve"> </w:t>
      </w:r>
      <w:r>
        <w:t xml:space="preserve">Study data, its audit trails, exports with their manifests, and the</w:t>
      </w:r>
      <w:r>
        <w:t xml:space="preserve"> </w:t>
      </w:r>
      <w:r>
        <w:t xml:space="preserve">validation records of every system version used for a study are kept for at least as long</w:t>
      </w:r>
      <w:r>
        <w:t xml:space="preserve"> </w:t>
      </w:r>
      <w:r>
        <w:t xml:space="preserve">as that study’s essential records must be kept. That period is set by the sponsor,</w:t>
      </w:r>
      <w:r>
        <w:t xml:space="preserve"> </w:t>
      </w:r>
      <w:r>
        <w:t xml:space="preserve">protocol and applicable law. It must not be shorter than the longest such period of any</w:t>
      </w:r>
      <w:r>
        <w:t xml:space="preserve"> </w:t>
      </w:r>
      <w:r>
        <w:t xml:space="preserve">study whose data the system holds.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At the end of each study:</w:t>
      </w:r>
    </w:p>
    <w:p>
      <w:pPr>
        <w:pStyle w:val="Compact"/>
        <w:numPr>
          <w:ilvl w:val="1"/>
          <w:numId w:val="1030"/>
        </w:numPr>
      </w:pPr>
      <w:r>
        <w:t xml:space="preserve">Lock the project’s data with a reason.</w:t>
      </w:r>
    </w:p>
    <w:p>
      <w:pPr>
        <w:pStyle w:val="Compact"/>
        <w:numPr>
          <w:ilvl w:val="1"/>
          <w:numId w:val="1030"/>
        </w:numPr>
      </w:pPr>
      <w:r>
        <w:t xml:space="preserve">Make a final export and verify its manifest checksums.</w:t>
      </w:r>
    </w:p>
    <w:p>
      <w:pPr>
        <w:pStyle w:val="Compact"/>
        <w:numPr>
          <w:ilvl w:val="1"/>
          <w:numId w:val="1030"/>
        </w:numPr>
      </w:pPr>
      <w:r>
        <w:t xml:space="preserve">Take a final encrypted snapshot.</w:t>
      </w:r>
    </w:p>
    <w:p>
      <w:pPr>
        <w:pStyle w:val="Compact"/>
        <w:numPr>
          <w:ilvl w:val="1"/>
          <w:numId w:val="1030"/>
        </w:numPr>
      </w:pPr>
      <w:r>
        <w:t xml:space="preserve">Archive the project in the portal.</w:t>
      </w:r>
    </w:p>
    <w:p>
      <w:pPr>
        <w:pStyle w:val="Compact"/>
        <w:numPr>
          <w:ilvl w:val="1"/>
          <w:numId w:val="1030"/>
        </w:numPr>
      </w:pPr>
      <w:r>
        <w:t xml:space="preserve">Keep the export, manifest and snapshot receipt in the study file.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Readability.</w:t>
      </w:r>
      <w:r>
        <w:t xml:space="preserve"> </w:t>
      </w:r>
      <w:r>
        <w:t xml:space="preserve">Archived exports are kept in open formats (CSV and JSON) so that they</w:t>
      </w:r>
      <w:r>
        <w:t xml:space="preserve"> </w:t>
      </w:r>
      <w:r>
        <w:t xml:space="preserve">stay readable without the system. Snapshots are tested as part of restore testing.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Decommissioning the system</w:t>
      </w:r>
      <w:r>
        <w:t xml:space="preserve"> </w:t>
      </w:r>
      <w:r>
        <w:t xml:space="preserve">(or moving to another one):</w:t>
      </w:r>
    </w:p>
    <w:p>
      <w:pPr>
        <w:pStyle w:val="Compact"/>
        <w:numPr>
          <w:ilvl w:val="1"/>
          <w:numId w:val="1031"/>
        </w:numPr>
      </w:pPr>
      <w:r>
        <w:t xml:space="preserve">Make a final export and snapshot of every project, and verify them by a restore.</w:t>
      </w:r>
    </w:p>
    <w:p>
      <w:pPr>
        <w:pStyle w:val="Compact"/>
        <w:numPr>
          <w:ilvl w:val="1"/>
          <w:numId w:val="1031"/>
        </w:numPr>
      </w:pPr>
      <w:r>
        <w:t xml:space="preserve">Keep them, the validation package and the source code repositories for the retention</w:t>
      </w:r>
      <w:r>
        <w:t xml:space="preserve"> </w:t>
      </w:r>
      <w:r>
        <w:t xml:space="preserve">period.</w:t>
      </w:r>
    </w:p>
    <w:p>
      <w:pPr>
        <w:pStyle w:val="Compact"/>
        <w:numPr>
          <w:ilvl w:val="1"/>
          <w:numId w:val="1031"/>
        </w:numPr>
      </w:pPr>
      <w:r>
        <w:t xml:space="preserve">Remove all user access.</w:t>
      </w:r>
    </w:p>
    <w:p>
      <w:pPr>
        <w:pStyle w:val="Compact"/>
        <w:numPr>
          <w:ilvl w:val="1"/>
          <w:numId w:val="1031"/>
        </w:numPr>
      </w:pPr>
      <w:r>
        <w:t xml:space="preserve">Close the hosting accounts only when the data and documentation are safely retained</w:t>
      </w:r>
      <w:r>
        <w:t xml:space="preserve"> </w:t>
      </w:r>
      <w:r>
        <w:t xml:space="preserve">elsewhere.</w:t>
      </w:r>
    </w:p>
    <w:p>
      <w:pPr>
        <w:pStyle w:val="Compact"/>
        <w:numPr>
          <w:ilvl w:val="1"/>
          <w:numId w:val="1031"/>
        </w:numPr>
      </w:pPr>
      <w:r>
        <w:t xml:space="preserve">Record the decommissioning as a Major change.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Validation documentation</w:t>
      </w:r>
      <w:r>
        <w:t xml:space="preserve"> </w:t>
      </w:r>
      <w:r>
        <w:t xml:space="preserve">of current and previous versions is kept with the source</w:t>
      </w:r>
      <w:r>
        <w:t xml:space="preserve"> </w:t>
      </w:r>
      <w:r>
        <w:t xml:space="preserve">code (the validation repository) and as signed copies in the quality records.</w:t>
      </w:r>
    </w:p>
    <w:bookmarkEnd w:id="51"/>
    <w:bookmarkStart w:id="52" w:name="records"/>
    <w:p>
      <w:pPr>
        <w:pStyle w:val="Heading1"/>
      </w:pPr>
      <w:r>
        <w:t xml:space="preserve">14. Records</w:t>
      </w:r>
    </w:p>
    <w:p>
      <w:pPr>
        <w:pStyle w:val="FirstParagraph"/>
      </w:pPr>
      <w:r>
        <w:t xml:space="preserve">Records made under this SOP are kept as signed paper originals or as signed electronic</w:t>
      </w:r>
      <w:r>
        <w:t xml:space="preserve"> </w:t>
      </w:r>
      <w:r>
        <w:t xml:space="preserve">documents. Each is filed under its form number and date, in the quality records for the</w:t>
      </w:r>
      <w:r>
        <w:t xml:space="preserve"> </w:t>
      </w:r>
      <w:r>
        <w:t xml:space="preserve">system, and kept for the retention period in section 13.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5023"/>
        <w:gridCol w:w="1900"/>
        <w:gridCol w:w="2714"/>
      </w:tblGrid>
      <w:tr>
        <w:trPr>
          <w:cantSplit/>
          <w:tblHeader w:val="true"/>
        </w:trPr>
        <w:tc>
          <w:tcPr>
            <w:tcW w:type="dxa" w:w="502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>
            <w:tcW w:type="dxa" w:w="190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>
            <w:tcW w:type="dxa" w:w="27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Kept by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Change Request and Release Record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Appendix A</w:t>
            </w:r>
          </w:p>
        </w:tc>
        <w:tc>
          <w:tcPr>
            <w:tcW w:type="dxa" w:w="2714"/>
          </w:tcPr>
          <w:p>
            <w:pPr>
              <w:pStyle w:val="Compact"/>
              <w:jc w:val="left"/>
            </w:pPr>
            <w:r>
              <w:t xml:space="preserve">System Owner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Access Review Record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Appendix B</w:t>
            </w:r>
          </w:p>
        </w:tc>
        <w:tc>
          <w:tcPr>
            <w:tcW w:type="dxa" w:w="2714"/>
          </w:tcPr>
          <w:p>
            <w:pPr>
              <w:pStyle w:val="Compact"/>
              <w:jc w:val="left"/>
            </w:pPr>
            <w:r>
              <w:t xml:space="preserve">Project Owner (project file)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Incident / Defect Record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Appendix C</w:t>
            </w:r>
          </w:p>
        </w:tc>
        <w:tc>
          <w:tcPr>
            <w:tcW w:type="dxa" w:w="2714"/>
          </w:tcPr>
          <w:p>
            <w:pPr>
              <w:pStyle w:val="Compact"/>
              <w:jc w:val="left"/>
            </w:pPr>
            <w:r>
              <w:t xml:space="preserve">System Owner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Periodic Review Record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Appendix D</w:t>
            </w:r>
          </w:p>
        </w:tc>
        <w:tc>
          <w:tcPr>
            <w:tcW w:type="dxa" w:w="2714"/>
          </w:tcPr>
          <w:p>
            <w:pPr>
              <w:pStyle w:val="Compact"/>
              <w:jc w:val="left"/>
            </w:pPr>
            <w:r>
              <w:t xml:space="preserve">System Owner / QA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Restore Test Record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Appendix E</w:t>
            </w:r>
          </w:p>
        </w:tc>
        <w:tc>
          <w:tcPr>
            <w:tcW w:type="dxa" w:w="2714"/>
          </w:tcPr>
          <w:p>
            <w:pPr>
              <w:pStyle w:val="Compact"/>
              <w:jc w:val="left"/>
            </w:pPr>
            <w:r>
              <w:t xml:space="preserve">System Administrator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Training Record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Appendix F</w:t>
            </w:r>
          </w:p>
        </w:tc>
        <w:tc>
          <w:tcPr>
            <w:tcW w:type="dxa" w:w="2714"/>
          </w:tcPr>
          <w:p>
            <w:pPr>
              <w:pStyle w:val="Compact"/>
              <w:jc w:val="left"/>
            </w:pPr>
            <w:r>
              <w:t xml:space="preserve">Line manager / training system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Study Build Validation Record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DK-TPL-001</w:t>
            </w:r>
          </w:p>
        </w:tc>
        <w:tc>
          <w:tcPr>
            <w:tcW w:type="dxa" w:w="2714"/>
          </w:tcPr>
          <w:p>
            <w:pPr>
              <w:pStyle w:val="Compact"/>
              <w:jc w:val="left"/>
            </w:pPr>
            <w:r>
              <w:t xml:space="preserve">Data Manager (study file)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Audit-trail review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Data management file</w:t>
            </w:r>
          </w:p>
        </w:tc>
        <w:tc>
          <w:tcPr>
            <w:tcW w:type="dxa" w:w="2714"/>
          </w:tcPr>
          <w:p>
            <w:pPr>
              <w:pStyle w:val="Compact"/>
              <w:jc w:val="left"/>
            </w:pPr>
            <w:r>
              <w:t xml:space="preserve">Data Manager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Device register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Section 9.3</w:t>
            </w:r>
          </w:p>
        </w:tc>
        <w:tc>
          <w:tcPr>
            <w:tcW w:type="dxa" w:w="2714"/>
          </w:tcPr>
          <w:p>
            <w:pPr>
              <w:pStyle w:val="Compact"/>
              <w:jc w:val="left"/>
            </w:pPr>
            <w:r>
              <w:t xml:space="preserve">System Administrator</w:t>
            </w:r>
          </w:p>
        </w:tc>
      </w:tr>
    </w:tbl>
    <w:p>
      <w:r>
        <w:br w:type="page"/>
      </w:r>
    </w:p>
    <w:bookmarkEnd w:id="52"/>
    <w:bookmarkStart w:id="53" w:name="Xcc05a9448300f2efb649fbf1ec9ba579718b2f4"/>
    <w:p>
      <w:pPr>
        <w:pStyle w:val="Heading1"/>
      </w:pPr>
      <w:r>
        <w:t xml:space="preserve">Appendix A. Change Request and Release Record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320"/>
        <w:gridCol w:w="5317"/>
      </w:tblGrid>
      <w:tr>
        <w:trPr>
          <w:cantSplit/>
          <w:tblHeader w:val="true"/>
        </w:trPr>
        <w:tc>
          <w:tcPr>
            <w:tcW w:type="dxa" w:w="432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531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Change number</w:t>
            </w:r>
          </w:p>
        </w:tc>
        <w:tc>
          <w:tcPr>
            <w:tcW w:type="dxa" w:w="5317"/>
          </w:tcPr>
          <w:p>
            <w:pPr>
              <w:pStyle w:val="Compact"/>
              <w:jc w:val="left"/>
            </w:pPr>
            <w:r>
              <w:t xml:space="preserve">CR-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Requested by, date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Component(s) affected</w:t>
            </w:r>
          </w:p>
        </w:tc>
        <w:tc>
          <w:tcPr>
            <w:tcW w:type="dxa" w:w="5317"/>
          </w:tcPr>
          <w:p>
            <w:pPr>
              <w:pStyle w:val="Compact"/>
              <w:jc w:val="left"/>
            </w:pPr>
            <w:r>
              <w:t xml:space="preserve">☐ Field application ☐ Portal ☐ Server functions ☐ Database ☐ Auth or hosting configuration ☐ SurveyGen ☐ SurveyTest ☐ DataBackup ☐ Procedure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Description of the change and reason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Classification (section 4.2)</w:t>
            </w:r>
          </w:p>
        </w:tc>
        <w:tc>
          <w:tcPr>
            <w:tcW w:type="dxa" w:w="5317"/>
          </w:tcPr>
          <w:p>
            <w:pPr>
              <w:pStyle w:val="Compact"/>
              <w:jc w:val="left"/>
            </w:pPr>
            <w:r>
              <w:t xml:space="preserve">☐ Minor ☐ Standard ☐ Major ☐ Emergency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Impact assessment: requirements (URS IDs) and risk ratings affected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Impact on data already collected and on studies in progress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Documents and training to update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Testing required (AT, OQ and PQ IDs)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Approved to proceed (System Owner; QA if Major): name, signature, date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Repository, branch and commit released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Automated test results (suites, counts, log file names)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Manual test results (test IDs, Pass/Fail, deviation IDs)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Configuration differences checked before and after applying (section 4.5)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Version released and tag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Package checksums (field application)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Released to production: date and by whom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Users notified (who, date)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Reviewed (independent reviewer): name, signature, date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Approved for release (System Owner; QA if Major): name, signature, date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</w:tbl>
    <w:bookmarkEnd w:id="53"/>
    <w:bookmarkStart w:id="54" w:name="appendix-b.-access-review-record"/>
    <w:p>
      <w:pPr>
        <w:pStyle w:val="Heading1"/>
      </w:pPr>
      <w:r>
        <w:t xml:space="preserve">Appendix B. Access Review Record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434"/>
        <w:gridCol w:w="6203"/>
      </w:tblGrid>
      <w:tr>
        <w:trPr>
          <w:cantSplit/>
          <w:tblHeader w:val="true"/>
        </w:trPr>
        <w:tc>
          <w:tcPr>
            <w:tcW w:type="dxa" w:w="343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620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rPr>
          <w:cantSplit/>
        </w:trPr>
        <w:tc>
          <w:tcPr>
            <w:tcW w:type="dxa" w:w="3434"/>
          </w:tcPr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>
            <w:tcW w:type="dxa" w:w="6203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3434"/>
          </w:tcPr>
          <w:p>
            <w:pPr>
              <w:pStyle w:val="Compact"/>
              <w:jc w:val="left"/>
            </w:pPr>
            <w:r>
              <w:t xml:space="preserve">Review period</w:t>
            </w:r>
          </w:p>
        </w:tc>
        <w:tc>
          <w:tcPr>
            <w:tcW w:type="dxa" w:w="6203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3434"/>
          </w:tcPr>
          <w:p>
            <w:pPr>
              <w:pStyle w:val="Compact"/>
              <w:jc w:val="left"/>
            </w:pPr>
            <w:r>
              <w:t xml:space="preserve">Members reviewed (total)</w:t>
            </w:r>
          </w:p>
        </w:tc>
        <w:tc>
          <w:tcPr>
            <w:tcW w:type="dxa" w:w="6203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3434"/>
          </w:tcPr>
          <w:p>
            <w:pPr>
              <w:pStyle w:val="Compact"/>
              <w:jc w:val="left"/>
            </w:pPr>
            <w:r>
              <w:t xml:space="preserve">Field credentials reviewed (total, active and disabled)</w:t>
            </w:r>
          </w:p>
        </w:tc>
        <w:tc>
          <w:tcPr>
            <w:tcW w:type="dxa" w:w="6203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3434"/>
          </w:tcPr>
          <w:p>
            <w:pPr>
              <w:pStyle w:val="Compact"/>
              <w:jc w:val="left"/>
            </w:pPr>
            <w:r>
              <w:t xml:space="preserve">Compared against (delegation log or staff list, version or date)</w:t>
            </w:r>
          </w:p>
        </w:tc>
        <w:tc>
          <w:tcPr>
            <w:tcW w:type="dxa" w:w="6203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dxa" w:w="9635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753"/>
        <w:gridCol w:w="1868"/>
        <w:gridCol w:w="1376"/>
        <w:gridCol w:w="2360"/>
        <w:gridCol w:w="1278"/>
      </w:tblGrid>
      <w:tr>
        <w:trPr>
          <w:cantSplit/>
          <w:tblHeader w:val="true"/>
        </w:trPr>
        <w:tc>
          <w:tcPr>
            <w:tcW w:type="dxa" w:w="275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Account or credential</w:t>
            </w:r>
          </w:p>
        </w:tc>
        <w:tc>
          <w:tcPr>
            <w:tcW w:type="dxa" w:w="186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Role or status found</w:t>
            </w:r>
          </w:p>
        </w:tc>
        <w:tc>
          <w:tcPr>
            <w:tcW w:type="dxa" w:w="1376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Justified? (Y/N)</w:t>
            </w:r>
          </w:p>
        </w:tc>
        <w:tc>
          <w:tcPr>
            <w:tcW w:type="dxa" w:w="236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Action taken</w:t>
            </w:r>
          </w:p>
        </w:tc>
        <w:tc>
          <w:tcPr>
            <w:tcW w:type="dxa" w:w="127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Date of action</w:t>
            </w:r>
          </w:p>
        </w:tc>
      </w:tr>
      <w:tr>
        <w:trPr>
          <w:cantSplit/>
        </w:trPr>
        <w:tc>
          <w:tcPr>
            <w:tcW w:type="dxa" w:w="2753"/>
          </w:tcPr>
          <w:p>
            <w:pPr>
              <w:pStyle w:val="Compact"/>
            </w:pPr>
          </w:p>
        </w:tc>
        <w:tc>
          <w:tcPr>
            <w:tcW w:type="dxa" w:w="1868"/>
          </w:tcPr>
          <w:p>
            <w:pPr>
              <w:pStyle w:val="Compact"/>
            </w:pPr>
          </w:p>
        </w:tc>
        <w:tc>
          <w:tcPr>
            <w:tcW w:type="dxa" w:w="1376"/>
          </w:tcPr>
          <w:p>
            <w:pPr>
              <w:pStyle w:val="Compact"/>
            </w:pPr>
          </w:p>
        </w:tc>
        <w:tc>
          <w:tcPr>
            <w:tcW w:type="dxa" w:w="2360"/>
          </w:tcPr>
          <w:p>
            <w:pPr>
              <w:pStyle w:val="Compact"/>
            </w:pPr>
          </w:p>
        </w:tc>
        <w:tc>
          <w:tcPr>
            <w:tcW w:type="dxa" w:w="1278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2753"/>
          </w:tcPr>
          <w:p>
            <w:pPr>
              <w:pStyle w:val="Compact"/>
            </w:pPr>
          </w:p>
        </w:tc>
        <w:tc>
          <w:tcPr>
            <w:tcW w:type="dxa" w:w="1868"/>
          </w:tcPr>
          <w:p>
            <w:pPr>
              <w:pStyle w:val="Compact"/>
            </w:pPr>
          </w:p>
        </w:tc>
        <w:tc>
          <w:tcPr>
            <w:tcW w:type="dxa" w:w="1376"/>
          </w:tcPr>
          <w:p>
            <w:pPr>
              <w:pStyle w:val="Compact"/>
            </w:pPr>
          </w:p>
        </w:tc>
        <w:tc>
          <w:tcPr>
            <w:tcW w:type="dxa" w:w="2360"/>
          </w:tcPr>
          <w:p>
            <w:pPr>
              <w:pStyle w:val="Compact"/>
            </w:pPr>
          </w:p>
        </w:tc>
        <w:tc>
          <w:tcPr>
            <w:tcW w:type="dxa" w:w="1278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2753"/>
          </w:tcPr>
          <w:p>
            <w:pPr>
              <w:pStyle w:val="Compact"/>
            </w:pPr>
          </w:p>
        </w:tc>
        <w:tc>
          <w:tcPr>
            <w:tcW w:type="dxa" w:w="1868"/>
          </w:tcPr>
          <w:p>
            <w:pPr>
              <w:pStyle w:val="Compact"/>
            </w:pPr>
          </w:p>
        </w:tc>
        <w:tc>
          <w:tcPr>
            <w:tcW w:type="dxa" w:w="1376"/>
          </w:tcPr>
          <w:p>
            <w:pPr>
              <w:pStyle w:val="Compact"/>
            </w:pPr>
          </w:p>
        </w:tc>
        <w:tc>
          <w:tcPr>
            <w:tcW w:type="dxa" w:w="2360"/>
          </w:tcPr>
          <w:p>
            <w:pPr>
              <w:pStyle w:val="Compact"/>
            </w:pPr>
          </w:p>
        </w:tc>
        <w:tc>
          <w:tcPr>
            <w:tcW w:type="dxa" w:w="1278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9112"/>
        <w:gridCol w:w="525"/>
      </w:tblGrid>
      <w:tr>
        <w:trPr>
          <w:cantSplit/>
          <w:tblHeader w:val="true"/>
        </w:trPr>
        <w:tc>
          <w:tcPr>
            <w:tcW w:type="dxa" w:w="911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Reviewed by (Project Owner): name, signature, date</w:t>
            </w:r>
          </w:p>
        </w:tc>
        <w:tc>
          <w:tcPr>
            <w:tcW w:type="dxa" w:w="525"/>
            <w:shd w:val="clear" w:color="auto" w:fill="DCE4EE"/>
          </w:tcPr>
          <w:p>
            <w:pPr>
              <w:pStyle w:val="Compact"/>
            </w:pPr>
          </w:p>
        </w:tc>
      </w:tr>
    </w:tbl>
    <w:bookmarkEnd w:id="54"/>
    <w:bookmarkStart w:id="55" w:name="appendix-c.-incident-defect-record"/>
    <w:p>
      <w:pPr>
        <w:pStyle w:val="Heading1"/>
      </w:pPr>
      <w:r>
        <w:t xml:space="preserve">Appendix C. Incident / Defect Record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320"/>
        <w:gridCol w:w="5317"/>
      </w:tblGrid>
      <w:tr>
        <w:trPr>
          <w:cantSplit/>
          <w:tblHeader w:val="true"/>
        </w:trPr>
        <w:tc>
          <w:tcPr>
            <w:tcW w:type="dxa" w:w="432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531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Incident number</w:t>
            </w:r>
          </w:p>
        </w:tc>
        <w:tc>
          <w:tcPr>
            <w:tcW w:type="dxa" w:w="5317"/>
          </w:tcPr>
          <w:p>
            <w:pPr>
              <w:pStyle w:val="Compact"/>
              <w:jc w:val="left"/>
            </w:pPr>
            <w:r>
              <w:t xml:space="preserve">INC-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Reported by, date and time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Component and version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Description (what happened, when, who was affected)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Classification (section 8)</w:t>
            </w:r>
          </w:p>
        </w:tc>
        <w:tc>
          <w:tcPr>
            <w:tcW w:type="dxa" w:w="5317"/>
          </w:tcPr>
          <w:p>
            <w:pPr>
              <w:pStyle w:val="Compact"/>
              <w:jc w:val="left"/>
            </w:pPr>
            <w:r>
              <w:t xml:space="preserve">☐ Critical ☐ Major ☐ Minor ☐ Security / personal data breach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Immediate action taken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Notifications (data protection officer, sponsors, others): who, when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Investigation and root cause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Impact on data already collected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Corrective and preventive actions (CAPA), with change numbers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Effectiveness check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Closed by (System Owner): name, signature, date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Reviewed by (QA, for Critical): name, signature, date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</w:tbl>
    <w:bookmarkEnd w:id="55"/>
    <w:bookmarkStart w:id="56" w:name="appendix-d.-periodic-review-record"/>
    <w:p>
      <w:pPr>
        <w:pStyle w:val="Heading1"/>
      </w:pPr>
      <w:r>
        <w:t xml:space="preserve">Appendix D. Periodic Review Record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186"/>
        <w:gridCol w:w="3212"/>
        <w:gridCol w:w="2239"/>
      </w:tblGrid>
      <w:tr>
        <w:trPr>
          <w:cantSplit/>
          <w:tblHeader w:val="true"/>
        </w:trPr>
        <w:tc>
          <w:tcPr>
            <w:tcW w:type="dxa" w:w="4186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 item (section 11)</w:t>
            </w:r>
          </w:p>
        </w:tc>
        <w:tc>
          <w:tcPr>
            <w:tcW w:type="dxa" w:w="321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Findings</w:t>
            </w:r>
          </w:p>
        </w:tc>
        <w:tc>
          <w:tcPr>
            <w:tcW w:type="dxa" w:w="223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rPr>
          <w:cantSplit/>
        </w:trPr>
        <w:tc>
          <w:tcPr>
            <w:tcW w:type="dxa" w:w="4186"/>
          </w:tcPr>
          <w:p>
            <w:pPr>
              <w:pStyle w:val="Compact"/>
              <w:jc w:val="left"/>
            </w:pPr>
            <w:r>
              <w:t xml:space="preserve">Period covered and versions in use</w:t>
            </w:r>
          </w:p>
        </w:tc>
        <w:tc>
          <w:tcPr>
            <w:tcW w:type="dxa" w:w="3212"/>
          </w:tcPr>
          <w:p>
            <w:pPr>
              <w:pStyle w:val="Compact"/>
            </w:pPr>
          </w:p>
        </w:tc>
        <w:tc>
          <w:tcPr>
            <w:tcW w:type="dxa" w:w="2239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186"/>
          </w:tcPr>
          <w:p>
            <w:pPr>
              <w:pStyle w:val="Compact"/>
              <w:jc w:val="left"/>
            </w:pPr>
            <w:r>
              <w:t xml:space="preserve">Changes made (list of change numbers), including platform changes</w:t>
            </w:r>
          </w:p>
        </w:tc>
        <w:tc>
          <w:tcPr>
            <w:tcW w:type="dxa" w:w="3212"/>
          </w:tcPr>
          <w:p>
            <w:pPr>
              <w:pStyle w:val="Compact"/>
            </w:pPr>
          </w:p>
        </w:tc>
        <w:tc>
          <w:tcPr>
            <w:tcW w:type="dxa" w:w="2239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186"/>
          </w:tcPr>
          <w:p>
            <w:pPr>
              <w:pStyle w:val="Compact"/>
              <w:jc w:val="left"/>
            </w:pPr>
            <w:r>
              <w:t xml:space="preserve">Deviations, incidents and CAPAs</w:t>
            </w:r>
          </w:p>
        </w:tc>
        <w:tc>
          <w:tcPr>
            <w:tcW w:type="dxa" w:w="3212"/>
          </w:tcPr>
          <w:p>
            <w:pPr>
              <w:pStyle w:val="Compact"/>
            </w:pPr>
          </w:p>
        </w:tc>
        <w:tc>
          <w:tcPr>
            <w:tcW w:type="dxa" w:w="2239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186"/>
          </w:tcPr>
          <w:p>
            <w:pPr>
              <w:pStyle w:val="Compact"/>
              <w:jc w:val="left"/>
            </w:pPr>
            <w:r>
              <w:t xml:space="preserve">Residual risk register (DK-VAL-002 section 5)</w:t>
            </w:r>
          </w:p>
        </w:tc>
        <w:tc>
          <w:tcPr>
            <w:tcW w:type="dxa" w:w="3212"/>
          </w:tcPr>
          <w:p>
            <w:pPr>
              <w:pStyle w:val="Compact"/>
            </w:pPr>
          </w:p>
        </w:tc>
        <w:tc>
          <w:tcPr>
            <w:tcW w:type="dxa" w:w="2239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186"/>
          </w:tcPr>
          <w:p>
            <w:pPr>
              <w:pStyle w:val="Compact"/>
              <w:jc w:val="left"/>
            </w:pPr>
            <w:r>
              <w:t xml:space="preserve">Administrator accounts and MFA</w:t>
            </w:r>
          </w:p>
        </w:tc>
        <w:tc>
          <w:tcPr>
            <w:tcW w:type="dxa" w:w="3212"/>
          </w:tcPr>
          <w:p>
            <w:pPr>
              <w:pStyle w:val="Compact"/>
            </w:pPr>
          </w:p>
        </w:tc>
        <w:tc>
          <w:tcPr>
            <w:tcW w:type="dxa" w:w="2239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186"/>
          </w:tcPr>
          <w:p>
            <w:pPr>
              <w:pStyle w:val="Compact"/>
              <w:jc w:val="left"/>
            </w:pPr>
            <w:r>
              <w:t xml:space="preserve">Provider attestations and agreements</w:t>
            </w:r>
          </w:p>
        </w:tc>
        <w:tc>
          <w:tcPr>
            <w:tcW w:type="dxa" w:w="3212"/>
          </w:tcPr>
          <w:p>
            <w:pPr>
              <w:pStyle w:val="Compact"/>
            </w:pPr>
          </w:p>
        </w:tc>
        <w:tc>
          <w:tcPr>
            <w:tcW w:type="dxa" w:w="2239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186"/>
          </w:tcPr>
          <w:p>
            <w:pPr>
              <w:pStyle w:val="Compact"/>
              <w:jc w:val="left"/>
            </w:pPr>
            <w:r>
              <w:t xml:space="preserve">Access reviews done</w:t>
            </w:r>
          </w:p>
        </w:tc>
        <w:tc>
          <w:tcPr>
            <w:tcW w:type="dxa" w:w="3212"/>
          </w:tcPr>
          <w:p>
            <w:pPr>
              <w:pStyle w:val="Compact"/>
            </w:pPr>
          </w:p>
        </w:tc>
        <w:tc>
          <w:tcPr>
            <w:tcW w:type="dxa" w:w="2239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186"/>
          </w:tcPr>
          <w:p>
            <w:pPr>
              <w:pStyle w:val="Compact"/>
              <w:jc w:val="left"/>
            </w:pPr>
            <w:r>
              <w:t xml:space="preserve">Backups and restore tests done</w:t>
            </w:r>
          </w:p>
        </w:tc>
        <w:tc>
          <w:tcPr>
            <w:tcW w:type="dxa" w:w="3212"/>
          </w:tcPr>
          <w:p>
            <w:pPr>
              <w:pStyle w:val="Compact"/>
            </w:pPr>
          </w:p>
        </w:tc>
        <w:tc>
          <w:tcPr>
            <w:tcW w:type="dxa" w:w="2239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186"/>
          </w:tcPr>
          <w:p>
            <w:pPr>
              <w:pStyle w:val="Compact"/>
              <w:jc w:val="left"/>
            </w:pPr>
            <w:r>
              <w:t xml:space="preserve">Audit-trail protection check (Appendix G), result</w:t>
            </w:r>
          </w:p>
        </w:tc>
        <w:tc>
          <w:tcPr>
            <w:tcW w:type="dxa" w:w="3212"/>
          </w:tcPr>
          <w:p>
            <w:pPr>
              <w:pStyle w:val="Compact"/>
            </w:pPr>
          </w:p>
        </w:tc>
        <w:tc>
          <w:tcPr>
            <w:tcW w:type="dxa" w:w="2239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186"/>
          </w:tcPr>
          <w:p>
            <w:pPr>
              <w:pStyle w:val="Compact"/>
              <w:jc w:val="left"/>
            </w:pPr>
            <w:r>
              <w:t xml:space="preserve">Requirements still current; new uses or regulations</w:t>
            </w:r>
          </w:p>
        </w:tc>
        <w:tc>
          <w:tcPr>
            <w:tcW w:type="dxa" w:w="3212"/>
          </w:tcPr>
          <w:p>
            <w:pPr>
              <w:pStyle w:val="Compact"/>
            </w:pPr>
          </w:p>
        </w:tc>
        <w:tc>
          <w:tcPr>
            <w:tcW w:type="dxa" w:w="2239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186"/>
          </w:tcPr>
          <w:p>
            <w:pPr>
              <w:pStyle w:val="Compact"/>
              <w:jc w:val="left"/>
            </w:pPr>
            <w:r>
              <w:t xml:space="preserve">Training records</w:t>
            </w:r>
          </w:p>
        </w:tc>
        <w:tc>
          <w:tcPr>
            <w:tcW w:type="dxa" w:w="3212"/>
          </w:tcPr>
          <w:p>
            <w:pPr>
              <w:pStyle w:val="Compact"/>
            </w:pPr>
          </w:p>
        </w:tc>
        <w:tc>
          <w:tcPr>
            <w:tcW w:type="dxa" w:w="2239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18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Conclusion:</w:t>
            </w:r>
            <w:r>
              <w:t xml:space="preserve"> </w:t>
            </w:r>
            <w:r>
              <w:t xml:space="preserve">☐ remains validated ☐ revalidation needed (describe)</w:t>
            </w:r>
          </w:p>
        </w:tc>
        <w:tc>
          <w:tcPr>
            <w:tcW w:type="dxa" w:w="3212"/>
          </w:tcPr>
          <w:p>
            <w:pPr>
              <w:pStyle w:val="Compact"/>
            </w:pPr>
          </w:p>
        </w:tc>
        <w:tc>
          <w:tcPr>
            <w:tcW w:type="dxa" w:w="2239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5285"/>
        <w:gridCol w:w="4352"/>
      </w:tblGrid>
      <w:tr>
        <w:trPr>
          <w:cantSplit/>
          <w:tblHeader w:val="true"/>
        </w:trPr>
        <w:tc>
          <w:tcPr>
            <w:tcW w:type="dxa" w:w="528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Reviewed by (System Owner): name, signature, date</w:t>
            </w:r>
          </w:p>
        </w:tc>
        <w:tc>
          <w:tcPr>
            <w:tcW w:type="dxa" w:w="435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Approved by (QA): name, signature, date</w:t>
            </w:r>
          </w:p>
        </w:tc>
      </w:tr>
      <w:tr>
        <w:trPr>
          <w:cantSplit/>
        </w:trPr>
        <w:tc>
          <w:tcPr>
            <w:tcW w:type="dxa" w:w="5285"/>
          </w:tcPr>
          <w:p>
            <w:pPr>
              <w:pStyle w:val="Compact"/>
            </w:pPr>
          </w:p>
        </w:tc>
        <w:tc>
          <w:tcPr>
            <w:tcW w:type="dxa" w:w="4352"/>
          </w:tcPr>
          <w:p>
            <w:pPr>
              <w:pStyle w:val="Compact"/>
            </w:pPr>
          </w:p>
        </w:tc>
      </w:tr>
    </w:tbl>
    <w:bookmarkEnd w:id="56"/>
    <w:bookmarkStart w:id="57" w:name="appendix-e.-restore-test-record"/>
    <w:p>
      <w:pPr>
        <w:pStyle w:val="Heading1"/>
      </w:pPr>
      <w:r>
        <w:t xml:space="preserve">Appendix E. Restore Test Record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320"/>
        <w:gridCol w:w="5317"/>
      </w:tblGrid>
      <w:tr>
        <w:trPr>
          <w:cantSplit/>
          <w:tblHeader w:val="true"/>
        </w:trPr>
        <w:tc>
          <w:tcPr>
            <w:tcW w:type="dxa" w:w="432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531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Date and performed by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>
            <w:tcW w:type="dxa" w:w="5317"/>
          </w:tcPr>
          <w:p>
            <w:pPr>
              <w:pStyle w:val="Compact"/>
              <w:jc w:val="left"/>
            </w:pPr>
            <w:r>
              <w:t xml:space="preserve">☐ Scheduled (6-monthly) ☐ After change CR- ☐ Recovery after incident INC-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Snapshot used (file name, receipt checksum, date taken)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DataBackup commit used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Integrity check result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Target database (local, empty)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Row counts: submissions / formchanges / system_audit_events (restored vs production at snapshot time)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Latest CSV export opened and checked (date, project)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Tamper test (altered copy refused)?</w:t>
            </w:r>
          </w:p>
        </w:tc>
        <w:tc>
          <w:tcPr>
            <w:tcW w:type="dxa" w:w="5317"/>
          </w:tcPr>
          <w:p>
            <w:pPr>
              <w:pStyle w:val="Compact"/>
              <w:jc w:val="left"/>
            </w:pPr>
            <w:r>
              <w:t xml:space="preserve">☐ Yes ☐ Not performed (reason)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Problems found and actions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Restored copy disposed of securely (how, when)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Performed by: name, signature, date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Reviewed by: name, signature, date</w:t>
            </w:r>
          </w:p>
        </w:tc>
        <w:tc>
          <w:tcPr>
            <w:tcW w:type="dxa" w:w="5317"/>
          </w:tcPr>
          <w:p>
            <w:pPr>
              <w:pStyle w:val="Compact"/>
            </w:pPr>
          </w:p>
        </w:tc>
      </w:tr>
    </w:tbl>
    <w:bookmarkEnd w:id="57"/>
    <w:bookmarkStart w:id="58" w:name="appendix-f.-training-record"/>
    <w:p>
      <w:pPr>
        <w:pStyle w:val="Heading1"/>
      </w:pPr>
      <w:r>
        <w:t xml:space="preserve">Appendix F. Training Record</w:t>
      </w:r>
    </w:p>
    <w:tbl>
      <w:tblPr>
        <w:tblStyle w:val="Table"/>
        <w:tblW w:type="dxa" w:w="9635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563"/>
        <w:gridCol w:w="1215"/>
        <w:gridCol w:w="2691"/>
        <w:gridCol w:w="1042"/>
        <w:gridCol w:w="868"/>
        <w:gridCol w:w="1128"/>
        <w:gridCol w:w="1128"/>
      </w:tblGrid>
      <w:tr>
        <w:trPr>
          <w:cantSplit/>
          <w:tblHeader w:val="true"/>
        </w:trPr>
        <w:tc>
          <w:tcPr>
            <w:tcW w:type="dxa" w:w="156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type="dxa" w:w="121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W w:type="dxa" w:w="2691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Training content (section 12) and material version</w:t>
            </w:r>
          </w:p>
        </w:tc>
        <w:tc>
          <w:tcPr>
            <w:tcW w:type="dxa" w:w="104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Trainer</w:t>
            </w:r>
          </w:p>
        </w:tc>
        <w:tc>
          <w:tcPr>
            <w:tcW w:type="dxa" w:w="86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112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Trainee signature</w:t>
            </w:r>
          </w:p>
        </w:tc>
        <w:tc>
          <w:tcPr>
            <w:tcW w:type="dxa" w:w="112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Trainer signature</w:t>
            </w:r>
          </w:p>
        </w:tc>
      </w:tr>
      <w:tr>
        <w:trPr>
          <w:cantSplit/>
        </w:trPr>
        <w:tc>
          <w:tcPr>
            <w:tcW w:type="dxa" w:w="1563"/>
          </w:tcPr>
          <w:p>
            <w:pPr>
              <w:pStyle w:val="Compact"/>
            </w:pPr>
          </w:p>
        </w:tc>
        <w:tc>
          <w:tcPr>
            <w:tcW w:type="dxa" w:w="1215"/>
          </w:tcPr>
          <w:p>
            <w:pPr>
              <w:pStyle w:val="Compact"/>
            </w:pPr>
          </w:p>
        </w:tc>
        <w:tc>
          <w:tcPr>
            <w:tcW w:type="dxa" w:w="2691"/>
          </w:tcPr>
          <w:p>
            <w:pPr>
              <w:pStyle w:val="Compact"/>
            </w:pPr>
          </w:p>
        </w:tc>
        <w:tc>
          <w:tcPr>
            <w:tcW w:type="dxa" w:w="1042"/>
          </w:tcPr>
          <w:p>
            <w:pPr>
              <w:pStyle w:val="Compact"/>
            </w:pPr>
          </w:p>
        </w:tc>
        <w:tc>
          <w:tcPr>
            <w:tcW w:type="dxa" w:w="868"/>
          </w:tcPr>
          <w:p>
            <w:pPr>
              <w:pStyle w:val="Compact"/>
            </w:pPr>
          </w:p>
        </w:tc>
        <w:tc>
          <w:tcPr>
            <w:tcW w:type="dxa" w:w="1128"/>
          </w:tcPr>
          <w:p>
            <w:pPr>
              <w:pStyle w:val="Compact"/>
            </w:pPr>
          </w:p>
        </w:tc>
        <w:tc>
          <w:tcPr>
            <w:tcW w:type="dxa" w:w="1128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1563"/>
          </w:tcPr>
          <w:p>
            <w:pPr>
              <w:pStyle w:val="Compact"/>
            </w:pPr>
          </w:p>
        </w:tc>
        <w:tc>
          <w:tcPr>
            <w:tcW w:type="dxa" w:w="1215"/>
          </w:tcPr>
          <w:p>
            <w:pPr>
              <w:pStyle w:val="Compact"/>
            </w:pPr>
          </w:p>
        </w:tc>
        <w:tc>
          <w:tcPr>
            <w:tcW w:type="dxa" w:w="2691"/>
          </w:tcPr>
          <w:p>
            <w:pPr>
              <w:pStyle w:val="Compact"/>
            </w:pPr>
          </w:p>
        </w:tc>
        <w:tc>
          <w:tcPr>
            <w:tcW w:type="dxa" w:w="1042"/>
          </w:tcPr>
          <w:p>
            <w:pPr>
              <w:pStyle w:val="Compact"/>
            </w:pPr>
          </w:p>
        </w:tc>
        <w:tc>
          <w:tcPr>
            <w:tcW w:type="dxa" w:w="868"/>
          </w:tcPr>
          <w:p>
            <w:pPr>
              <w:pStyle w:val="Compact"/>
            </w:pPr>
          </w:p>
        </w:tc>
        <w:tc>
          <w:tcPr>
            <w:tcW w:type="dxa" w:w="1128"/>
          </w:tcPr>
          <w:p>
            <w:pPr>
              <w:pStyle w:val="Compact"/>
            </w:pPr>
          </w:p>
        </w:tc>
        <w:tc>
          <w:tcPr>
            <w:tcW w:type="dxa" w:w="1128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1563"/>
          </w:tcPr>
          <w:p>
            <w:pPr>
              <w:pStyle w:val="Compact"/>
            </w:pPr>
          </w:p>
        </w:tc>
        <w:tc>
          <w:tcPr>
            <w:tcW w:type="dxa" w:w="1215"/>
          </w:tcPr>
          <w:p>
            <w:pPr>
              <w:pStyle w:val="Compact"/>
            </w:pPr>
          </w:p>
        </w:tc>
        <w:tc>
          <w:tcPr>
            <w:tcW w:type="dxa" w:w="2691"/>
          </w:tcPr>
          <w:p>
            <w:pPr>
              <w:pStyle w:val="Compact"/>
            </w:pPr>
          </w:p>
        </w:tc>
        <w:tc>
          <w:tcPr>
            <w:tcW w:type="dxa" w:w="1042"/>
          </w:tcPr>
          <w:p>
            <w:pPr>
              <w:pStyle w:val="Compact"/>
            </w:pPr>
          </w:p>
        </w:tc>
        <w:tc>
          <w:tcPr>
            <w:tcW w:type="dxa" w:w="868"/>
          </w:tcPr>
          <w:p>
            <w:pPr>
              <w:pStyle w:val="Compact"/>
            </w:pPr>
          </w:p>
        </w:tc>
        <w:tc>
          <w:tcPr>
            <w:tcW w:type="dxa" w:w="1128"/>
          </w:tcPr>
          <w:p>
            <w:pPr>
              <w:pStyle w:val="Compact"/>
            </w:pPr>
          </w:p>
        </w:tc>
        <w:tc>
          <w:tcPr>
            <w:tcW w:type="dxa" w:w="1128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1563"/>
          </w:tcPr>
          <w:p>
            <w:pPr>
              <w:pStyle w:val="Compact"/>
            </w:pPr>
          </w:p>
        </w:tc>
        <w:tc>
          <w:tcPr>
            <w:tcW w:type="dxa" w:w="1215"/>
          </w:tcPr>
          <w:p>
            <w:pPr>
              <w:pStyle w:val="Compact"/>
            </w:pPr>
          </w:p>
        </w:tc>
        <w:tc>
          <w:tcPr>
            <w:tcW w:type="dxa" w:w="2691"/>
          </w:tcPr>
          <w:p>
            <w:pPr>
              <w:pStyle w:val="Compact"/>
            </w:pPr>
          </w:p>
        </w:tc>
        <w:tc>
          <w:tcPr>
            <w:tcW w:type="dxa" w:w="1042"/>
          </w:tcPr>
          <w:p>
            <w:pPr>
              <w:pStyle w:val="Compact"/>
            </w:pPr>
          </w:p>
        </w:tc>
        <w:tc>
          <w:tcPr>
            <w:tcW w:type="dxa" w:w="868"/>
          </w:tcPr>
          <w:p>
            <w:pPr>
              <w:pStyle w:val="Compact"/>
            </w:pPr>
          </w:p>
        </w:tc>
        <w:tc>
          <w:tcPr>
            <w:tcW w:type="dxa" w:w="1128"/>
          </w:tcPr>
          <w:p>
            <w:pPr>
              <w:pStyle w:val="Compact"/>
            </w:pPr>
          </w:p>
        </w:tc>
        <w:tc>
          <w:tcPr>
            <w:tcW w:type="dxa" w:w="1128"/>
          </w:tcPr>
          <w:p>
            <w:pPr>
              <w:pStyle w:val="Compact"/>
            </w:pPr>
          </w:p>
        </w:tc>
      </w:tr>
    </w:tbl>
    <w:bookmarkEnd w:id="58"/>
    <w:bookmarkStart w:id="59" w:name="appendix-g.-audit-trail-protection-check"/>
    <w:p>
      <w:pPr>
        <w:pStyle w:val="Heading1"/>
      </w:pPr>
      <w:r>
        <w:t xml:space="preserve">Appendix G. Audit-trail protection check</w:t>
      </w:r>
    </w:p>
    <w:p>
      <w:pPr>
        <w:pStyle w:val="FirstParagraph"/>
      </w:pPr>
      <w:r>
        <w:t xml:space="preserve">Run this query against the production database (read-only; for example in the hosting</w:t>
      </w:r>
      <w:r>
        <w:t xml:space="preserve"> </w:t>
      </w:r>
      <w:r>
        <w:t xml:space="preserve">provider’s SQL editor) at installation qualification (IQ-04) and at every periodic review.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c.relname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table_name, t.tgname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trigger_name, t.tgenabled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enabled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pg_trigger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pg_class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t.tgrelid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pg_namespace 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c.relnamespace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n.nspname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c.relname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'system_audit_events'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'formchanges'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'submissions'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'project_members'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'app_credentials'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'survey_packages'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'crfs'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'project_data_locks'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t.tgisinternal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Expected result.</w:t>
      </w:r>
      <w:r>
        <w:t xml:space="preserve"> </w:t>
      </w:r>
      <w:r>
        <w:t xml:space="preserve">At version 1.2.0 the query returns these protective and auditing</w:t>
      </w:r>
      <w:r>
        <w:t xml:space="preserve"> </w:t>
      </w:r>
      <w:r>
        <w:t xml:space="preserve">triggers, each with enabled =</w:t>
      </w:r>
      <w:r>
        <w:t xml:space="preserve"> </w:t>
      </w:r>
      <w:r>
        <w:rPr>
          <w:rStyle w:val="VerbatimChar"/>
        </w:rPr>
        <w:t xml:space="preserve">O</w:t>
      </w:r>
      <w:r>
        <w:t xml:space="preserve">. Other triggers may also be listed.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248"/>
        <w:gridCol w:w="7389"/>
      </w:tblGrid>
      <w:tr>
        <w:trPr>
          <w:cantSplit/>
          <w:tblHeader w:val="true"/>
        </w:trPr>
        <w:tc>
          <w:tcPr>
            <w:tcW w:type="dxa" w:w="224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W w:type="dxa" w:w="738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Triggers that must be present and enabled</w:t>
            </w:r>
          </w:p>
        </w:tc>
      </w:tr>
      <w:tr>
        <w:trPr>
          <w:cantSplit/>
        </w:trPr>
        <w:tc>
          <w:tcPr>
            <w:tcW w:type="dxa" w:w="2248"/>
          </w:tcPr>
          <w:p>
            <w:pPr>
              <w:pStyle w:val="Compact"/>
              <w:jc w:val="left"/>
            </w:pPr>
            <w:r>
              <w:t xml:space="preserve">system_audit_events</w:t>
            </w:r>
          </w:p>
        </w:tc>
        <w:tc>
          <w:tcPr>
            <w:tcW w:type="dxa" w:w="7389"/>
          </w:tcPr>
          <w:p>
            <w:pPr>
              <w:pStyle w:val="Compact"/>
              <w:jc w:val="left"/>
            </w:pPr>
            <w:r>
              <w:t xml:space="preserve">protect_system_audit_events, refuse_truncate</w:t>
            </w:r>
          </w:p>
        </w:tc>
      </w:tr>
      <w:tr>
        <w:trPr>
          <w:cantSplit/>
        </w:trPr>
        <w:tc>
          <w:tcPr>
            <w:tcW w:type="dxa" w:w="2248"/>
          </w:tcPr>
          <w:p>
            <w:pPr>
              <w:pStyle w:val="Compact"/>
              <w:jc w:val="left"/>
            </w:pPr>
            <w:r>
              <w:t xml:space="preserve">formchanges</w:t>
            </w:r>
          </w:p>
        </w:tc>
        <w:tc>
          <w:tcPr>
            <w:tcW w:type="dxa" w:w="7389"/>
          </w:tcPr>
          <w:p>
            <w:pPr>
              <w:pStyle w:val="Compact"/>
              <w:jc w:val="left"/>
            </w:pPr>
            <w:r>
              <w:t xml:space="preserve">protect_device_audit_history, enforce_formchanges_lock, refuse_truncate</w:t>
            </w:r>
          </w:p>
        </w:tc>
      </w:tr>
      <w:tr>
        <w:trPr>
          <w:cantSplit/>
        </w:trPr>
        <w:tc>
          <w:tcPr>
            <w:tcW w:type="dxa" w:w="2248"/>
          </w:tcPr>
          <w:p>
            <w:pPr>
              <w:pStyle w:val="Compact"/>
              <w:jc w:val="left"/>
            </w:pPr>
            <w:r>
              <w:t xml:space="preserve">submissions</w:t>
            </w:r>
          </w:p>
        </w:tc>
        <w:tc>
          <w:tcPr>
            <w:tcW w:type="dxa" w:w="7389"/>
          </w:tcPr>
          <w:p>
            <w:pPr>
              <w:pStyle w:val="Compact"/>
              <w:jc w:val="left"/>
            </w:pPr>
            <w:r>
              <w:t xml:space="preserve">audit_submission_state, enforce_submission_lock, discard_purged_submission, stamp_submission_data_status, refuse_truncate</w:t>
            </w:r>
          </w:p>
        </w:tc>
      </w:tr>
      <w:tr>
        <w:trPr>
          <w:cantSplit/>
        </w:trPr>
        <w:tc>
          <w:tcPr>
            <w:tcW w:type="dxa" w:w="2248"/>
          </w:tcPr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>
            <w:tcW w:type="dxa" w:w="7389"/>
          </w:tcPr>
          <w:p>
            <w:pPr>
              <w:pStyle w:val="Compact"/>
              <w:jc w:val="left"/>
            </w:pPr>
            <w:r>
              <w:t xml:space="preserve">audit_projects, protect_project_data</w:t>
            </w:r>
          </w:p>
        </w:tc>
      </w:tr>
      <w:tr>
        <w:trPr>
          <w:cantSplit/>
        </w:trPr>
        <w:tc>
          <w:tcPr>
            <w:tcW w:type="dxa" w:w="2248"/>
          </w:tcPr>
          <w:p>
            <w:pPr>
              <w:pStyle w:val="Compact"/>
              <w:jc w:val="left"/>
            </w:pPr>
            <w:r>
              <w:t xml:space="preserve">project_members</w:t>
            </w:r>
          </w:p>
        </w:tc>
        <w:tc>
          <w:tcPr>
            <w:tcW w:type="dxa" w:w="7389"/>
          </w:tcPr>
          <w:p>
            <w:pPr>
              <w:pStyle w:val="Compact"/>
              <w:jc w:val="left"/>
            </w:pPr>
            <w:r>
              <w:t xml:space="preserve">audit_project_members</w:t>
            </w:r>
          </w:p>
        </w:tc>
      </w:tr>
      <w:tr>
        <w:trPr>
          <w:cantSplit/>
        </w:trPr>
        <w:tc>
          <w:tcPr>
            <w:tcW w:type="dxa" w:w="2248"/>
          </w:tcPr>
          <w:p>
            <w:pPr>
              <w:pStyle w:val="Compact"/>
              <w:jc w:val="left"/>
            </w:pPr>
            <w:r>
              <w:t xml:space="preserve">app_credentials</w:t>
            </w:r>
          </w:p>
        </w:tc>
        <w:tc>
          <w:tcPr>
            <w:tcW w:type="dxa" w:w="7389"/>
          </w:tcPr>
          <w:p>
            <w:pPr>
              <w:pStyle w:val="Compact"/>
              <w:jc w:val="left"/>
            </w:pPr>
            <w:r>
              <w:t xml:space="preserve">audit_app_credentials</w:t>
            </w:r>
          </w:p>
        </w:tc>
      </w:tr>
      <w:tr>
        <w:trPr>
          <w:cantSplit/>
        </w:trPr>
        <w:tc>
          <w:tcPr>
            <w:tcW w:type="dxa" w:w="2248"/>
          </w:tcPr>
          <w:p>
            <w:pPr>
              <w:pStyle w:val="Compact"/>
              <w:jc w:val="left"/>
            </w:pPr>
            <w:r>
              <w:t xml:space="preserve">survey_packages</w:t>
            </w:r>
          </w:p>
        </w:tc>
        <w:tc>
          <w:tcPr>
            <w:tcW w:type="dxa" w:w="7389"/>
          </w:tcPr>
          <w:p>
            <w:pPr>
              <w:pStyle w:val="Compact"/>
              <w:jc w:val="left"/>
            </w:pPr>
            <w:r>
              <w:t xml:space="preserve">audit_survey_packages, protect_survey_data, trg_survey_packages_delete_guard, trg_survey_packages_lifecycle</w:t>
            </w:r>
          </w:p>
        </w:tc>
      </w:tr>
      <w:tr>
        <w:trPr>
          <w:cantSplit/>
        </w:trPr>
        <w:tc>
          <w:tcPr>
            <w:tcW w:type="dxa" w:w="2248"/>
          </w:tcPr>
          <w:p>
            <w:pPr>
              <w:pStyle w:val="Compact"/>
              <w:jc w:val="left"/>
            </w:pPr>
            <w:r>
              <w:t xml:space="preserve">crfs</w:t>
            </w:r>
          </w:p>
        </w:tc>
        <w:tc>
          <w:tcPr>
            <w:tcW w:type="dxa" w:w="7389"/>
          </w:tcPr>
          <w:p>
            <w:pPr>
              <w:pStyle w:val="Compact"/>
              <w:jc w:val="left"/>
            </w:pPr>
            <w:r>
              <w:t xml:space="preserve">audit_crfs</w:t>
            </w:r>
          </w:p>
        </w:tc>
      </w:tr>
      <w:tr>
        <w:trPr>
          <w:cantSplit/>
        </w:trPr>
        <w:tc>
          <w:tcPr>
            <w:tcW w:type="dxa" w:w="2248"/>
          </w:tcPr>
          <w:p>
            <w:pPr>
              <w:pStyle w:val="Compact"/>
              <w:jc w:val="left"/>
            </w:pPr>
            <w:r>
              <w:t xml:space="preserve">project_data_locks</w:t>
            </w:r>
          </w:p>
        </w:tc>
        <w:tc>
          <w:tcPr>
            <w:tcW w:type="dxa" w:w="7389"/>
          </w:tcPr>
          <w:p>
            <w:pPr>
              <w:pStyle w:val="Compact"/>
              <w:jc w:val="left"/>
            </w:pPr>
            <w:r>
              <w:t xml:space="preserve">audit_project_lock</w:t>
            </w:r>
          </w:p>
        </w:tc>
      </w:tr>
    </w:tbl>
    <w:p>
      <w:pPr>
        <w:pStyle w:val="BodyText"/>
      </w:pPr>
      <w:r>
        <w:t xml:space="preserve">Any missing or disabled trigger is a</w:t>
      </w:r>
      <w:r>
        <w:t xml:space="preserve"> </w:t>
      </w:r>
      <w:r>
        <w:rPr>
          <w:bCs/>
          <w:b/>
        </w:rPr>
        <w:t xml:space="preserve">Critical incident</w:t>
      </w:r>
      <w:r>
        <w:t xml:space="preserve"> </w:t>
      </w:r>
      <w:r>
        <w:t xml:space="preserve">(section 8). A release that</w:t>
      </w:r>
      <w:r>
        <w:t xml:space="preserve"> </w:t>
      </w:r>
      <w:r>
        <w:t xml:space="preserve">changes this list updates this appendix through change control.</w:t>
      </w:r>
    </w:p>
    <w:bookmarkEnd w:id="59"/>
    <w:sectPr>
      <w:headerReference w:type="default" r:id="rId9"/>
      <w:footerReference w:type="default" r:id="rId10"/>
      <w:pgSz w:w="11906" w:h="16838"/>
      <w:pgMar w:bottom="1134" w:left="1134" w:right="1134" w:top="1134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sz w:val="16"/>
      </w:rPr>
    </w:r>
    <w:r>
      <w:rPr>
        <w:sz w:val="16"/>
      </w:rPr>
      <w:t>IDRC — controlled document. Printed copies are uncontrolled unless signed.</w:t>
      <w:tab/>
    </w:r>
    <w:r>
      <w:rPr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/>
    <w:r>
      <w:rPr>
        <w:color w:val="1F3A5F"/>
        <w:sz w:val="17"/>
      </w:rPr>
      <w:t>DataKollecta — System Management SOP</w:t>
    </w:r>
    <w:r>
      <w:tab/>
    </w:r>
    <w:r>
      <w:rPr>
        <w:color w:val="1F3A5F"/>
        <w:sz w:val="17"/>
      </w:rPr>
      <w:t>DK-SOP-001  ·  Version 1.0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1F3A5F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2026-10-08T13:19:42Z</dcterms:created>
  <dcterms:modified xsi:type="dcterms:W3CDTF">2026-10-08T13:19:42Z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