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DataKollecta</w:t>
      </w:r>
    </w:p>
    <w:p>
      <w:pPr>
        <w:pStyle w:val="Subtitle"/>
      </w:pPr>
      <w:r>
        <w:t xml:space="preserve">Validation Plan</w:t>
      </w:r>
    </w:p>
    <w:tbl>
      <w:tblPr>
        <w:tblStyle w:val="Table"/>
        <w:tblW w:type="dxa" w:w="963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2628"/>
        <w:gridCol w:w="7009"/>
      </w:tblGrid>
      <w:tr>
        <w:trPr>
          <w:cantSplit/>
          <w:tblHeader w:val="true"/>
        </w:trPr>
        <w:tc>
          <w:tcPr>
            <w:tcW w:type="dxa" w:w="262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Document control</w:t>
            </w:r>
          </w:p>
        </w:tc>
        <w:tc>
          <w:tcPr>
            <w:tcW w:type="dxa" w:w="7009"/>
            <w:shd w:val="clear" w:color="auto" w:fill="DCE4EE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ID</w:t>
            </w:r>
          </w:p>
        </w:tc>
        <w:tc>
          <w:tcPr>
            <w:tcW w:type="dxa" w:w="7009"/>
          </w:tcPr>
          <w:p>
            <w:pPr>
              <w:pStyle w:val="Compact"/>
              <w:jc w:val="left"/>
            </w:pPr>
            <w:r>
              <w:t xml:space="preserve">DK-VAL-001</w:t>
            </w:r>
          </w:p>
        </w:tc>
      </w:tr>
      <w:tr>
        <w:trPr>
          <w:cantSplit/>
        </w:trPr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>
            <w:tcW w:type="dxa" w:w="7009"/>
          </w:tcPr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rPr>
          <w:cantSplit/>
        </w:trPr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>
            <w:tcW w:type="dxa" w:w="7009"/>
          </w:tcPr>
          <w:p>
            <w:pPr>
              <w:pStyle w:val="Compact"/>
              <w:jc w:val="left"/>
            </w:pPr>
            <w:r>
              <w:t xml:space="preserve">Approved for use once signed below</w:t>
            </w:r>
          </w:p>
        </w:tc>
      </w:tr>
      <w:tr>
        <w:trPr>
          <w:cantSplit/>
        </w:trPr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Organisation</w:t>
            </w:r>
          </w:p>
        </w:tc>
        <w:tc>
          <w:tcPr>
            <w:tcW w:type="dxa" w:w="7009"/>
          </w:tcPr>
          <w:p>
            <w:pPr>
              <w:pStyle w:val="Compact"/>
              <w:jc w:val="left"/>
            </w:pPr>
            <w:r>
              <w:t xml:space="preserve">IDRC</w:t>
            </w:r>
          </w:p>
        </w:tc>
      </w:tr>
      <w:tr>
        <w:trPr>
          <w:cantSplit/>
        </w:trPr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</w:t>
            </w:r>
          </w:p>
        </w:tc>
        <w:tc>
          <w:tcPr>
            <w:tcW w:type="dxa" w:w="7009"/>
          </w:tcPr>
          <w:p>
            <w:pPr>
              <w:pStyle w:val="Compact"/>
              <w:jc w:val="left"/>
            </w:pPr>
            <w:r>
              <w:t xml:space="preserve">DataKollecta electronic data capture system (field application, web portal and server, survey tools)</w:t>
            </w:r>
          </w:p>
        </w:tc>
      </w:tr>
      <w:tr>
        <w:trPr>
          <w:cantSplit/>
        </w:trPr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Effective date</w:t>
            </w:r>
          </w:p>
        </w:tc>
        <w:tc>
          <w:tcPr>
            <w:tcW w:type="dxa" w:w="7009"/>
          </w:tcPr>
          <w:p>
            <w:pPr>
              <w:pStyle w:val="Compact"/>
              <w:jc w:val="left"/>
            </w:pPr>
            <w:r>
              <w:t xml:space="preserve">Date of final approval signature</w:t>
            </w:r>
          </w:p>
        </w:tc>
      </w:tr>
      <w:tr>
        <w:trPr>
          <w:cantSplit/>
        </w:trPr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Supersedes</w:t>
            </w:r>
          </w:p>
        </w:tc>
        <w:tc>
          <w:tcPr>
            <w:tcW w:type="dxa" w:w="7009"/>
          </w:tcPr>
          <w:p>
            <w:pPr>
              <w:pStyle w:val="Compact"/>
              <w:jc w:val="left"/>
            </w:pPr>
            <w:r>
              <w:t xml:space="preserve">None (first issue)</w:t>
            </w:r>
          </w:p>
        </w:tc>
      </w:tr>
    </w:tbl>
    <w:bookmarkStart w:id="20" w:name="approval"/>
    <w:p>
      <w:pPr>
        <w:pStyle w:val="Heading2"/>
      </w:pPr>
      <w:r>
        <w:t xml:space="preserve">Approval</w:t>
      </w:r>
    </w:p>
    <w:p>
      <w:pPr>
        <w:pStyle w:val="FirstParagraph"/>
      </w:pPr>
      <w:r>
        <w:t xml:space="preserve">By signing, each person confirms that they have reviewed this document and that it is</w:t>
      </w:r>
      <w:r>
        <w:t xml:space="preserve"> </w:t>
      </w:r>
      <w:r>
        <w:t xml:space="preserve">accurate and fit for its stated purpose. The document is effective from the date of the</w:t>
      </w:r>
      <w:r>
        <w:t xml:space="preserve"> </w:t>
      </w:r>
      <w:r>
        <w:t xml:space="preserve">last signature.</w:t>
      </w:r>
    </w:p>
    <w:tbl>
      <w:tblPr>
        <w:tblStyle w:val="Table"/>
        <w:tblW w:type="dxa" w:w="9635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230"/>
        <w:gridCol w:w="3075"/>
        <w:gridCol w:w="2050"/>
        <w:gridCol w:w="2050"/>
        <w:gridCol w:w="1230"/>
      </w:tblGrid>
      <w:tr>
        <w:trPr>
          <w:cantSplit/>
          <w:tblHeader w:val="true"/>
        </w:trPr>
        <w:tc>
          <w:tcPr>
            <w:tcW w:type="dxa" w:w="123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Signatory</w:t>
            </w:r>
          </w:p>
        </w:tc>
        <w:tc>
          <w:tcPr>
            <w:tcW w:type="dxa" w:w="3075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Role</w:t>
            </w:r>
          </w:p>
        </w:tc>
        <w:tc>
          <w:tcPr>
            <w:tcW w:type="dxa" w:w="205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Name</w:t>
            </w:r>
          </w:p>
        </w:tc>
        <w:tc>
          <w:tcPr>
            <w:tcW w:type="dxa" w:w="205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Signature</w:t>
            </w:r>
          </w:p>
        </w:tc>
        <w:tc>
          <w:tcPr>
            <w:tcW w:type="dxa" w:w="123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Date</w:t>
            </w:r>
          </w:p>
        </w:tc>
      </w:tr>
      <w:tr>
        <w:trPr>
          <w:cantSplit/>
          <w:trHeight w:val="567"/>
        </w:trPr>
        <w:tc>
          <w:tcPr>
            <w:tcW w:type="dxa" w:w="1230"/>
          </w:tcPr>
          <w:p>
            <w:pPr>
              <w:pStyle w:val="Compact"/>
              <w:keepNext/>
              <w:jc w:val="left"/>
            </w:pPr>
            <w:r>
              <w:rPr>
                <w:bCs/>
                <w:b/>
              </w:rPr>
              <w:t xml:space="preserve">Author</w:t>
            </w:r>
          </w:p>
        </w:tc>
        <w:tc>
          <w:tcPr>
            <w:tcW w:type="dxa" w:w="3075"/>
          </w:tcPr>
          <w:p>
            <w:pPr>
              <w:pStyle w:val="Compact"/>
              <w:keepNext/>
              <w:jc w:val="left"/>
            </w:pPr>
            <w:r>
              <w:t xml:space="preserve">System Owner / Lead Developer</w:t>
            </w:r>
          </w:p>
        </w:tc>
        <w:tc>
          <w:tcPr>
            <w:tcW w:type="dxa" w:w="2050"/>
          </w:tcPr>
          <w:p>
            <w:pPr>
              <w:pStyle w:val="Compact"/>
              <w:keepNext/>
            </w:pPr>
          </w:p>
        </w:tc>
        <w:tc>
          <w:tcPr>
            <w:tcW w:type="dxa" w:w="2050"/>
          </w:tcPr>
          <w:p>
            <w:pPr>
              <w:pStyle w:val="Compact"/>
              <w:keepNext/>
            </w:pPr>
          </w:p>
        </w:tc>
        <w:tc>
          <w:tcPr>
            <w:tcW w:type="dxa" w:w="1230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1230"/>
          </w:tcPr>
          <w:p>
            <w:pPr>
              <w:pStyle w:val="Compact"/>
              <w:keepNext/>
              <w:jc w:val="left"/>
            </w:pPr>
            <w:r>
              <w:rPr>
                <w:bCs/>
                <w:b/>
              </w:rPr>
              <w:t xml:space="preserve">Reviewer</w:t>
            </w:r>
          </w:p>
        </w:tc>
        <w:tc>
          <w:tcPr>
            <w:tcW w:type="dxa" w:w="3075"/>
          </w:tcPr>
          <w:p>
            <w:pPr>
              <w:pStyle w:val="Compact"/>
              <w:keepNext/>
              <w:jc w:val="left"/>
            </w:pPr>
            <w:r>
              <w:t xml:space="preserve">Quality Assurance (independent of development)</w:t>
            </w:r>
          </w:p>
        </w:tc>
        <w:tc>
          <w:tcPr>
            <w:tcW w:type="dxa" w:w="2050"/>
          </w:tcPr>
          <w:p>
            <w:pPr>
              <w:pStyle w:val="Compact"/>
              <w:keepNext/>
            </w:pPr>
          </w:p>
        </w:tc>
        <w:tc>
          <w:tcPr>
            <w:tcW w:type="dxa" w:w="2050"/>
          </w:tcPr>
          <w:p>
            <w:pPr>
              <w:pStyle w:val="Compact"/>
              <w:keepNext/>
            </w:pPr>
          </w:p>
        </w:tc>
        <w:tc>
          <w:tcPr>
            <w:tcW w:type="dxa" w:w="1230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1230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Approver</w:t>
            </w:r>
          </w:p>
        </w:tc>
        <w:tc>
          <w:tcPr>
            <w:tcW w:type="dxa" w:w="3075"/>
          </w:tcPr>
          <w:p>
            <w:pPr>
              <w:pStyle w:val="Compact"/>
              <w:jc w:val="left"/>
            </w:pPr>
            <w:r>
              <w:t xml:space="preserve">Head of Data Management</w:t>
            </w:r>
          </w:p>
        </w:tc>
        <w:tc>
          <w:tcPr>
            <w:tcW w:type="dxa" w:w="2050"/>
          </w:tcPr>
          <w:p>
            <w:pPr>
              <w:pStyle w:val="Compact"/>
            </w:pPr>
          </w:p>
        </w:tc>
        <w:tc>
          <w:tcPr>
            <w:tcW w:type="dxa" w:w="2050"/>
          </w:tcPr>
          <w:p>
            <w:pPr>
              <w:pStyle w:val="Compact"/>
            </w:pPr>
          </w:p>
        </w:tc>
        <w:tc>
          <w:tcPr>
            <w:tcW w:type="dxa" w:w="1230"/>
          </w:tcPr>
          <w:p>
            <w:pPr>
              <w:pStyle w:val="Compact"/>
            </w:pPr>
          </w:p>
        </w:tc>
      </w:tr>
    </w:tbl>
    <w:bookmarkEnd w:id="20"/>
    <w:bookmarkStart w:id="21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dxa" w:w="9636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097"/>
        <w:gridCol w:w="1219"/>
        <w:gridCol w:w="5856"/>
        <w:gridCol w:w="1464"/>
      </w:tblGrid>
      <w:tr>
        <w:trPr>
          <w:cantSplit/>
          <w:tblHeader w:val="true"/>
        </w:trPr>
        <w:tc>
          <w:tcPr>
            <w:tcW w:type="dxa" w:w="1097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W w:type="dxa" w:w="1219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W w:type="dxa" w:w="5856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Description of change</w:t>
            </w:r>
          </w:p>
        </w:tc>
        <w:tc>
          <w:tcPr>
            <w:tcW w:type="dxa" w:w="146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Author</w:t>
            </w:r>
          </w:p>
        </w:tc>
      </w:tr>
      <w:tr>
        <w:trPr>
          <w:cantSplit/>
        </w:trPr>
        <w:tc>
          <w:tcPr>
            <w:tcW w:type="dxa" w:w="1097"/>
          </w:tcPr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>
            <w:tcW w:type="dxa" w:w="1219"/>
          </w:tcPr>
          <w:p>
            <w:pPr>
              <w:pStyle w:val="Compact"/>
            </w:pPr>
          </w:p>
        </w:tc>
        <w:tc>
          <w:tcPr>
            <w:tcW w:type="dxa" w:w="5856"/>
          </w:tcPr>
          <w:p>
            <w:pPr>
              <w:pStyle w:val="Compact"/>
              <w:jc w:val="left"/>
            </w:pPr>
            <w:r>
              <w:t xml:space="preserve">First issue. Retrospective validation baseline.</w:t>
            </w:r>
          </w:p>
        </w:tc>
        <w:tc>
          <w:tcPr>
            <w:tcW w:type="dxa" w:w="1464"/>
          </w:tcPr>
          <w:p>
            <w:pPr>
              <w:pStyle w:val="Compact"/>
            </w:pPr>
          </w:p>
        </w:tc>
      </w:tr>
    </w:tbl>
    <w:bookmarkEnd w:id="21"/>
    <w:bookmarkStart w:id="22" w:name="purpose"/>
    <w:p>
      <w:pPr>
        <w:pStyle w:val="Heading1"/>
        <w:pageBreakBefore/>
      </w:pPr>
      <w:r>
        <w:t xml:space="preserve">1. Purpose</w:t>
      </w:r>
    </w:p>
    <w:p>
      <w:pPr>
        <w:pStyle w:val="FirstParagraph"/>
      </w:pPr>
      <w:r>
        <w:t xml:space="preserve">This plan defines how the DataKollecta system is validated: what is in scope, how risk</w:t>
      </w:r>
      <w:r>
        <w:t xml:space="preserve"> </w:t>
      </w:r>
      <w:r>
        <w:t xml:space="preserve">decides the depth of testing, who does what, which documents are produced, and the criteria</w:t>
      </w:r>
      <w:r>
        <w:t xml:space="preserve"> </w:t>
      </w:r>
      <w:r>
        <w:t xml:space="preserve">for declaring the system fit for its intended use.</w:t>
      </w:r>
    </w:p>
    <w:p>
      <w:pPr>
        <w:pStyle w:val="BodyText"/>
      </w:pPr>
      <w:r>
        <w:t xml:space="preserve">Validation here means establishing, with documented evidence, that the system consistently</w:t>
      </w:r>
      <w:r>
        <w:t xml:space="preserve"> </w:t>
      </w:r>
      <w:r>
        <w:t xml:space="preserve">does what it is required to do. That includes protecting the integrity, confidentiality and</w:t>
      </w:r>
      <w:r>
        <w:t xml:space="preserve"> </w:t>
      </w:r>
      <w:r>
        <w:t xml:space="preserve">availability of the data it holds. The approach follows generally accepted practice for</w:t>
      </w:r>
      <w:r>
        <w:t xml:space="preserve"> </w:t>
      </w:r>
      <w:r>
        <w:t xml:space="preserve">computerised systems used in clinical research and other regulated studies: a risk-based</w:t>
      </w:r>
      <w:r>
        <w:t xml:space="preserve"> </w:t>
      </w:r>
      <w:r>
        <w:t xml:space="preserve">life-cycle approach, with documented requirements and approved test cases, traceability</w:t>
      </w:r>
      <w:r>
        <w:t xml:space="preserve"> </w:t>
      </w:r>
      <w:r>
        <w:t xml:space="preserve">between them, controlled change, and periodic review. It is written to satisfy any sponsor,</w:t>
      </w:r>
      <w:r>
        <w:t xml:space="preserve"> </w:t>
      </w:r>
      <w:r>
        <w:t xml:space="preserve">auditor, ethics committee or regulatory inspector who asks how the system was validated.</w:t>
      </w:r>
    </w:p>
    <w:p>
      <w:pPr>
        <w:pStyle w:val="BodyText"/>
      </w:pPr>
      <w:r>
        <w:t xml:space="preserve">DataKollecta is developed and operated by IDRC. IDRC is therefore both the supplier of the</w:t>
      </w:r>
      <w:r>
        <w:t xml:space="preserve"> </w:t>
      </w:r>
      <w:r>
        <w:t xml:space="preserve">system and the organisation responsible for its validation, and no external certification</w:t>
      </w:r>
      <w:r>
        <w:t xml:space="preserve"> </w:t>
      </w:r>
      <w:r>
        <w:t xml:space="preserve">is relied on.</w:t>
      </w:r>
    </w:p>
    <w:bookmarkEnd w:id="22"/>
    <w:bookmarkStart w:id="25" w:name="scope"/>
    <w:p>
      <w:pPr>
        <w:pStyle w:val="Heading1"/>
      </w:pPr>
      <w:r>
        <w:t xml:space="preserve">2. Scope</w:t>
      </w:r>
    </w:p>
    <w:bookmarkStart w:id="23" w:name="in-scope"/>
    <w:p>
      <w:pPr>
        <w:pStyle w:val="Heading2"/>
      </w:pPr>
      <w:r>
        <w:t xml:space="preserve">2.1 In scope</w:t>
      </w:r>
    </w:p>
    <w:p>
      <w:pPr>
        <w:pStyle w:val="FirstParagraph"/>
      </w:pPr>
      <w:r>
        <w:t xml:space="preserve">The validation covers the DataKollecta system at the following baseline versions:</w:t>
      </w:r>
    </w:p>
    <w:tbl>
      <w:tblPr>
        <w:tblStyle w:val="Table"/>
        <w:tblW w:type="dxa" w:w="9636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2107"/>
        <w:gridCol w:w="2710"/>
        <w:gridCol w:w="4819"/>
      </w:tblGrid>
      <w:tr>
        <w:trPr>
          <w:cantSplit/>
          <w:tblHeader w:val="true"/>
        </w:trPr>
        <w:tc>
          <w:tcPr>
            <w:tcW w:type="dxa" w:w="2107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W w:type="dxa" w:w="2710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Baseline version</w:t>
            </w:r>
          </w:p>
        </w:tc>
        <w:tc>
          <w:tcPr>
            <w:tcW w:type="dxa" w:w="4819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Source identifier</w:t>
            </w:r>
          </w:p>
        </w:tc>
      </w:tr>
      <w:tr>
        <w:trPr>
          <w:cantSplit/>
        </w:trPr>
        <w:tc>
          <w:tcPr>
            <w:tcW w:type="dxa" w:w="2107"/>
          </w:tcPr>
          <w:p>
            <w:pPr>
              <w:pStyle w:val="Compact"/>
              <w:jc w:val="left"/>
            </w:pPr>
            <w:r>
              <w:t xml:space="preserve">Field application (DataKollecta product, Android and Windows)</w:t>
            </w:r>
          </w:p>
        </w:tc>
        <w:tc>
          <w:tcPr>
            <w:tcW w:type="dxa" w:w="2710"/>
          </w:tcPr>
          <w:p>
            <w:pPr>
              <w:pStyle w:val="Compact"/>
              <w:jc w:val="left"/>
            </w:pPr>
            <w:r>
              <w:t xml:space="preserve">1.4.1+19</w:t>
            </w:r>
          </w:p>
        </w:tc>
        <w:tc>
          <w:tcPr>
            <w:tcW w:type="dxa" w:w="4819"/>
          </w:tcPr>
          <w:p>
            <w:pPr>
              <w:pStyle w:val="Compact"/>
              <w:jc w:val="left"/>
            </w:pPr>
            <w:r>
              <w:t xml:space="preserve">Tag v1.4.1+19, commit 8dc4302ef9b8</w:t>
            </w:r>
          </w:p>
        </w:tc>
      </w:tr>
      <w:tr>
        <w:trPr>
          <w:cantSplit/>
        </w:trPr>
        <w:tc>
          <w:tcPr>
            <w:tcW w:type="dxa" w:w="2107"/>
          </w:tcPr>
          <w:p>
            <w:pPr>
              <w:pStyle w:val="Compact"/>
              <w:jc w:val="left"/>
            </w:pPr>
            <w:r>
              <w:t xml:space="preserve">Web portal, server functions and database schema</w:t>
            </w:r>
          </w:p>
        </w:tc>
        <w:tc>
          <w:tcPr>
            <w:tcW w:type="dxa" w:w="2710"/>
          </w:tcPr>
          <w:p>
            <w:pPr>
              <w:pStyle w:val="Compact"/>
              <w:jc w:val="left"/>
            </w:pPr>
            <w:r>
              <w:t xml:space="preserve">1.2.0; migration head 20261008150000</w:t>
            </w:r>
          </w:p>
        </w:tc>
        <w:tc>
          <w:tcPr>
            <w:tcW w:type="dxa" w:w="4819"/>
          </w:tcPr>
          <w:p>
            <w:pPr>
              <w:pStyle w:val="Compact"/>
              <w:jc w:val="left"/>
            </w:pPr>
            <w:r>
              <w:t xml:space="preserve">Tag web-v1.2.0, commit ea1f2990cdd8</w:t>
            </w:r>
          </w:p>
        </w:tc>
      </w:tr>
      <w:tr>
        <w:trPr>
          <w:cantSplit/>
        </w:trPr>
        <w:tc>
          <w:tcPr>
            <w:tcW w:type="dxa" w:w="2107"/>
          </w:tcPr>
          <w:p>
            <w:pPr>
              <w:pStyle w:val="Compact"/>
              <w:jc w:val="left"/>
            </w:pPr>
            <w:r>
              <w:t xml:space="preserve">SurveyGen</w:t>
            </w:r>
          </w:p>
        </w:tc>
        <w:tc>
          <w:tcPr>
            <w:tcW w:type="dxa" w:w="2710"/>
          </w:tcPr>
          <w:p>
            <w:pPr>
              <w:pStyle w:val="Compact"/>
              <w:jc w:val="left"/>
            </w:pPr>
            <w:r>
              <w:t xml:space="preserve">Commit 005a7f97e2a9</w:t>
            </w:r>
          </w:p>
        </w:tc>
        <w:tc>
          <w:tcPr>
            <w:tcW w:type="dxa" w:w="4819"/>
          </w:tcPr>
          <w:p>
            <w:pPr>
              <w:pStyle w:val="Compact"/>
              <w:jc w:val="left"/>
            </w:pPr>
            <w:r>
              <w:t xml:space="preserve">DataKollecta-SurveyGen</w:t>
            </w:r>
          </w:p>
        </w:tc>
      </w:tr>
      <w:tr>
        <w:trPr>
          <w:cantSplit/>
        </w:trPr>
        <w:tc>
          <w:tcPr>
            <w:tcW w:type="dxa" w:w="2107"/>
          </w:tcPr>
          <w:p>
            <w:pPr>
              <w:pStyle w:val="Compact"/>
              <w:jc w:val="left"/>
            </w:pPr>
            <w:r>
              <w:t xml:space="preserve">SurveyTest</w:t>
            </w:r>
          </w:p>
        </w:tc>
        <w:tc>
          <w:tcPr>
            <w:tcW w:type="dxa" w:w="2710"/>
          </w:tcPr>
          <w:p>
            <w:pPr>
              <w:pStyle w:val="Compact"/>
              <w:jc w:val="left"/>
            </w:pPr>
            <w:r>
              <w:t xml:space="preserve">Commit d38cb50ea3a8</w:t>
            </w:r>
          </w:p>
        </w:tc>
        <w:tc>
          <w:tcPr>
            <w:tcW w:type="dxa" w:w="4819"/>
          </w:tcPr>
          <w:p>
            <w:pPr>
              <w:pStyle w:val="Compact"/>
              <w:jc w:val="left"/>
            </w:pPr>
            <w:r>
              <w:t xml:space="preserve">DataKollecta-SurveyTest</w:t>
            </w:r>
          </w:p>
        </w:tc>
      </w:tr>
      <w:tr>
        <w:trPr>
          <w:cantSplit/>
        </w:trPr>
        <w:tc>
          <w:tcPr>
            <w:tcW w:type="dxa" w:w="2107"/>
          </w:tcPr>
          <w:p>
            <w:pPr>
              <w:pStyle w:val="Compact"/>
              <w:jc w:val="left"/>
            </w:pPr>
            <w:r>
              <w:t xml:space="preserve">DataBackup</w:t>
            </w:r>
          </w:p>
        </w:tc>
        <w:tc>
          <w:tcPr>
            <w:tcW w:type="dxa" w:w="2710"/>
          </w:tcPr>
          <w:p>
            <w:pPr>
              <w:pStyle w:val="Compact"/>
              <w:jc w:val="left"/>
            </w:pPr>
            <w:r>
              <w:t xml:space="preserve">Commit dafe783b53ab</w:t>
            </w:r>
          </w:p>
        </w:tc>
        <w:tc>
          <w:tcPr>
            <w:tcW w:type="dxa" w:w="4819"/>
          </w:tcPr>
          <w:p>
            <w:pPr>
              <w:pStyle w:val="Compact"/>
              <w:jc w:val="left"/>
            </w:pPr>
            <w:r>
              <w:t xml:space="preserve">DataKollecta-DataBackup</w:t>
            </w:r>
          </w:p>
        </w:tc>
      </w:tr>
    </w:tbl>
    <w:p>
      <w:pPr>
        <w:pStyle w:val="BodyText"/>
      </w:pPr>
      <w:r>
        <w:t xml:space="preserve">It also covers the procedures that keep the system in a validated state (DK-SOP-001), and the</w:t>
      </w:r>
      <w:r>
        <w:t xml:space="preserve"> </w:t>
      </w:r>
      <w:r>
        <w:t xml:space="preserve">validation of each study’s configuration (DK-TPL-001).</w:t>
      </w:r>
    </w:p>
    <w:bookmarkEnd w:id="23"/>
    <w:bookmarkStart w:id="24" w:name="out-of-scope"/>
    <w:p>
      <w:pPr>
        <w:pStyle w:val="Heading2"/>
      </w:pPr>
      <w:r>
        <w:t xml:space="preserve">2.2 Out of scope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GiSTX</w:t>
      </w:r>
      <w:r>
        <w:t xml:space="preserve">, the separate product built from the same field-application code base that</w:t>
      </w:r>
      <w:r>
        <w:t xml:space="preserve"> </w:t>
      </w:r>
      <w:r>
        <w:t xml:space="preserve">synchronises by FTP. Its code is excluded from the DataKollecta build at compile time.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The internal software of the hosting platforms</w:t>
      </w:r>
      <w:r>
        <w:t xml:space="preserve"> </w:t>
      </w:r>
      <w:r>
        <w:t xml:space="preserve">(Supabase, Vercel, GitHub). These are</w:t>
      </w:r>
      <w:r>
        <w:t xml:space="preserve"> </w:t>
      </w:r>
      <w:r>
        <w:t xml:space="preserve">assessed as service providers (DK-VAL-002, section 6), not tested as software.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Operating systems, browsers and devices.</w:t>
      </w:r>
      <w:r>
        <w:t xml:space="preserve"> </w:t>
      </w:r>
      <w:r>
        <w:t xml:space="preserve">These are infrastructure, controlled through</w:t>
      </w:r>
      <w:r>
        <w:t xml:space="preserve"> </w:t>
      </w:r>
      <w:r>
        <w:t xml:space="preserve">the device and workstation requirements in DK-SOP-001, section 9.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iOS, macOS and Linux builds of the field application.</w:t>
      </w:r>
      <w:r>
        <w:t xml:space="preserve"> </w:t>
      </w:r>
      <w:r>
        <w:t xml:space="preserve">These are not approved for</w:t>
      </w:r>
      <w:r>
        <w:t xml:space="preserve"> </w:t>
      </w:r>
      <w:r>
        <w:t xml:space="preserve">production data collection.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Statistical analysis software</w:t>
      </w:r>
      <w:r>
        <w:t xml:space="preserve"> </w:t>
      </w:r>
      <w:r>
        <w:t xml:space="preserve">used on exported data.</w:t>
      </w:r>
    </w:p>
    <w:bookmarkEnd w:id="24"/>
    <w:bookmarkEnd w:id="25"/>
    <w:bookmarkStart w:id="26" w:name="system-description-and-intended-use"/>
    <w:p>
      <w:pPr>
        <w:pStyle w:val="Heading1"/>
      </w:pPr>
      <w:r>
        <w:t xml:space="preserve">3. System description and intended use</w:t>
      </w:r>
    </w:p>
    <w:p>
      <w:pPr>
        <w:pStyle w:val="FirstParagraph"/>
      </w:pPr>
      <w:r>
        <w:t xml:space="preserve">The intended use is described in DK-VAL-002, section 2, and the system design in DK-VAL-003.</w:t>
      </w:r>
      <w:r>
        <w:t xml:space="preserve"> </w:t>
      </w:r>
      <w:r>
        <w:t xml:space="preserve">In short, DataKollecta captures research data offline on field devices and synchronises it</w:t>
      </w:r>
      <w:r>
        <w:t xml:space="preserve"> </w:t>
      </w:r>
      <w:r>
        <w:t xml:space="preserve">to a central server. Study staff manage projects, surveys and users there, and review and</w:t>
      </w:r>
      <w:r>
        <w:t xml:space="preserve"> </w:t>
      </w:r>
      <w:r>
        <w:t xml:space="preserve">export the data. Data may be source data or case report form data in clinical and</w:t>
      </w:r>
      <w:r>
        <w:t xml:space="preserve"> </w:t>
      </w:r>
      <w:r>
        <w:t xml:space="preserve">public-health studies, so the system is treated as having a direct impact on data integrity</w:t>
      </w:r>
      <w:r>
        <w:t xml:space="preserve"> </w:t>
      </w:r>
      <w:r>
        <w:t xml:space="preserve">and, potentially, on participant safety.</w:t>
      </w:r>
    </w:p>
    <w:p>
      <w:pPr>
        <w:pStyle w:val="BodyText"/>
      </w:pPr>
      <w:r>
        <w:rPr>
          <w:bCs/>
          <w:b/>
        </w:rPr>
        <w:t xml:space="preserve">Software category.</w:t>
      </w:r>
      <w:r>
        <w:t xml:space="preserve"> </w:t>
      </w:r>
      <w:r>
        <w:t xml:space="preserve">The field application, portal and tools are custom software developed</w:t>
      </w:r>
      <w:r>
        <w:t xml:space="preserve"> </w:t>
      </w:r>
      <w:r>
        <w:t xml:space="preserve">by IDRC, and are validated in full. The hosting platforms are configured infrastructure and</w:t>
      </w:r>
      <w:r>
        <w:t xml:space="preserve"> </w:t>
      </w:r>
      <w:r>
        <w:t xml:space="preserve">services, and are covered by the service-provider assessment and installation qualification.</w:t>
      </w:r>
    </w:p>
    <w:bookmarkEnd w:id="26"/>
    <w:bookmarkStart w:id="30" w:name="validation-strategy"/>
    <w:p>
      <w:pPr>
        <w:pStyle w:val="Heading1"/>
      </w:pPr>
      <w:r>
        <w:t xml:space="preserve">4. Validation strategy</w:t>
      </w:r>
    </w:p>
    <w:bookmarkStart w:id="27" w:name="risk-based-approach"/>
    <w:p>
      <w:pPr>
        <w:pStyle w:val="Heading2"/>
      </w:pPr>
      <w:r>
        <w:t xml:space="preserve">4.1 Risk-based approach</w:t>
      </w:r>
    </w:p>
    <w:p>
      <w:pPr>
        <w:pStyle w:val="FirstParagraph"/>
      </w:pPr>
      <w:r>
        <w:t xml:space="preserve">Every requirement in the User Requirements Specification is rated for its impact on</w:t>
      </w:r>
      <w:r>
        <w:t xml:space="preserve"> </w:t>
      </w:r>
      <w:r>
        <w:t xml:space="preserve">participant safety and data integrity, the probability of failure, and how easily a failure</w:t>
      </w:r>
      <w:r>
        <w:t xml:space="preserve"> </w:t>
      </w:r>
      <w:r>
        <w:t xml:space="preserve">would be detected (DK-VAL-002, section 3). The resulting risk class sets the test depth: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High:</w:t>
      </w:r>
      <w:r>
        <w:t xml:space="preserve"> </w:t>
      </w:r>
      <w:r>
        <w:t xml:space="preserve">pre-approved manual tests with negative cases and objective evidence, plus</w:t>
      </w:r>
      <w:r>
        <w:t xml:space="preserve"> </w:t>
      </w:r>
      <w:r>
        <w:t xml:space="preserve">automated regression tests.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Medium:</w:t>
      </w:r>
      <w:r>
        <w:t xml:space="preserve"> </w:t>
      </w:r>
      <w:r>
        <w:t xml:space="preserve">a manual test or an automated test.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Low:</w:t>
      </w:r>
      <w:r>
        <w:t xml:space="preserve"> </w:t>
      </w:r>
      <w:r>
        <w:t xml:space="preserve">an automated test, inspection or a procedural control.</w:t>
      </w:r>
    </w:p>
    <w:p>
      <w:pPr>
        <w:pStyle w:val="FirstParagraph"/>
      </w:pPr>
      <w:r>
        <w:t xml:space="preserve">Requirements that the system does not yet fully meet are kept in the specification, marked</w:t>
      </w:r>
      <w:r>
        <w:t xml:space="preserve"> </w:t>
      </w:r>
      <w:r>
        <w:t xml:space="preserve">as gaps, and assessed in a residual risk register with compensating controls and planned</w:t>
      </w:r>
      <w:r>
        <w:t xml:space="preserve"> </w:t>
      </w:r>
      <w:r>
        <w:t xml:space="preserve">corrections. Known limitations are disclosed, not hidden.</w:t>
      </w:r>
    </w:p>
    <w:bookmarkEnd w:id="27"/>
    <w:bookmarkStart w:id="28" w:name="two-levels-of-validation"/>
    <w:p>
      <w:pPr>
        <w:pStyle w:val="Heading2"/>
      </w:pPr>
      <w:r>
        <w:t xml:space="preserve">4.2 Two levels of validation</w:t>
      </w:r>
    </w:p>
    <w:p>
      <w:pPr>
        <w:pStyle w:val="Compact"/>
        <w:numPr>
          <w:ilvl w:val="0"/>
          <w:numId w:val="1003"/>
        </w:numPr>
      </w:pPr>
      <w:r>
        <w:rPr>
          <w:bCs/>
          <w:b/>
        </w:rPr>
        <w:t xml:space="preserve">Platform validation</w:t>
      </w:r>
      <w:r>
        <w:t xml:space="preserve"> </w:t>
      </w:r>
      <w:r>
        <w:t xml:space="preserve">(this plan, DK-VAL-002 to DK-VAL-005). This covers the system’s</w:t>
      </w:r>
      <w:r>
        <w:t xml:space="preserve"> </w:t>
      </w:r>
      <w:r>
        <w:t xml:space="preserve">general functions: data capture engine, edit checks, synchronisation, audit trail, access</w:t>
      </w:r>
      <w:r>
        <w:t xml:space="preserve"> </w:t>
      </w:r>
      <w:r>
        <w:t xml:space="preserve">control, export, backup and restore. It is done for the baseline and repeated, in</w:t>
      </w:r>
      <w:r>
        <w:t xml:space="preserve"> </w:t>
      </w:r>
      <w:r>
        <w:t xml:space="preserve">proportion to the change, for each new release (DK-SOP-001, section 4).</w:t>
      </w:r>
    </w:p>
    <w:p>
      <w:pPr>
        <w:pStyle w:val="Compact"/>
        <w:numPr>
          <w:ilvl w:val="0"/>
          <w:numId w:val="1003"/>
        </w:numPr>
      </w:pPr>
      <w:r>
        <w:rPr>
          <w:bCs/>
          <w:b/>
        </w:rPr>
        <w:t xml:space="preserve">Study configuration validation</w:t>
      </w:r>
      <w:r>
        <w:t xml:space="preserve"> </w:t>
      </w:r>
      <w:r>
        <w:t xml:space="preserve">(DK-TPL-001, one record per study and per protocol</w:t>
      </w:r>
      <w:r>
        <w:t xml:space="preserve"> </w:t>
      </w:r>
      <w:r>
        <w:t xml:space="preserve">amendment). This covers the study’s own forms, edit checks, skips and identifiers,</w:t>
      </w:r>
      <w:r>
        <w:t xml:space="preserve"> </w:t>
      </w:r>
      <w:r>
        <w:t xml:space="preserve">verified against the protocol and data management plan before the study’s survey is</w:t>
      </w:r>
      <w:r>
        <w:t xml:space="preserve"> </w:t>
      </w:r>
      <w:r>
        <w:t xml:space="preserve">deployed.</w:t>
      </w:r>
    </w:p>
    <w:p>
      <w:pPr>
        <w:pStyle w:val="FirstParagraph"/>
      </w:pPr>
      <w:r>
        <w:t xml:space="preserve">Platform validation makes it unnecessary to re-test the engine for every study. Study</w:t>
      </w:r>
      <w:r>
        <w:t xml:space="preserve"> </w:t>
      </w:r>
      <w:r>
        <w:t xml:space="preserve">validation makes sure each study’s configuration does what that study’s protocol requires.</w:t>
      </w:r>
    </w:p>
    <w:bookmarkEnd w:id="28"/>
    <w:bookmarkStart w:id="29" w:name="retrospective-validation"/>
    <w:p>
      <w:pPr>
        <w:pStyle w:val="Heading2"/>
      </w:pPr>
      <w:r>
        <w:t xml:space="preserve">4.3 Retrospective validation</w:t>
      </w:r>
    </w:p>
    <w:p>
      <w:pPr>
        <w:pStyle w:val="FirstParagraph"/>
      </w:pPr>
      <w:r>
        <w:t xml:space="preserve">DataKollecta was in use before this validation package was produced. The validation is</w:t>
      </w:r>
      <w:r>
        <w:t xml:space="preserve"> </w:t>
      </w:r>
      <w:r>
        <w:t xml:space="preserve">therefore</w:t>
      </w:r>
      <w:r>
        <w:t xml:space="preserve"> </w:t>
      </w:r>
      <w:r>
        <w:rPr>
          <w:bCs/>
          <w:b/>
        </w:rPr>
        <w:t xml:space="preserve">retrospective</w:t>
      </w:r>
      <w:r>
        <w:t xml:space="preserve"> </w:t>
      </w:r>
      <w:r>
        <w:t xml:space="preserve">for the baseline versions in section 2.1. This is stated openly.</w:t>
      </w:r>
    </w:p>
    <w:p>
      <w:pPr>
        <w:pStyle w:val="Compact"/>
        <w:numPr>
          <w:ilvl w:val="0"/>
          <w:numId w:val="1004"/>
        </w:numPr>
      </w:pPr>
      <w:r>
        <w:t xml:space="preserve">The baseline versions are validated as they are, against requirements that describe both</w:t>
      </w:r>
      <w:r>
        <w:t xml:space="preserve"> </w:t>
      </w:r>
      <w:r>
        <w:t xml:space="preserve">what the system does and what it should do.</w:t>
      </w:r>
    </w:p>
    <w:p>
      <w:pPr>
        <w:pStyle w:val="Compact"/>
        <w:numPr>
          <w:ilvl w:val="0"/>
          <w:numId w:val="1004"/>
        </w:numPr>
      </w:pPr>
      <w:r>
        <w:t xml:space="preserve">The automated test suites that existed during development are used as validation evidence.</w:t>
      </w:r>
      <w:r>
        <w:t xml:space="preserve"> </w:t>
      </w:r>
      <w:r>
        <w:t xml:space="preserve">They were run on the baseline commits and their results retained (DK-VAL-005, section 4).</w:t>
      </w:r>
    </w:p>
    <w:p>
      <w:pPr>
        <w:pStyle w:val="Compact"/>
        <w:numPr>
          <w:ilvl w:val="0"/>
          <w:numId w:val="1004"/>
        </w:numPr>
      </w:pPr>
      <w:r>
        <w:t xml:space="preserve">Development records (version history, change log, release tags) are used as evidence of</w:t>
      </w:r>
      <w:r>
        <w:t xml:space="preserve"> </w:t>
      </w:r>
      <w:r>
        <w:t xml:space="preserve">change control before this package.</w:t>
      </w:r>
    </w:p>
    <w:p>
      <w:pPr>
        <w:pStyle w:val="Compact"/>
        <w:numPr>
          <w:ilvl w:val="0"/>
          <w:numId w:val="1004"/>
        </w:numPr>
      </w:pPr>
      <w:r>
        <w:t xml:space="preserve">Limitations found during the retrospective assessment are recorded as residual risks</w:t>
      </w:r>
      <w:r>
        <w:t xml:space="preserve"> </w:t>
      </w:r>
      <w:r>
        <w:t xml:space="preserve">(DK-VAL-002, section 5) and in the Validation Summary Report.</w:t>
      </w:r>
    </w:p>
    <w:p>
      <w:pPr>
        <w:pStyle w:val="Compact"/>
        <w:numPr>
          <w:ilvl w:val="0"/>
          <w:numId w:val="1004"/>
        </w:numPr>
      </w:pPr>
      <w:r>
        <w:t xml:space="preserve">Studies that collected data before the validation was approved should note this in their</w:t>
      </w:r>
      <w:r>
        <w:t xml:space="preserve"> </w:t>
      </w:r>
      <w:r>
        <w:t xml:space="preserve">data management documentation. They can rely on this validation for the baseline</w:t>
      </w:r>
      <w:r>
        <w:t xml:space="preserve"> </w:t>
      </w:r>
      <w:r>
        <w:t xml:space="preserve">versions, and for earlier versions only where the change log shows the relevant functions</w:t>
      </w:r>
      <w:r>
        <w:t xml:space="preserve"> </w:t>
      </w:r>
      <w:r>
        <w:t xml:space="preserve">were unchanged.</w:t>
      </w:r>
    </w:p>
    <w:p>
      <w:pPr>
        <w:pStyle w:val="FirstParagraph"/>
      </w:pPr>
      <w:r>
        <w:t xml:space="preserve">From the approval of this package onwards, validation is</w:t>
      </w:r>
      <w:r>
        <w:t xml:space="preserve"> </w:t>
      </w:r>
      <w:r>
        <w:rPr>
          <w:bCs/>
          <w:b/>
        </w:rPr>
        <w:t xml:space="preserve">prospective</w:t>
      </w:r>
      <w:r>
        <w:t xml:space="preserve">: every release is</w:t>
      </w:r>
      <w:r>
        <w:t xml:space="preserve"> </w:t>
      </w:r>
      <w:r>
        <w:t xml:space="preserve">validated before it is put into production (DK-SOP-001, section 4).</w:t>
      </w:r>
    </w:p>
    <w:bookmarkEnd w:id="29"/>
    <w:bookmarkEnd w:id="30"/>
    <w:bookmarkStart w:id="31" w:name="deliverables"/>
    <w:p>
      <w:pPr>
        <w:pStyle w:val="Heading1"/>
      </w:pPr>
      <w:r>
        <w:t xml:space="preserve">5. Deliverables</w:t>
      </w:r>
    </w:p>
    <w:p>
      <w:pPr>
        <w:pStyle w:val="FirstParagraph"/>
      </w:pPr>
      <w:r>
        <w:t xml:space="preserve">The validation package is deliberately small. Each document combines related content so</w:t>
      </w:r>
      <w:r>
        <w:t xml:space="preserve"> </w:t>
      </w:r>
      <w:r>
        <w:t xml:space="preserve">that an auditor can see the whole validation in a few documents.</w:t>
      </w:r>
    </w:p>
    <w:tbl>
      <w:tblPr>
        <w:tblStyle w:val="Table"/>
        <w:tblW w:type="dxa" w:w="963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376"/>
        <w:gridCol w:w="3147"/>
        <w:gridCol w:w="5114"/>
      </w:tblGrid>
      <w:tr>
        <w:trPr>
          <w:cantSplit/>
          <w:tblHeader w:val="true"/>
        </w:trPr>
        <w:tc>
          <w:tcPr>
            <w:tcW w:type="dxa" w:w="1376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>
            <w:tcW w:type="dxa" w:w="3147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>
            <w:tcW w:type="dxa" w:w="51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rPr>
          <w:cantSplit/>
        </w:trPr>
        <w:tc>
          <w:tcPr>
            <w:tcW w:type="dxa" w:w="1376"/>
          </w:tcPr>
          <w:p>
            <w:pPr>
              <w:pStyle w:val="Compact"/>
              <w:jc w:val="left"/>
            </w:pPr>
            <w:r>
              <w:t xml:space="preserve">DK-VAL-001</w:t>
            </w:r>
          </w:p>
        </w:tc>
        <w:tc>
          <w:tcPr>
            <w:tcW w:type="dxa" w:w="3147"/>
          </w:tcPr>
          <w:p>
            <w:pPr>
              <w:pStyle w:val="Compact"/>
              <w:jc w:val="left"/>
            </w:pPr>
            <w:r>
              <w:t xml:space="preserve">Validation Plan (this document)</w:t>
            </w:r>
          </w:p>
        </w:tc>
        <w:tc>
          <w:tcPr>
            <w:tcW w:type="dxa" w:w="5114"/>
          </w:tcPr>
          <w:p>
            <w:pPr>
              <w:pStyle w:val="Compact"/>
              <w:jc w:val="left"/>
            </w:pPr>
            <w:r>
              <w:t xml:space="preserve">Scope, strategy, roles, acceptance criteria</w:t>
            </w:r>
          </w:p>
        </w:tc>
      </w:tr>
      <w:tr>
        <w:trPr>
          <w:cantSplit/>
        </w:trPr>
        <w:tc>
          <w:tcPr>
            <w:tcW w:type="dxa" w:w="1376"/>
          </w:tcPr>
          <w:p>
            <w:pPr>
              <w:pStyle w:val="Compact"/>
              <w:jc w:val="left"/>
            </w:pPr>
            <w:r>
              <w:t xml:space="preserve">DK-VAL-002</w:t>
            </w:r>
          </w:p>
        </w:tc>
        <w:tc>
          <w:tcPr>
            <w:tcW w:type="dxa" w:w="3147"/>
          </w:tcPr>
          <w:p>
            <w:pPr>
              <w:pStyle w:val="Compact"/>
              <w:jc w:val="left"/>
            </w:pPr>
            <w:r>
              <w:t xml:space="preserve">User Requirements Specification and Risk Assessment</w:t>
            </w:r>
          </w:p>
        </w:tc>
        <w:tc>
          <w:tcPr>
            <w:tcW w:type="dxa" w:w="5114"/>
          </w:tcPr>
          <w:p>
            <w:pPr>
              <w:pStyle w:val="Compact"/>
              <w:jc w:val="left"/>
            </w:pPr>
            <w:r>
              <w:t xml:space="preserve">Requirements, risk ratings, residual risk register, service-provider assessment</w:t>
            </w:r>
          </w:p>
        </w:tc>
      </w:tr>
      <w:tr>
        <w:trPr>
          <w:cantSplit/>
        </w:trPr>
        <w:tc>
          <w:tcPr>
            <w:tcW w:type="dxa" w:w="1376"/>
          </w:tcPr>
          <w:p>
            <w:pPr>
              <w:pStyle w:val="Compact"/>
              <w:jc w:val="left"/>
            </w:pPr>
            <w:r>
              <w:t xml:space="preserve">DK-VAL-003</w:t>
            </w:r>
          </w:p>
        </w:tc>
        <w:tc>
          <w:tcPr>
            <w:tcW w:type="dxa" w:w="3147"/>
          </w:tcPr>
          <w:p>
            <w:pPr>
              <w:pStyle w:val="Compact"/>
              <w:jc w:val="left"/>
            </w:pPr>
            <w:r>
              <w:t xml:space="preserve">Functional and Design Specification</w:t>
            </w:r>
          </w:p>
        </w:tc>
        <w:tc>
          <w:tcPr>
            <w:tcW w:type="dxa" w:w="5114"/>
          </w:tcPr>
          <w:p>
            <w:pPr>
              <w:pStyle w:val="Compact"/>
              <w:jc w:val="left"/>
            </w:pPr>
            <w:r>
              <w:t xml:space="preserve">How each requirement is met</w:t>
            </w:r>
          </w:p>
        </w:tc>
      </w:tr>
      <w:tr>
        <w:trPr>
          <w:cantSplit/>
        </w:trPr>
        <w:tc>
          <w:tcPr>
            <w:tcW w:type="dxa" w:w="1376"/>
          </w:tcPr>
          <w:p>
            <w:pPr>
              <w:pStyle w:val="Compact"/>
              <w:jc w:val="left"/>
            </w:pPr>
            <w:r>
              <w:t xml:space="preserve">DK-VAL-004</w:t>
            </w:r>
          </w:p>
        </w:tc>
        <w:tc>
          <w:tcPr>
            <w:tcW w:type="dxa" w:w="3147"/>
          </w:tcPr>
          <w:p>
            <w:pPr>
              <w:pStyle w:val="Compact"/>
              <w:jc w:val="left"/>
            </w:pPr>
            <w:r>
              <w:t xml:space="preserve">Test Protocol</w:t>
            </w:r>
          </w:p>
        </w:tc>
        <w:tc>
          <w:tcPr>
            <w:tcW w:type="dxa" w:w="5114"/>
          </w:tcPr>
          <w:p>
            <w:pPr>
              <w:pStyle w:val="Compact"/>
              <w:jc w:val="left"/>
            </w:pPr>
            <w:r>
              <w:t xml:space="preserve">Pre-approved installation (IQ), operational (OQ), performance (PQ) and automated (AT) test cases, with spaces for results</w:t>
            </w:r>
          </w:p>
        </w:tc>
      </w:tr>
      <w:tr>
        <w:trPr>
          <w:cantSplit/>
        </w:trPr>
        <w:tc>
          <w:tcPr>
            <w:tcW w:type="dxa" w:w="1376"/>
          </w:tcPr>
          <w:p>
            <w:pPr>
              <w:pStyle w:val="Compact"/>
              <w:jc w:val="left"/>
            </w:pPr>
            <w:r>
              <w:t xml:space="preserve">DK-VAL-005</w:t>
            </w:r>
          </w:p>
        </w:tc>
        <w:tc>
          <w:tcPr>
            <w:tcW w:type="dxa" w:w="3147"/>
          </w:tcPr>
          <w:p>
            <w:pPr>
              <w:pStyle w:val="Compact"/>
              <w:jc w:val="left"/>
            </w:pPr>
            <w:r>
              <w:t xml:space="preserve">Validation Summary Report</w:t>
            </w:r>
          </w:p>
        </w:tc>
        <w:tc>
          <w:tcPr>
            <w:tcW w:type="dxa" w:w="5114"/>
          </w:tcPr>
          <w:p>
            <w:pPr>
              <w:pStyle w:val="Compact"/>
              <w:jc w:val="left"/>
            </w:pPr>
            <w:r>
              <w:t xml:space="preserve">Results, traceability matrix, deviation log, known issues, release statement, package index</w:t>
            </w:r>
          </w:p>
        </w:tc>
      </w:tr>
      <w:tr>
        <w:trPr>
          <w:cantSplit/>
        </w:trPr>
        <w:tc>
          <w:tcPr>
            <w:tcW w:type="dxa" w:w="1376"/>
          </w:tcPr>
          <w:p>
            <w:pPr>
              <w:pStyle w:val="Compact"/>
              <w:jc w:val="left"/>
            </w:pPr>
            <w:r>
              <w:t xml:space="preserve">DK-SOP-001</w:t>
            </w:r>
          </w:p>
        </w:tc>
        <w:tc>
          <w:tcPr>
            <w:tcW w:type="dxa" w:w="3147"/>
          </w:tcPr>
          <w:p>
            <w:pPr>
              <w:pStyle w:val="Compact"/>
              <w:jc w:val="left"/>
            </w:pPr>
            <w:r>
              <w:t xml:space="preserve">System Management SOP</w:t>
            </w:r>
          </w:p>
        </w:tc>
        <w:tc>
          <w:tcPr>
            <w:tcW w:type="dxa" w:w="5114"/>
          </w:tcPr>
          <w:p>
            <w:pPr>
              <w:pStyle w:val="Compact"/>
              <w:jc w:val="left"/>
            </w:pPr>
            <w:r>
              <w:t xml:space="preserve">Procedures that keep the system validated (change control, access, audit-trail review, backup and restore, incidents, security, periodic review, training, retention), with forms</w:t>
            </w:r>
          </w:p>
        </w:tc>
      </w:tr>
      <w:tr>
        <w:trPr>
          <w:cantSplit/>
        </w:trPr>
        <w:tc>
          <w:tcPr>
            <w:tcW w:type="dxa" w:w="1376"/>
          </w:tcPr>
          <w:p>
            <w:pPr>
              <w:pStyle w:val="Compact"/>
              <w:jc w:val="left"/>
            </w:pPr>
            <w:r>
              <w:t xml:space="preserve">DK-TPL-001</w:t>
            </w:r>
          </w:p>
        </w:tc>
        <w:tc>
          <w:tcPr>
            <w:tcW w:type="dxa" w:w="3147"/>
          </w:tcPr>
          <w:p>
            <w:pPr>
              <w:pStyle w:val="Compact"/>
              <w:jc w:val="left"/>
            </w:pPr>
            <w:r>
              <w:t xml:space="preserve">Study Build Validation Record</w:t>
            </w:r>
          </w:p>
        </w:tc>
        <w:tc>
          <w:tcPr>
            <w:tcW w:type="dxa" w:w="5114"/>
          </w:tcPr>
          <w:p>
            <w:pPr>
              <w:pStyle w:val="Compact"/>
              <w:jc w:val="left"/>
            </w:pPr>
            <w:r>
              <w:t xml:space="preserve">Template completed for each study’s configuration</w:t>
            </w:r>
          </w:p>
        </w:tc>
      </w:tr>
    </w:tbl>
    <w:p>
      <w:pPr>
        <w:pStyle w:val="BodyText"/>
      </w:pPr>
      <w:r>
        <w:t xml:space="preserve">Supporting evidence is kept with the package: automated test logs with their checksums,</w:t>
      </w:r>
      <w:r>
        <w:t xml:space="preserve"> </w:t>
      </w:r>
      <w:r>
        <w:t xml:space="preserve">screenshots and other attachments from manual testing, and signed copies of all documents.</w:t>
      </w:r>
    </w:p>
    <w:bookmarkEnd w:id="31"/>
    <w:bookmarkStart w:id="32" w:name="roles-and-responsibilities"/>
    <w:p>
      <w:pPr>
        <w:pStyle w:val="Heading1"/>
      </w:pPr>
      <w:r>
        <w:t xml:space="preserve">6. Roles and responsibilities</w:t>
      </w:r>
    </w:p>
    <w:tbl>
      <w:tblPr>
        <w:tblStyle w:val="Table"/>
        <w:tblW w:type="dxa" w:w="963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2541"/>
        <w:gridCol w:w="7096"/>
      </w:tblGrid>
      <w:tr>
        <w:trPr>
          <w:cantSplit/>
          <w:tblHeader w:val="true"/>
        </w:trPr>
        <w:tc>
          <w:tcPr>
            <w:tcW w:type="dxa" w:w="2541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W w:type="dxa" w:w="7096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Responsibilities in validation</w:t>
            </w:r>
          </w:p>
        </w:tc>
      </w:tr>
      <w:tr>
        <w:trPr>
          <w:cantSplit/>
        </w:trPr>
        <w:tc>
          <w:tcPr>
            <w:tcW w:type="dxa" w:w="2541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Owner</w:t>
            </w:r>
            <w:r>
              <w:t xml:space="preserve"> </w:t>
            </w:r>
            <w:r>
              <w:t xml:space="preserve">(Lead Developer)</w:t>
            </w:r>
          </w:p>
        </w:tc>
        <w:tc>
          <w:tcPr>
            <w:tcW w:type="dxa" w:w="7096"/>
          </w:tcPr>
          <w:p>
            <w:pPr>
              <w:pStyle w:val="Compact"/>
              <w:jc w:val="left"/>
            </w:pPr>
            <w:r>
              <w:t xml:space="preserve">Owns the system and this package. Writes the specifications and test protocol. Runs the automated tests. Fixes defects. Maintains the system under DK-SOP-001.</w:t>
            </w:r>
          </w:p>
        </w:tc>
      </w:tr>
      <w:tr>
        <w:trPr>
          <w:cantSplit/>
        </w:trPr>
        <w:tc>
          <w:tcPr>
            <w:tcW w:type="dxa" w:w="2541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Quality Assurance</w:t>
            </w:r>
            <w:r>
              <w:t xml:space="preserve"> </w:t>
            </w:r>
            <w:r>
              <w:t xml:space="preserve">(independent reviewer)</w:t>
            </w:r>
          </w:p>
        </w:tc>
        <w:tc>
          <w:tcPr>
            <w:tcW w:type="dxa" w:w="7096"/>
          </w:tcPr>
          <w:p>
            <w:pPr>
              <w:pStyle w:val="Compact"/>
              <w:jc w:val="left"/>
            </w:pPr>
            <w:r>
              <w:t xml:space="preserve">Reviews and approves the plan, specifications and protocol before testing. Reviews executed tests and deviations. Approves the Summary Report. Must not have written the code under review.</w:t>
            </w:r>
          </w:p>
        </w:tc>
      </w:tr>
      <w:tr>
        <w:trPr>
          <w:cantSplit/>
        </w:trPr>
        <w:tc>
          <w:tcPr>
            <w:tcW w:type="dxa" w:w="2541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Tester</w:t>
            </w:r>
          </w:p>
        </w:tc>
        <w:tc>
          <w:tcPr>
            <w:tcW w:type="dxa" w:w="7096"/>
          </w:tcPr>
          <w:p>
            <w:pPr>
              <w:pStyle w:val="Compact"/>
              <w:jc w:val="left"/>
            </w:pPr>
            <w:r>
              <w:t xml:space="preserve">Executes the manual test cases exactly as written. Records actual results and evidence. Raises deviations. Must not be the author of the test case being executed, and should be a person who will use the system in practice (for example a data manager or field supervisor).</w:t>
            </w:r>
          </w:p>
        </w:tc>
      </w:tr>
      <w:tr>
        <w:trPr>
          <w:cantSplit/>
        </w:trPr>
        <w:tc>
          <w:tcPr>
            <w:tcW w:type="dxa" w:w="2541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Head of Data Management</w:t>
            </w:r>
            <w:r>
              <w:t xml:space="preserve"> </w:t>
            </w:r>
            <w:r>
              <w:t xml:space="preserve">(Approver)</w:t>
            </w:r>
          </w:p>
        </w:tc>
        <w:tc>
          <w:tcPr>
            <w:tcW w:type="dxa" w:w="7096"/>
          </w:tcPr>
          <w:p>
            <w:pPr>
              <w:pStyle w:val="Compact"/>
              <w:jc w:val="left"/>
            </w:pPr>
            <w:r>
              <w:t xml:space="preserve">Approves the plan and protocol. Decides on the acceptability of residual risks. Signs the release statement in the Summary Report.</w:t>
            </w:r>
          </w:p>
        </w:tc>
      </w:tr>
      <w:tr>
        <w:trPr>
          <w:cantSplit/>
        </w:trPr>
        <w:tc>
          <w:tcPr>
            <w:tcW w:type="dxa" w:w="2541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Study teams</w:t>
            </w:r>
          </w:p>
        </w:tc>
        <w:tc>
          <w:tcPr>
            <w:tcW w:type="dxa" w:w="7096"/>
          </w:tcPr>
          <w:p>
            <w:pPr>
              <w:pStyle w:val="Compact"/>
              <w:jc w:val="left"/>
            </w:pPr>
            <w:r>
              <w:t xml:space="preserve">Complete the Study Build Validation Record (DK-TPL-001) for each study before deployment.</w:t>
            </w:r>
          </w:p>
        </w:tc>
      </w:tr>
    </w:tbl>
    <w:p>
      <w:pPr>
        <w:pStyle w:val="BodyText"/>
      </w:pPr>
      <w:r>
        <w:t xml:space="preserve">One person may hold more than one role, except that nobody reviews or tests their own work.</w:t>
      </w:r>
      <w:r>
        <w:t xml:space="preserve"> </w:t>
      </w:r>
      <w:r>
        <w:t xml:space="preserve">Where the team is too small to keep these roles apart, the reason is recorded in the</w:t>
      </w:r>
      <w:r>
        <w:t xml:space="preserve"> </w:t>
      </w:r>
      <w:r>
        <w:t xml:space="preserve">Summary Report and an external reviewer is used for the independent review.</w:t>
      </w:r>
    </w:p>
    <w:bookmarkEnd w:id="32"/>
    <w:bookmarkStart w:id="37" w:name="testing-approach"/>
    <w:p>
      <w:pPr>
        <w:pStyle w:val="Heading1"/>
      </w:pPr>
      <w:r>
        <w:t xml:space="preserve">7. Testing approach</w:t>
      </w:r>
    </w:p>
    <w:bookmarkStart w:id="33" w:name="test-types"/>
    <w:p>
      <w:pPr>
        <w:pStyle w:val="Heading2"/>
      </w:pPr>
      <w:r>
        <w:t xml:space="preserve">7.1 Test types</w:t>
      </w:r>
    </w:p>
    <w:tbl>
      <w:tblPr>
        <w:tblStyle w:val="Table"/>
        <w:tblW w:type="dxa" w:w="9636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540"/>
        <w:gridCol w:w="4773"/>
        <w:gridCol w:w="4323"/>
      </w:tblGrid>
      <w:tr>
        <w:trPr>
          <w:cantSplit/>
          <w:tblHeader w:val="true"/>
        </w:trPr>
        <w:tc>
          <w:tcPr>
            <w:tcW w:type="dxa" w:w="540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W w:type="dxa" w:w="47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W w:type="dxa" w:w="432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Where it is run</w:t>
            </w:r>
          </w:p>
        </w:tc>
      </w:tr>
      <w:tr>
        <w:trPr>
          <w:cantSplit/>
        </w:trPr>
        <w:tc>
          <w:tcPr>
            <w:tcW w:type="dxa" w:w="540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IQ</w:t>
            </w:r>
            <w:r>
              <w:t xml:space="preserve">: Installation Qualification</w:t>
            </w:r>
          </w:p>
        </w:tc>
        <w:tc>
          <w:tcPr>
            <w:tcW w:type="dxa" w:w="4773"/>
          </w:tcPr>
          <w:p>
            <w:pPr>
              <w:pStyle w:val="Compact"/>
              <w:jc w:val="left"/>
            </w:pPr>
            <w:r>
              <w:t xml:space="preserve">The correct versions are installed and configured as specified in production.</w:t>
            </w:r>
          </w:p>
        </w:tc>
        <w:tc>
          <w:tcPr>
            <w:tcW w:type="dxa" w:w="4323"/>
          </w:tcPr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rPr>
          <w:cantSplit/>
        </w:trPr>
        <w:tc>
          <w:tcPr>
            <w:tcW w:type="dxa" w:w="540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OQ</w:t>
            </w:r>
            <w:r>
              <w:t xml:space="preserve">: Operational Qualification</w:t>
            </w:r>
          </w:p>
        </w:tc>
        <w:tc>
          <w:tcPr>
            <w:tcW w:type="dxa" w:w="4773"/>
          </w:tcPr>
          <w:p>
            <w:pPr>
              <w:pStyle w:val="Compact"/>
              <w:jc w:val="left"/>
            </w:pPr>
            <w:r>
              <w:t xml:space="preserve">Each function works as specified, including refusals of invalid or unauthorised actions.</w:t>
            </w:r>
          </w:p>
        </w:tc>
        <w:tc>
          <w:tcPr>
            <w:tcW w:type="dxa" w:w="4323"/>
          </w:tcPr>
          <w:p>
            <w:pPr>
              <w:pStyle w:val="Compact"/>
              <w:jc w:val="left"/>
            </w:pPr>
            <w:r>
              <w:t xml:space="preserve">A test project in production, or a non-production environment where the test would affect real data</w:t>
            </w:r>
          </w:p>
        </w:tc>
      </w:tr>
      <w:tr>
        <w:trPr>
          <w:cantSplit/>
        </w:trPr>
        <w:tc>
          <w:tcPr>
            <w:tcW w:type="dxa" w:w="540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PQ</w:t>
            </w:r>
            <w:r>
              <w:t xml:space="preserve">: Performance Qualification</w:t>
            </w:r>
          </w:p>
        </w:tc>
        <w:tc>
          <w:tcPr>
            <w:tcW w:type="dxa" w:w="4773"/>
          </w:tcPr>
          <w:p>
            <w:pPr>
              <w:pStyle w:val="Compact"/>
              <w:jc w:val="left"/>
            </w:pPr>
            <w:r>
              <w:t xml:space="preserve">The system supports the real end-to-end workflow, with real devices and users.</w:t>
            </w:r>
          </w:p>
        </w:tc>
        <w:tc>
          <w:tcPr>
            <w:tcW w:type="dxa" w:w="4323"/>
          </w:tcPr>
          <w:p>
            <w:pPr>
              <w:pStyle w:val="Compact"/>
              <w:jc w:val="left"/>
            </w:pPr>
            <w:r>
              <w:t xml:space="preserve">A test project in production</w:t>
            </w:r>
          </w:p>
        </w:tc>
      </w:tr>
      <w:tr>
        <w:trPr>
          <w:cantSplit/>
        </w:trPr>
        <w:tc>
          <w:tcPr>
            <w:tcW w:type="dxa" w:w="540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</w:t>
            </w:r>
            <w:r>
              <w:t xml:space="preserve">: Automated tests</w:t>
            </w:r>
          </w:p>
        </w:tc>
        <w:tc>
          <w:tcPr>
            <w:tcW w:type="dxa" w:w="4773"/>
          </w:tcPr>
          <w:p>
            <w:pPr>
              <w:pStyle w:val="Compact"/>
              <w:jc w:val="left"/>
            </w:pPr>
            <w:r>
              <w:t xml:space="preserve">Regression suites covering the code of every component.</w:t>
            </w:r>
          </w:p>
        </w:tc>
        <w:tc>
          <w:tcPr>
            <w:tcW w:type="dxa" w:w="4323"/>
          </w:tcPr>
          <w:p>
            <w:pPr>
              <w:pStyle w:val="Compact"/>
              <w:jc w:val="left"/>
            </w:pPr>
            <w:r>
              <w:t xml:space="preserve">Development or test environment, on the release commit</w:t>
            </w:r>
          </w:p>
        </w:tc>
      </w:tr>
    </w:tbl>
    <w:bookmarkEnd w:id="33"/>
    <w:bookmarkStart w:id="34" w:name="test-environments"/>
    <w:p>
      <w:pPr>
        <w:pStyle w:val="Heading2"/>
      </w:pPr>
      <w:r>
        <w:t xml:space="preserve">7.2 Test environments</w:t>
      </w:r>
    </w:p>
    <w:p>
      <w:pPr>
        <w:pStyle w:val="FirstParagraph"/>
      </w:pPr>
      <w:r>
        <w:t xml:space="preserve">Manual OQ and PQ tests use a dedicated</w:t>
      </w:r>
      <w:r>
        <w:t xml:space="preserve"> </w:t>
      </w:r>
      <w:r>
        <w:rPr>
          <w:bCs/>
          <w:b/>
        </w:rPr>
        <w:t xml:space="preserve">test project</w:t>
      </w:r>
      <w:r>
        <w:t xml:space="preserve"> </w:t>
      </w:r>
      <w:r>
        <w:t xml:space="preserve">in the production system. This</w:t>
      </w:r>
      <w:r>
        <w:t xml:space="preserve"> </w:t>
      </w:r>
      <w:r>
        <w:t xml:space="preserve">means they run on the same platform, configuration and code as studies. All records created</w:t>
      </w:r>
      <w:r>
        <w:t xml:space="preserve"> </w:t>
      </w:r>
      <w:r>
        <w:t xml:space="preserve">are labelled</w:t>
      </w:r>
      <w:r>
        <w:t xml:space="preserve"> </w:t>
      </w:r>
      <w:r>
        <w:rPr>
          <w:iCs/>
          <w:i/>
        </w:rPr>
        <w:t xml:space="preserve">test</w:t>
      </w:r>
      <w:r>
        <w:t xml:space="preserve"> </w:t>
      </w:r>
      <w:r>
        <w:t xml:space="preserve">(DK-VAL-003, section 6.6), and are purged or reclassified after testing.</w:t>
      </w:r>
      <w:r>
        <w:t xml:space="preserve"> </w:t>
      </w:r>
      <w:r>
        <w:t xml:space="preserve">Tests that would affect production configuration (for example authentication settings) are</w:t>
      </w:r>
      <w:r>
        <w:t xml:space="preserve"> </w:t>
      </w:r>
      <w:r>
        <w:t xml:space="preserve">not run in production; they are verified by inspection of the configuration (IQ).</w:t>
      </w:r>
    </w:p>
    <w:p>
      <w:pPr>
        <w:pStyle w:val="BodyText"/>
      </w:pPr>
      <w:r>
        <w:t xml:space="preserve">Automated tests that need a server run against a</w:t>
      </w:r>
      <w:r>
        <w:t xml:space="preserve"> </w:t>
      </w:r>
      <w:r>
        <w:rPr>
          <w:bCs/>
          <w:b/>
        </w:rPr>
        <w:t xml:space="preserve">local server stack</w:t>
      </w:r>
      <w:r>
        <w:t xml:space="preserve"> </w:t>
      </w:r>
      <w:r>
        <w:t xml:space="preserve">built from the same</w:t>
      </w:r>
      <w:r>
        <w:t xml:space="preserve"> </w:t>
      </w:r>
      <w:r>
        <w:t xml:space="preserve">migrations and server-function code as production. Any difference between this environment</w:t>
      </w:r>
      <w:r>
        <w:t xml:space="preserve"> </w:t>
      </w:r>
      <w:r>
        <w:t xml:space="preserve">and production (tool versions, how server functions are hosted, network restrictions) is</w:t>
      </w:r>
      <w:r>
        <w:t xml:space="preserve"> </w:t>
      </w:r>
      <w:r>
        <w:t xml:space="preserve">recorded with the results and its significance assessed in the Summary Report.</w:t>
      </w:r>
    </w:p>
    <w:bookmarkEnd w:id="34"/>
    <w:bookmarkStart w:id="35" w:name="test-case-requirements"/>
    <w:p>
      <w:pPr>
        <w:pStyle w:val="Heading2"/>
      </w:pPr>
      <w:r>
        <w:t xml:space="preserve">7.3 Test case requirements</w:t>
      </w:r>
    </w:p>
    <w:p>
      <w:pPr>
        <w:pStyle w:val="FirstParagraph"/>
      </w:pPr>
      <w:r>
        <w:t xml:space="preserve">Every test case in DK-VAL-004 states:</w:t>
      </w:r>
    </w:p>
    <w:p>
      <w:pPr>
        <w:pStyle w:val="Compact"/>
        <w:numPr>
          <w:ilvl w:val="0"/>
          <w:numId w:val="1005"/>
        </w:numPr>
      </w:pPr>
      <w:r>
        <w:t xml:space="preserve">its identifier and the requirements it verifies;</w:t>
      </w:r>
    </w:p>
    <w:p>
      <w:pPr>
        <w:pStyle w:val="Compact"/>
        <w:numPr>
          <w:ilvl w:val="0"/>
          <w:numId w:val="1005"/>
        </w:numPr>
      </w:pPr>
      <w:r>
        <w:t xml:space="preserve">the software version under test;</w:t>
      </w:r>
    </w:p>
    <w:p>
      <w:pPr>
        <w:pStyle w:val="Compact"/>
        <w:numPr>
          <w:ilvl w:val="0"/>
          <w:numId w:val="1005"/>
        </w:numPr>
      </w:pPr>
      <w:r>
        <w:t xml:space="preserve">its prerequisites;</w:t>
      </w:r>
    </w:p>
    <w:p>
      <w:pPr>
        <w:pStyle w:val="Compact"/>
        <w:numPr>
          <w:ilvl w:val="0"/>
          <w:numId w:val="1005"/>
        </w:numPr>
      </w:pPr>
      <w:r>
        <w:t xml:space="preserve">its numbered steps;</w:t>
      </w:r>
    </w:p>
    <w:p>
      <w:pPr>
        <w:pStyle w:val="Compact"/>
        <w:numPr>
          <w:ilvl w:val="0"/>
          <w:numId w:val="1005"/>
        </w:numPr>
      </w:pPr>
      <w:r>
        <w:t xml:space="preserve">the expected result of each step.</w:t>
      </w:r>
    </w:p>
    <w:p>
      <w:pPr>
        <w:pStyle w:val="FirstParagraph"/>
      </w:pPr>
      <w:r>
        <w:t xml:space="preserve">The protocol is approved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it is executed. During execution, the tester records:</w:t>
      </w:r>
    </w:p>
    <w:p>
      <w:pPr>
        <w:pStyle w:val="Compact"/>
        <w:numPr>
          <w:ilvl w:val="0"/>
          <w:numId w:val="1006"/>
        </w:numPr>
      </w:pPr>
      <w:r>
        <w:t xml:space="preserve">the actual result of each step;</w:t>
      </w:r>
    </w:p>
    <w:p>
      <w:pPr>
        <w:pStyle w:val="Compact"/>
        <w:numPr>
          <w:ilvl w:val="0"/>
          <w:numId w:val="1006"/>
        </w:numPr>
      </w:pPr>
      <w:r>
        <w:t xml:space="preserve">pass or fail;</w:t>
      </w:r>
    </w:p>
    <w:p>
      <w:pPr>
        <w:pStyle w:val="Compact"/>
        <w:numPr>
          <w:ilvl w:val="0"/>
          <w:numId w:val="1006"/>
        </w:numPr>
      </w:pPr>
      <w:r>
        <w:t xml:space="preserve">their initials and the date;</w:t>
      </w:r>
    </w:p>
    <w:p>
      <w:pPr>
        <w:pStyle w:val="Compact"/>
        <w:numPr>
          <w:ilvl w:val="0"/>
          <w:numId w:val="1006"/>
        </w:numPr>
      </w:pPr>
      <w:r>
        <w:t xml:space="preserve">a reference to any evidence (screenshot, file, log).</w:t>
      </w:r>
    </w:p>
    <w:p>
      <w:pPr>
        <w:pStyle w:val="FirstParagraph"/>
      </w:pPr>
      <w:r>
        <w:t xml:space="preserve">Results must be recorded as they are observed. Corrections follow good documentation</w:t>
      </w:r>
      <w:r>
        <w:t xml:space="preserve"> </w:t>
      </w:r>
      <w:r>
        <w:t xml:space="preserve">practice: a single line through the original, the correction, initials, date and reason.</w:t>
      </w:r>
      <w:r>
        <w:t xml:space="preserve"> </w:t>
      </w:r>
      <w:r>
        <w:t xml:space="preserve">Nothing may be erased or overwritten.</w:t>
      </w:r>
    </w:p>
    <w:p>
      <w:pPr>
        <w:pStyle w:val="BodyText"/>
      </w:pPr>
      <w:r>
        <w:t xml:space="preserve">Evidence is kept in the evidence folder of the validation package, named by test case</w:t>
      </w:r>
      <w:r>
        <w:t xml:space="preserve"> </w:t>
      </w:r>
      <w:r>
        <w:t xml:space="preserve">identifier.</w:t>
      </w:r>
    </w:p>
    <w:bookmarkEnd w:id="35"/>
    <w:bookmarkStart w:id="36" w:name="automated-tests-as-evidence"/>
    <w:p>
      <w:pPr>
        <w:pStyle w:val="Heading2"/>
      </w:pPr>
      <w:r>
        <w:t xml:space="preserve">7.4 Automated tests as evidence</w:t>
      </w:r>
    </w:p>
    <w:p>
      <w:pPr>
        <w:pStyle w:val="FirstParagraph"/>
      </w:pPr>
      <w:r>
        <w:t xml:space="preserve">Automated suites are treated as test cases (AT-01 to AT-10). For each one the validation</w:t>
      </w:r>
      <w:r>
        <w:t xml:space="preserve"> </w:t>
      </w:r>
      <w:r>
        <w:t xml:space="preserve">records:</w:t>
      </w:r>
    </w:p>
    <w:p>
      <w:pPr>
        <w:pStyle w:val="Compact"/>
        <w:numPr>
          <w:ilvl w:val="0"/>
          <w:numId w:val="1007"/>
        </w:numPr>
      </w:pPr>
      <w:r>
        <w:t xml:space="preserve">the exact command;</w:t>
      </w:r>
    </w:p>
    <w:p>
      <w:pPr>
        <w:pStyle w:val="Compact"/>
        <w:numPr>
          <w:ilvl w:val="0"/>
          <w:numId w:val="1007"/>
        </w:numPr>
      </w:pPr>
      <w:r>
        <w:t xml:space="preserve">the commit tested;</w:t>
      </w:r>
    </w:p>
    <w:p>
      <w:pPr>
        <w:pStyle w:val="Compact"/>
        <w:numPr>
          <w:ilvl w:val="0"/>
          <w:numId w:val="1007"/>
        </w:numPr>
      </w:pPr>
      <w:r>
        <w:t xml:space="preserve">the tool versions;</w:t>
      </w:r>
    </w:p>
    <w:p>
      <w:pPr>
        <w:pStyle w:val="Compact"/>
        <w:numPr>
          <w:ilvl w:val="0"/>
          <w:numId w:val="1007"/>
        </w:numPr>
      </w:pPr>
      <w:r>
        <w:t xml:space="preserve">the full output log;</w:t>
      </w:r>
    </w:p>
    <w:p>
      <w:pPr>
        <w:pStyle w:val="Compact"/>
        <w:numPr>
          <w:ilvl w:val="0"/>
          <w:numId w:val="1007"/>
        </w:numPr>
      </w:pPr>
      <w:r>
        <w:t xml:space="preserve">the SHA-256 checksum of the log;</w:t>
      </w:r>
    </w:p>
    <w:p>
      <w:pPr>
        <w:pStyle w:val="Compact"/>
        <w:numPr>
          <w:ilvl w:val="0"/>
          <w:numId w:val="1007"/>
        </w:numPr>
      </w:pPr>
      <w:r>
        <w:t xml:space="preserve">the number of tests run, passed, failed and skipped.</w:t>
      </w:r>
    </w:p>
    <w:p>
      <w:pPr>
        <w:pStyle w:val="FirstParagraph"/>
      </w:pPr>
      <w:r>
        <w:t xml:space="preserve">A suite passes when its command exits successfully and no test fails. A skipped test must be</w:t>
      </w:r>
      <w:r>
        <w:t xml:space="preserve"> </w:t>
      </w:r>
      <w:r>
        <w:t xml:space="preserve">explained.</w:t>
      </w:r>
    </w:p>
    <w:bookmarkEnd w:id="36"/>
    <w:bookmarkEnd w:id="37"/>
    <w:bookmarkStart w:id="38" w:name="deviation-management"/>
    <w:p>
      <w:pPr>
        <w:pStyle w:val="Heading1"/>
      </w:pPr>
      <w:r>
        <w:t xml:space="preserve">8. Deviation management</w:t>
      </w:r>
    </w:p>
    <w:p>
      <w:pPr>
        <w:pStyle w:val="FirstParagraph"/>
      </w:pPr>
      <w:r>
        <w:t xml:space="preserve">Any result that differs from the expected result is a</w:t>
      </w:r>
      <w:r>
        <w:t xml:space="preserve"> </w:t>
      </w:r>
      <w:r>
        <w:rPr>
          <w:bCs/>
          <w:b/>
        </w:rPr>
        <w:t xml:space="preserve">deviation</w:t>
      </w:r>
      <w:r>
        <w:t xml:space="preserve">. Each deviation is</w:t>
      </w:r>
      <w:r>
        <w:t xml:space="preserve"> </w:t>
      </w:r>
      <w:r>
        <w:t xml:space="preserve">recorded in the deviation log in DK-VAL-005 with:</w:t>
      </w:r>
    </w:p>
    <w:p>
      <w:pPr>
        <w:pStyle w:val="Compact"/>
        <w:numPr>
          <w:ilvl w:val="0"/>
          <w:numId w:val="1008"/>
        </w:numPr>
      </w:pPr>
      <w:r>
        <w:t xml:space="preserve">an identifier;</w:t>
      </w:r>
    </w:p>
    <w:p>
      <w:pPr>
        <w:pStyle w:val="Compact"/>
        <w:numPr>
          <w:ilvl w:val="0"/>
          <w:numId w:val="1008"/>
        </w:numPr>
      </w:pPr>
      <w:r>
        <w:t xml:space="preserve">the test step;</w:t>
      </w:r>
    </w:p>
    <w:p>
      <w:pPr>
        <w:pStyle w:val="Compact"/>
        <w:numPr>
          <w:ilvl w:val="0"/>
          <w:numId w:val="1008"/>
        </w:numPr>
      </w:pPr>
      <w:r>
        <w:t xml:space="preserve">a description;</w:t>
      </w:r>
    </w:p>
    <w:p>
      <w:pPr>
        <w:pStyle w:val="Compact"/>
        <w:numPr>
          <w:ilvl w:val="0"/>
          <w:numId w:val="1008"/>
        </w:numPr>
      </w:pPr>
      <w:r>
        <w:t xml:space="preserve">its classification;</w:t>
      </w:r>
    </w:p>
    <w:p>
      <w:pPr>
        <w:pStyle w:val="Compact"/>
        <w:numPr>
          <w:ilvl w:val="0"/>
          <w:numId w:val="1008"/>
        </w:numPr>
      </w:pPr>
      <w:r>
        <w:t xml:space="preserve">an impact assessment;</w:t>
      </w:r>
    </w:p>
    <w:p>
      <w:pPr>
        <w:pStyle w:val="Compact"/>
        <w:numPr>
          <w:ilvl w:val="0"/>
          <w:numId w:val="1008"/>
        </w:numPr>
      </w:pPr>
      <w:r>
        <w:t xml:space="preserve">the action taken and any retest.</w:t>
      </w:r>
    </w:p>
    <w:tbl>
      <w:tblPr>
        <w:tblStyle w:val="Table"/>
        <w:tblW w:type="dxa" w:w="963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340"/>
        <w:gridCol w:w="4609"/>
        <w:gridCol w:w="3688"/>
      </w:tblGrid>
      <w:tr>
        <w:trPr>
          <w:cantSplit/>
          <w:tblHeader w:val="true"/>
        </w:trPr>
        <w:tc>
          <w:tcPr>
            <w:tcW w:type="dxa" w:w="1340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>
            <w:tcW w:type="dxa" w:w="4609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>
            <w:tcW w:type="dxa" w:w="368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Required before release</w:t>
            </w:r>
          </w:p>
        </w:tc>
      </w:tr>
      <w:tr>
        <w:trPr>
          <w:cantSplit/>
        </w:trPr>
        <w:tc>
          <w:tcPr>
            <w:tcW w:type="dxa" w:w="1340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  <w:tc>
          <w:tcPr>
            <w:tcW w:type="dxa" w:w="4609"/>
          </w:tcPr>
          <w:p>
            <w:pPr>
              <w:pStyle w:val="Compact"/>
              <w:jc w:val="left"/>
            </w:pPr>
            <w:r>
              <w:t xml:space="preserve">Data loss or corruption, unauthorised access, or failure of the audit trail, with no workaround</w:t>
            </w:r>
          </w:p>
        </w:tc>
        <w:tc>
          <w:tcPr>
            <w:tcW w:type="dxa" w:w="3688"/>
          </w:tcPr>
          <w:p>
            <w:pPr>
              <w:pStyle w:val="Compact"/>
              <w:jc w:val="left"/>
            </w:pPr>
            <w:r>
              <w:t xml:space="preserve">Must be fixed and retested</w:t>
            </w:r>
          </w:p>
        </w:tc>
      </w:tr>
      <w:tr>
        <w:trPr>
          <w:cantSplit/>
        </w:trPr>
        <w:tc>
          <w:tcPr>
            <w:tcW w:type="dxa" w:w="1340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Major</w:t>
            </w:r>
          </w:p>
        </w:tc>
        <w:tc>
          <w:tcPr>
            <w:tcW w:type="dxa" w:w="4609"/>
          </w:tcPr>
          <w:p>
            <w:pPr>
              <w:pStyle w:val="Compact"/>
              <w:jc w:val="left"/>
            </w:pPr>
            <w:r>
              <w:t xml:space="preserve">A requirement is not met, but a documented workaround or procedural control exists</w:t>
            </w:r>
          </w:p>
        </w:tc>
        <w:tc>
          <w:tcPr>
            <w:tcW w:type="dxa" w:w="3688"/>
          </w:tcPr>
          <w:p>
            <w:pPr>
              <w:pStyle w:val="Compact"/>
              <w:jc w:val="left"/>
            </w:pPr>
            <w:r>
              <w:t xml:space="preserve">Fix, or an accepted residual risk with a correction plan, approved by the Approver</w:t>
            </w:r>
          </w:p>
        </w:tc>
      </w:tr>
      <w:tr>
        <w:trPr>
          <w:cantSplit/>
        </w:trPr>
        <w:tc>
          <w:tcPr>
            <w:tcW w:type="dxa" w:w="1340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Minor</w:t>
            </w:r>
          </w:p>
        </w:tc>
        <w:tc>
          <w:tcPr>
            <w:tcW w:type="dxa" w:w="4609"/>
          </w:tcPr>
          <w:p>
            <w:pPr>
              <w:pStyle w:val="Compact"/>
              <w:jc w:val="left"/>
            </w:pPr>
            <w:r>
              <w:t xml:space="preserve">Cosmetic, documentation, test-script or test-environment problem with no effect on data</w:t>
            </w:r>
          </w:p>
        </w:tc>
        <w:tc>
          <w:tcPr>
            <w:tcW w:type="dxa" w:w="3688"/>
          </w:tcPr>
          <w:p>
            <w:pPr>
              <w:pStyle w:val="Compact"/>
              <w:jc w:val="left"/>
            </w:pPr>
            <w:r>
              <w:t xml:space="preserve">Recorded; corrected when convenient</w:t>
            </w:r>
          </w:p>
        </w:tc>
      </w:tr>
    </w:tbl>
    <w:p>
      <w:pPr>
        <w:pStyle w:val="BodyText"/>
      </w:pPr>
      <w:r>
        <w:t xml:space="preserve">A deviation caused by an error in the test case itself is corrected in the test case, and the</w:t>
      </w:r>
      <w:r>
        <w:t xml:space="preserve"> </w:t>
      </w:r>
      <w:r>
        <w:t xml:space="preserve">step is re-executed. When a fix is made, the affected test cases are re-executed. Where</w:t>
      </w:r>
      <w:r>
        <w:t xml:space="preserve"> </w:t>
      </w:r>
      <w:r>
        <w:t xml:space="preserve">previously passed tests are not repeated, the reason is recorded.</w:t>
      </w:r>
    </w:p>
    <w:bookmarkEnd w:id="38"/>
    <w:bookmarkStart w:id="39" w:name="acceptance-criteria"/>
    <w:p>
      <w:pPr>
        <w:pStyle w:val="Heading1"/>
      </w:pPr>
      <w:r>
        <w:t xml:space="preserve">9. Acceptance criteria</w:t>
      </w:r>
    </w:p>
    <w:p>
      <w:pPr>
        <w:pStyle w:val="FirstParagraph"/>
      </w:pPr>
      <w:r>
        <w:t xml:space="preserve">The system is declared fit for its intended use when all of the following hold:</w:t>
      </w:r>
    </w:p>
    <w:p>
      <w:pPr>
        <w:pStyle w:val="Compact"/>
        <w:numPr>
          <w:ilvl w:val="0"/>
          <w:numId w:val="1009"/>
        </w:numPr>
      </w:pPr>
      <w:r>
        <w:t xml:space="preserve">All documents in section 5 are approved.</w:t>
      </w:r>
    </w:p>
    <w:p>
      <w:pPr>
        <w:pStyle w:val="Compact"/>
        <w:numPr>
          <w:ilvl w:val="0"/>
          <w:numId w:val="1009"/>
        </w:numPr>
      </w:pPr>
      <w:r>
        <w:t xml:space="preserve">All IQ test cases pass.</w:t>
      </w:r>
    </w:p>
    <w:p>
      <w:pPr>
        <w:pStyle w:val="Compact"/>
        <w:numPr>
          <w:ilvl w:val="0"/>
          <w:numId w:val="1009"/>
        </w:numPr>
      </w:pPr>
      <w:r>
        <w:t xml:space="preserve">All OQ and PQ test cases for High and Medium risk requirements pass, or their deviations</w:t>
      </w:r>
      <w:r>
        <w:t xml:space="preserve"> </w:t>
      </w:r>
      <w:r>
        <w:t xml:space="preserve">are resolved under section 8.</w:t>
      </w:r>
    </w:p>
    <w:p>
      <w:pPr>
        <w:pStyle w:val="Compact"/>
        <w:numPr>
          <w:ilvl w:val="0"/>
          <w:numId w:val="1009"/>
        </w:numPr>
      </w:pPr>
      <w:r>
        <w:t xml:space="preserve">All automated suites (AT) pass, or their deviations are resolved.</w:t>
      </w:r>
    </w:p>
    <w:p>
      <w:pPr>
        <w:pStyle w:val="Compact"/>
        <w:numPr>
          <w:ilvl w:val="0"/>
          <w:numId w:val="1009"/>
        </w:numPr>
      </w:pPr>
      <w:r>
        <w:t xml:space="preserve">There is no open critical deviation.</w:t>
      </w:r>
    </w:p>
    <w:p>
      <w:pPr>
        <w:pStyle w:val="Compact"/>
        <w:numPr>
          <w:ilvl w:val="0"/>
          <w:numId w:val="1009"/>
        </w:numPr>
      </w:pPr>
      <w:r>
        <w:t xml:space="preserve">Every requirement is traced to a passed test or an approved procedural control, or to an</w:t>
      </w:r>
      <w:r>
        <w:t xml:space="preserve"> </w:t>
      </w:r>
      <w:r>
        <w:t xml:space="preserve">accepted residual risk.</w:t>
      </w:r>
    </w:p>
    <w:p>
      <w:pPr>
        <w:pStyle w:val="Compact"/>
        <w:numPr>
          <w:ilvl w:val="0"/>
          <w:numId w:val="1009"/>
        </w:numPr>
      </w:pPr>
      <w:r>
        <w:t xml:space="preserve">The residual risk register has been reviewed and accepted by the Approver.</w:t>
      </w:r>
    </w:p>
    <w:p>
      <w:pPr>
        <w:pStyle w:val="Compact"/>
        <w:numPr>
          <w:ilvl w:val="0"/>
          <w:numId w:val="1009"/>
        </w:numPr>
      </w:pPr>
      <w:r>
        <w:t xml:space="preserve">The procedures in DK-SOP-001 are approved and the people who operate the system are</w:t>
      </w:r>
      <w:r>
        <w:t xml:space="preserve"> </w:t>
      </w:r>
      <w:r>
        <w:t xml:space="preserve">trained in them.</w:t>
      </w:r>
    </w:p>
    <w:bookmarkEnd w:id="39"/>
    <w:bookmarkStart w:id="40" w:name="service-providers"/>
    <w:p>
      <w:pPr>
        <w:pStyle w:val="Heading1"/>
      </w:pPr>
      <w:r>
        <w:t xml:space="preserve">10. Service providers</w:t>
      </w:r>
    </w:p>
    <w:p>
      <w:pPr>
        <w:pStyle w:val="FirstParagraph"/>
      </w:pPr>
      <w:r>
        <w:t xml:space="preserve">Hosting providers are assessed in DK-VAL-002, section 6. Installation qualification (IQ-07)</w:t>
      </w:r>
      <w:r>
        <w:t xml:space="preserve"> </w:t>
      </w:r>
      <w:r>
        <w:t xml:space="preserve">records the facts of the production configuration from the provider accounts. The</w:t>
      </w:r>
      <w:r>
        <w:t xml:space="preserve"> </w:t>
      </w:r>
      <w:r>
        <w:t xml:space="preserve">assessment is renewed at each periodic review, and whenever a provider or plan changes.</w:t>
      </w:r>
    </w:p>
    <w:bookmarkEnd w:id="40"/>
    <w:bookmarkStart w:id="41" w:name="maintaining-the-validated-state"/>
    <w:p>
      <w:pPr>
        <w:pStyle w:val="Heading1"/>
      </w:pPr>
      <w:r>
        <w:t xml:space="preserve">11. Maintaining the validated state</w:t>
      </w:r>
    </w:p>
    <w:p>
      <w:pPr>
        <w:pStyle w:val="FirstParagraph"/>
      </w:pPr>
      <w:r>
        <w:t xml:space="preserve">After release, the validated state is maintained by DK-SOP-001:</w:t>
      </w:r>
    </w:p>
    <w:p>
      <w:pPr>
        <w:pStyle w:val="Compact"/>
        <w:numPr>
          <w:ilvl w:val="0"/>
          <w:numId w:val="1010"/>
        </w:numPr>
      </w:pPr>
      <w:r>
        <w:t xml:space="preserve">change control and release (section 4);</w:t>
      </w:r>
    </w:p>
    <w:p>
      <w:pPr>
        <w:pStyle w:val="Compact"/>
        <w:numPr>
          <w:ilvl w:val="0"/>
          <w:numId w:val="1010"/>
        </w:numPr>
      </w:pPr>
      <w:r>
        <w:t xml:space="preserve">access management (section 5);</w:t>
      </w:r>
    </w:p>
    <w:p>
      <w:pPr>
        <w:pStyle w:val="Compact"/>
        <w:numPr>
          <w:ilvl w:val="0"/>
          <w:numId w:val="1010"/>
        </w:numPr>
      </w:pPr>
      <w:r>
        <w:t xml:space="preserve">audit-trail review (section 6);</w:t>
      </w:r>
    </w:p>
    <w:p>
      <w:pPr>
        <w:pStyle w:val="Compact"/>
        <w:numPr>
          <w:ilvl w:val="0"/>
          <w:numId w:val="1010"/>
        </w:numPr>
      </w:pPr>
      <w:r>
        <w:t xml:space="preserve">backup and restore testing (section 7);</w:t>
      </w:r>
    </w:p>
    <w:p>
      <w:pPr>
        <w:pStyle w:val="Compact"/>
        <w:numPr>
          <w:ilvl w:val="0"/>
          <w:numId w:val="1010"/>
        </w:numPr>
      </w:pPr>
      <w:r>
        <w:t xml:space="preserve">incident management (section 8);</w:t>
      </w:r>
    </w:p>
    <w:p>
      <w:pPr>
        <w:pStyle w:val="Compact"/>
        <w:numPr>
          <w:ilvl w:val="0"/>
          <w:numId w:val="1010"/>
        </w:numPr>
      </w:pPr>
      <w:r>
        <w:t xml:space="preserve">security (section 9);</w:t>
      </w:r>
    </w:p>
    <w:p>
      <w:pPr>
        <w:pStyle w:val="Compact"/>
        <w:numPr>
          <w:ilvl w:val="0"/>
          <w:numId w:val="1010"/>
        </w:numPr>
      </w:pPr>
      <w:r>
        <w:t xml:space="preserve">periodic review (section 11);</w:t>
      </w:r>
    </w:p>
    <w:p>
      <w:pPr>
        <w:pStyle w:val="Compact"/>
        <w:numPr>
          <w:ilvl w:val="0"/>
          <w:numId w:val="1010"/>
        </w:numPr>
      </w:pPr>
      <w:r>
        <w:t xml:space="preserve">training (section 12);</w:t>
      </w:r>
    </w:p>
    <w:p>
      <w:pPr>
        <w:pStyle w:val="Compact"/>
        <w:numPr>
          <w:ilvl w:val="0"/>
          <w:numId w:val="1010"/>
        </w:numPr>
      </w:pPr>
      <w:r>
        <w:t xml:space="preserve">retention (section 13).</w:t>
      </w:r>
    </w:p>
    <w:p>
      <w:pPr>
        <w:pStyle w:val="FirstParagraph"/>
      </w:pPr>
      <w:r>
        <w:t xml:space="preserve">The validation documents of every version used in a study are retained for as long as that</w:t>
      </w:r>
      <w:r>
        <w:t xml:space="preserve"> </w:t>
      </w:r>
      <w:r>
        <w:t xml:space="preserve">study’s records.</w:t>
      </w:r>
    </w:p>
    <w:bookmarkEnd w:id="41"/>
    <w:bookmarkStart w:id="42" w:name="glossary"/>
    <w:p>
      <w:pPr>
        <w:pStyle w:val="Heading1"/>
      </w:pPr>
      <w:r>
        <w:t xml:space="preserve">12. Glossary</w:t>
      </w:r>
    </w:p>
    <w:tbl>
      <w:tblPr>
        <w:tblStyle w:val="Table"/>
        <w:tblW w:type="dxa" w:w="963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713"/>
        <w:gridCol w:w="7924"/>
      </w:tblGrid>
      <w:tr>
        <w:trPr>
          <w:cantSplit/>
          <w:tblHeader w:val="true"/>
        </w:trPr>
        <w:tc>
          <w:tcPr>
            <w:tcW w:type="dxa" w:w="171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>
            <w:tcW w:type="dxa" w:w="792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rPr>
          <w:cantSplit/>
        </w:trPr>
        <w:tc>
          <w:tcPr>
            <w:tcW w:type="dxa" w:w="1713"/>
          </w:tcPr>
          <w:p>
            <w:pPr>
              <w:pStyle w:val="Compact"/>
              <w:jc w:val="left"/>
            </w:pPr>
            <w:r>
              <w:t xml:space="preserve">ALCOA+</w:t>
            </w:r>
          </w:p>
        </w:tc>
        <w:tc>
          <w:tcPr>
            <w:tcW w:type="dxa" w:w="7924"/>
          </w:tcPr>
          <w:p>
            <w:pPr>
              <w:pStyle w:val="Compact"/>
              <w:jc w:val="left"/>
            </w:pPr>
            <w:r>
              <w:t xml:space="preserve">Data that is Attributable, Legible, Contemporaneous, Original, Accurate, Complete, Consistent, Enduring and Available</w:t>
            </w:r>
          </w:p>
        </w:tc>
      </w:tr>
      <w:tr>
        <w:trPr>
          <w:cantSplit/>
        </w:trPr>
        <w:tc>
          <w:tcPr>
            <w:tcW w:type="dxa" w:w="1713"/>
          </w:tcPr>
          <w:p>
            <w:pPr>
              <w:pStyle w:val="Compact"/>
              <w:jc w:val="left"/>
            </w:pPr>
            <w:r>
              <w:t xml:space="preserve">Audit trail</w:t>
            </w:r>
          </w:p>
        </w:tc>
        <w:tc>
          <w:tcPr>
            <w:tcW w:type="dxa" w:w="7924"/>
          </w:tcPr>
          <w:p>
            <w:pPr>
              <w:pStyle w:val="Compact"/>
              <w:jc w:val="left"/>
            </w:pPr>
            <w:r>
              <w:t xml:space="preserve">A secure, computer-generated, time-stamped record of who did what and when, with values before and after</w:t>
            </w:r>
          </w:p>
        </w:tc>
      </w:tr>
      <w:tr>
        <w:trPr>
          <w:cantSplit/>
        </w:trPr>
        <w:tc>
          <w:tcPr>
            <w:tcW w:type="dxa" w:w="1713"/>
          </w:tcPr>
          <w:p>
            <w:pPr>
              <w:pStyle w:val="Compact"/>
              <w:jc w:val="left"/>
            </w:pPr>
            <w:r>
              <w:t xml:space="preserve">CAPA</w:t>
            </w:r>
          </w:p>
        </w:tc>
        <w:tc>
          <w:tcPr>
            <w:tcW w:type="dxa" w:w="7924"/>
          </w:tcPr>
          <w:p>
            <w:pPr>
              <w:pStyle w:val="Compact"/>
              <w:jc w:val="left"/>
            </w:pPr>
            <w:r>
              <w:t xml:space="preserve">Corrective and preventive action</w:t>
            </w:r>
          </w:p>
        </w:tc>
      </w:tr>
      <w:tr>
        <w:trPr>
          <w:cantSplit/>
        </w:trPr>
        <w:tc>
          <w:tcPr>
            <w:tcW w:type="dxa" w:w="1713"/>
          </w:tcPr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>
            <w:tcW w:type="dxa" w:w="7924"/>
          </w:tcPr>
          <w:p>
            <w:pPr>
              <w:pStyle w:val="Compact"/>
              <w:jc w:val="left"/>
            </w:pPr>
            <w:r>
              <w:t xml:space="preserve">A difference between the expected and the actual result of a test</w:t>
            </w:r>
          </w:p>
        </w:tc>
      </w:tr>
      <w:tr>
        <w:trPr>
          <w:cantSplit/>
        </w:trPr>
        <w:tc>
          <w:tcPr>
            <w:tcW w:type="dxa" w:w="1713"/>
          </w:tcPr>
          <w:p>
            <w:pPr>
              <w:pStyle w:val="Compact"/>
              <w:jc w:val="left"/>
            </w:pPr>
            <w:r>
              <w:t xml:space="preserve">Field credential</w:t>
            </w:r>
          </w:p>
        </w:tc>
        <w:tc>
          <w:tcPr>
            <w:tcW w:type="dxa" w:w="7924"/>
          </w:tcPr>
          <w:p>
            <w:pPr>
              <w:pStyle w:val="Compact"/>
              <w:jc w:val="left"/>
            </w:pPr>
            <w:r>
              <w:t xml:space="preserve">A project code, username and password used by the field application to synchronise</w:t>
            </w:r>
          </w:p>
        </w:tc>
      </w:tr>
      <w:tr>
        <w:trPr>
          <w:cantSplit/>
        </w:trPr>
        <w:tc>
          <w:tcPr>
            <w:tcW w:type="dxa" w:w="1713"/>
          </w:tcPr>
          <w:p>
            <w:pPr>
              <w:pStyle w:val="Compact"/>
              <w:jc w:val="left"/>
            </w:pPr>
            <w:r>
              <w:t xml:space="preserve">IQ, OQ, PQ</w:t>
            </w:r>
          </w:p>
        </w:tc>
        <w:tc>
          <w:tcPr>
            <w:tcW w:type="dxa" w:w="7924"/>
          </w:tcPr>
          <w:p>
            <w:pPr>
              <w:pStyle w:val="Compact"/>
              <w:jc w:val="left"/>
            </w:pPr>
            <w:r>
              <w:t xml:space="preserve">Installation, Operational and Performance Qualification</w:t>
            </w:r>
          </w:p>
        </w:tc>
      </w:tr>
      <w:tr>
        <w:trPr>
          <w:cantSplit/>
        </w:trPr>
        <w:tc>
          <w:tcPr>
            <w:tcW w:type="dxa" w:w="1713"/>
          </w:tcPr>
          <w:p>
            <w:pPr>
              <w:pStyle w:val="Compact"/>
              <w:jc w:val="left"/>
            </w:pPr>
            <w:r>
              <w:t xml:space="preserve">Migration</w:t>
            </w:r>
          </w:p>
        </w:tc>
        <w:tc>
          <w:tcPr>
            <w:tcW w:type="dxa" w:w="7924"/>
          </w:tcPr>
          <w:p>
            <w:pPr>
              <w:pStyle w:val="Compact"/>
              <w:jc w:val="left"/>
            </w:pPr>
            <w:r>
              <w:t xml:space="preserve">A version-controlled script that changes the database schema</w:t>
            </w:r>
          </w:p>
        </w:tc>
      </w:tr>
      <w:tr>
        <w:trPr>
          <w:cantSplit/>
        </w:trPr>
        <w:tc>
          <w:tcPr>
            <w:tcW w:type="dxa" w:w="1713"/>
          </w:tcPr>
          <w:p>
            <w:pPr>
              <w:pStyle w:val="Compact"/>
              <w:jc w:val="left"/>
            </w:pPr>
            <w:r>
              <w:t xml:space="preserve">Survey package</w:t>
            </w:r>
          </w:p>
        </w:tc>
        <w:tc>
          <w:tcPr>
            <w:tcW w:type="dxa" w:w="7924"/>
          </w:tcPr>
          <w:p>
            <w:pPr>
              <w:pStyle w:val="Compact"/>
              <w:jc w:val="left"/>
            </w:pPr>
            <w:r>
              <w:t xml:space="preserve">The ZIP file containing a study’s form definitions and manifest</w:t>
            </w:r>
          </w:p>
        </w:tc>
      </w:tr>
      <w:tr>
        <w:trPr>
          <w:cantSplit/>
        </w:trPr>
        <w:tc>
          <w:tcPr>
            <w:tcW w:type="dxa" w:w="1713"/>
          </w:tcPr>
          <w:p>
            <w:pPr>
              <w:pStyle w:val="Compact"/>
              <w:jc w:val="left"/>
            </w:pPr>
            <w:r>
              <w:t xml:space="preserve">Traceability</w:t>
            </w:r>
          </w:p>
        </w:tc>
        <w:tc>
          <w:tcPr>
            <w:tcW w:type="dxa" w:w="7924"/>
          </w:tcPr>
          <w:p>
            <w:pPr>
              <w:pStyle w:val="Compact"/>
              <w:jc w:val="left"/>
            </w:pPr>
            <w:r>
              <w:t xml:space="preserve">The documented link between each requirement and the test or procedure that verifies it</w:t>
            </w:r>
          </w:p>
        </w:tc>
      </w:tr>
      <w:tr>
        <w:trPr>
          <w:cantSplit/>
        </w:trPr>
        <w:tc>
          <w:tcPr>
            <w:tcW w:type="dxa" w:w="1713"/>
          </w:tcPr>
          <w:p>
            <w:pPr>
              <w:pStyle w:val="Compact"/>
              <w:jc w:val="left"/>
            </w:pPr>
            <w:r>
              <w:t xml:space="preserve">URS</w:t>
            </w:r>
          </w:p>
        </w:tc>
        <w:tc>
          <w:tcPr>
            <w:tcW w:type="dxa" w:w="7924"/>
          </w:tcPr>
          <w:p>
            <w:pPr>
              <w:pStyle w:val="Compact"/>
              <w:jc w:val="left"/>
            </w:pPr>
            <w:r>
              <w:t xml:space="preserve">User Requirements Specification</w:t>
            </w:r>
          </w:p>
        </w:tc>
      </w:tr>
    </w:tbl>
    <w:bookmarkEnd w:id="42"/>
    <w:sectPr>
      <w:headerReference w:type="default" r:id="rId9"/>
      <w:footerReference w:type="default" r:id="rId10"/>
      <w:pgSz w:w="11906" w:h="16838"/>
      <w:pgMar w:bottom="1134" w:left="1134" w:right="1134" w:top="1134" w:header="567" w:footer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sz w:val="16"/>
      </w:rPr>
    </w:r>
    <w:r>
      <w:rPr>
        <w:sz w:val="16"/>
      </w:rPr>
      <w:t>IDRC — controlled document. Printed copies are uncontrolled unless signed.</w:t>
      <w:tab/>
    </w:r>
    <w:r>
      <w:rPr>
        <w:sz w:val="16"/>
      </w:rPr>
      <w:t xml:space="preserve">Page </w:t>
    </w:r>
    <w:r>
      <w:rPr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</w:pPr>
    <w:r/>
    <w:r>
      <w:rPr>
        <w:color w:val="1F3A5F"/>
        <w:sz w:val="17"/>
      </w:rPr>
      <w:t>DataKollecta — Validation Plan</w:t>
    </w:r>
    <w:r>
      <w:tab/>
    </w:r>
    <w:r>
      <w:rPr>
        <w:color w:val="1F3A5F"/>
        <w:sz w:val="17"/>
      </w:rPr>
      <w:t>DK-VAL-001  ·  Version 1.0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sz w:val="21"/>
    </w:rPr>
  </w:style>
  <w:style w:styleId="BodyText" w:type="paragraph">
    <w:name w:val="Body Text"/>
    <w:basedOn w:val="Normal"/>
    <w:link w:val="BodyTextChar"/>
    <w:pPr>
      <w:spacing w:after="120" w:before="0"/>
    </w:pPr>
    <w:qFormat/>
    <w:rPr>
      <w:rFonts w:ascii="Calibri" w:cs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/>
    </w:pPr>
    <w:rPr>
      <w:rFonts w:ascii="Calibri" w:cs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sz w:val="18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val="1F3A5F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b w:val="0"/>
      <w:color w:val="1F3A5F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2026-10-08T13:19:43Z</dcterms:created>
  <dcterms:modified xsi:type="dcterms:W3CDTF">2026-10-08T13:19:43Z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