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DataKollecta</w:t>
      </w:r>
    </w:p>
    <w:p>
      <w:pPr>
        <w:pStyle w:val="Subtitle"/>
      </w:pPr>
      <w:r>
        <w:t xml:space="preserve">User Requirements Specification and Risk Assessment</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3973"/>
        <w:gridCol w:w="10596"/>
      </w:tblGrid>
      <w:tr>
        <w:trPr>
          <w:cantSplit/>
          <w:tblHeader w:val="true"/>
        </w:trPr>
        <w:tc>
          <w:tcPr>
            <w:tcW w:type="dxa" w:w="3973"/>
            <w:shd w:val="clear" w:color="auto" w:fill="DCE4EE"/>
          </w:tcPr>
          <w:p>
            <w:pPr>
              <w:pStyle w:val="Compact"/>
              <w:jc w:val="left"/>
            </w:pPr>
            <w:r>
              <w:t xml:space="preserve">Document control</w:t>
            </w:r>
          </w:p>
        </w:tc>
        <w:tc>
          <w:tcPr>
            <w:tcW w:type="dxa" w:w="10596"/>
            <w:shd w:val="clear" w:color="auto" w:fill="DCE4EE"/>
          </w:tcPr>
          <w:p>
            <w:pPr>
              <w:pStyle w:val="Compact"/>
            </w:pPr>
          </w:p>
        </w:tc>
      </w:tr>
      <w:tr>
        <w:trPr>
          <w:cantSplit/>
        </w:trPr>
        <w:tc>
          <w:tcPr>
            <w:tcW w:type="dxa" w:w="3973"/>
          </w:tcPr>
          <w:p>
            <w:pPr>
              <w:pStyle w:val="Compact"/>
              <w:jc w:val="left"/>
            </w:pPr>
            <w:r>
              <w:rPr>
                <w:bCs/>
                <w:b/>
              </w:rPr>
              <w:t xml:space="preserve">Document ID</w:t>
            </w:r>
          </w:p>
        </w:tc>
        <w:tc>
          <w:tcPr>
            <w:tcW w:type="dxa" w:w="10596"/>
          </w:tcPr>
          <w:p>
            <w:pPr>
              <w:pStyle w:val="Compact"/>
              <w:jc w:val="left"/>
            </w:pPr>
            <w:r>
              <w:t xml:space="preserve">DK-VAL-002</w:t>
            </w:r>
          </w:p>
        </w:tc>
      </w:tr>
      <w:tr>
        <w:trPr>
          <w:cantSplit/>
        </w:trPr>
        <w:tc>
          <w:tcPr>
            <w:tcW w:type="dxa" w:w="3973"/>
          </w:tcPr>
          <w:p>
            <w:pPr>
              <w:pStyle w:val="Compact"/>
              <w:jc w:val="left"/>
            </w:pPr>
            <w:r>
              <w:rPr>
                <w:bCs/>
                <w:b/>
              </w:rPr>
              <w:t xml:space="preserve">Version</w:t>
            </w:r>
          </w:p>
        </w:tc>
        <w:tc>
          <w:tcPr>
            <w:tcW w:type="dxa" w:w="10596"/>
          </w:tcPr>
          <w:p>
            <w:pPr>
              <w:pStyle w:val="Compact"/>
              <w:jc w:val="left"/>
            </w:pPr>
            <w:r>
              <w:t xml:space="preserve">1.0</w:t>
            </w:r>
          </w:p>
        </w:tc>
      </w:tr>
      <w:tr>
        <w:trPr>
          <w:cantSplit/>
        </w:trPr>
        <w:tc>
          <w:tcPr>
            <w:tcW w:type="dxa" w:w="3973"/>
          </w:tcPr>
          <w:p>
            <w:pPr>
              <w:pStyle w:val="Compact"/>
              <w:jc w:val="left"/>
            </w:pPr>
            <w:r>
              <w:rPr>
                <w:bCs/>
                <w:b/>
              </w:rPr>
              <w:t xml:space="preserve">Status</w:t>
            </w:r>
          </w:p>
        </w:tc>
        <w:tc>
          <w:tcPr>
            <w:tcW w:type="dxa" w:w="10596"/>
          </w:tcPr>
          <w:p>
            <w:pPr>
              <w:pStyle w:val="Compact"/>
              <w:jc w:val="left"/>
            </w:pPr>
            <w:r>
              <w:t xml:space="preserve">Approved for use once signed below</w:t>
            </w:r>
          </w:p>
        </w:tc>
      </w:tr>
      <w:tr>
        <w:trPr>
          <w:cantSplit/>
        </w:trPr>
        <w:tc>
          <w:tcPr>
            <w:tcW w:type="dxa" w:w="3973"/>
          </w:tcPr>
          <w:p>
            <w:pPr>
              <w:pStyle w:val="Compact"/>
              <w:jc w:val="left"/>
            </w:pPr>
            <w:r>
              <w:rPr>
                <w:bCs/>
                <w:b/>
              </w:rPr>
              <w:t xml:space="preserve">Organisation</w:t>
            </w:r>
          </w:p>
        </w:tc>
        <w:tc>
          <w:tcPr>
            <w:tcW w:type="dxa" w:w="10596"/>
          </w:tcPr>
          <w:p>
            <w:pPr>
              <w:pStyle w:val="Compact"/>
              <w:jc w:val="left"/>
            </w:pPr>
            <w:r>
              <w:t xml:space="preserve">IDRC</w:t>
            </w:r>
          </w:p>
        </w:tc>
      </w:tr>
      <w:tr>
        <w:trPr>
          <w:cantSplit/>
        </w:trPr>
        <w:tc>
          <w:tcPr>
            <w:tcW w:type="dxa" w:w="3973"/>
          </w:tcPr>
          <w:p>
            <w:pPr>
              <w:pStyle w:val="Compact"/>
              <w:jc w:val="left"/>
            </w:pPr>
            <w:r>
              <w:rPr>
                <w:bCs/>
                <w:b/>
              </w:rPr>
              <w:t xml:space="preserve">System</w:t>
            </w:r>
          </w:p>
        </w:tc>
        <w:tc>
          <w:tcPr>
            <w:tcW w:type="dxa" w:w="10596"/>
          </w:tcPr>
          <w:p>
            <w:pPr>
              <w:pStyle w:val="Compact"/>
              <w:jc w:val="left"/>
            </w:pPr>
            <w:r>
              <w:t xml:space="preserve">DataKollecta electronic data capture system (field application, web portal and server, survey tools)</w:t>
            </w:r>
          </w:p>
        </w:tc>
      </w:tr>
      <w:tr>
        <w:trPr>
          <w:cantSplit/>
        </w:trPr>
        <w:tc>
          <w:tcPr>
            <w:tcW w:type="dxa" w:w="3973"/>
          </w:tcPr>
          <w:p>
            <w:pPr>
              <w:pStyle w:val="Compact"/>
              <w:jc w:val="left"/>
            </w:pPr>
            <w:r>
              <w:rPr>
                <w:bCs/>
                <w:b/>
              </w:rPr>
              <w:t xml:space="preserve">Effective date</w:t>
            </w:r>
          </w:p>
        </w:tc>
        <w:tc>
          <w:tcPr>
            <w:tcW w:type="dxa" w:w="10596"/>
          </w:tcPr>
          <w:p>
            <w:pPr>
              <w:pStyle w:val="Compact"/>
              <w:jc w:val="left"/>
            </w:pPr>
            <w:r>
              <w:t xml:space="preserve">Date of final approval signature</w:t>
            </w:r>
          </w:p>
        </w:tc>
      </w:tr>
      <w:tr>
        <w:trPr>
          <w:cantSplit/>
        </w:trPr>
        <w:tc>
          <w:tcPr>
            <w:tcW w:type="dxa" w:w="3973"/>
          </w:tcPr>
          <w:p>
            <w:pPr>
              <w:pStyle w:val="Compact"/>
              <w:jc w:val="left"/>
            </w:pPr>
            <w:r>
              <w:rPr>
                <w:bCs/>
                <w:b/>
              </w:rPr>
              <w:t xml:space="preserve">Supersedes</w:t>
            </w:r>
          </w:p>
        </w:tc>
        <w:tc>
          <w:tcPr>
            <w:tcW w:type="dxa" w:w="10596"/>
          </w:tcPr>
          <w:p>
            <w:pPr>
              <w:pStyle w:val="Compact"/>
              <w:jc w:val="left"/>
            </w:pPr>
            <w:r>
              <w:t xml:space="preserve">None (first issue)</w:t>
            </w:r>
          </w:p>
        </w:tc>
      </w:tr>
    </w:tbl>
    <w:bookmarkStart w:id="20" w:name="approval"/>
    <w:p>
      <w:pPr>
        <w:pStyle w:val="Heading2"/>
      </w:pPr>
      <w:r>
        <w:t xml:space="preserve">Approval</w:t>
      </w:r>
    </w:p>
    <w:p>
      <w:pPr>
        <w:pStyle w:val="FirstParagraph"/>
      </w:pPr>
      <w:r>
        <w:t xml:space="preserve">By signing, each person confirms that they have reviewed this document and that it is</w:t>
      </w:r>
      <w:r>
        <w:t xml:space="preserve"> </w:t>
      </w:r>
      <w:r>
        <w:t xml:space="preserve">accurate and fit for its stated purpose. The document is effective from the date of the</w:t>
      </w:r>
      <w:r>
        <w:t xml:space="preserve"> </w:t>
      </w:r>
      <w:r>
        <w:t xml:space="preserve">last signature.</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1860"/>
        <w:gridCol w:w="4649"/>
        <w:gridCol w:w="3100"/>
        <w:gridCol w:w="3100"/>
        <w:gridCol w:w="1860"/>
      </w:tblGrid>
      <w:tr>
        <w:trPr>
          <w:cantSplit/>
          <w:tblHeader w:val="true"/>
        </w:trPr>
        <w:tc>
          <w:tcPr>
            <w:tcW w:type="dxa" w:w="1860"/>
            <w:shd w:val="clear" w:color="auto" w:fill="DCE4EE"/>
          </w:tcPr>
          <w:p>
            <w:pPr>
              <w:pStyle w:val="Compact"/>
              <w:keepNext/>
              <w:jc w:val="left"/>
            </w:pPr>
            <w:r>
              <w:t xml:space="preserve">Signatory</w:t>
            </w:r>
          </w:p>
        </w:tc>
        <w:tc>
          <w:tcPr>
            <w:tcW w:type="dxa" w:w="4649"/>
            <w:shd w:val="clear" w:color="auto" w:fill="DCE4EE"/>
          </w:tcPr>
          <w:p>
            <w:pPr>
              <w:pStyle w:val="Compact"/>
              <w:keepNext/>
              <w:jc w:val="left"/>
            </w:pPr>
            <w:r>
              <w:t xml:space="preserve">Role</w:t>
            </w:r>
          </w:p>
        </w:tc>
        <w:tc>
          <w:tcPr>
            <w:tcW w:type="dxa" w:w="3100"/>
            <w:shd w:val="clear" w:color="auto" w:fill="DCE4EE"/>
          </w:tcPr>
          <w:p>
            <w:pPr>
              <w:pStyle w:val="Compact"/>
              <w:keepNext/>
              <w:jc w:val="left"/>
            </w:pPr>
            <w:r>
              <w:t xml:space="preserve">Name</w:t>
            </w:r>
          </w:p>
        </w:tc>
        <w:tc>
          <w:tcPr>
            <w:tcW w:type="dxa" w:w="3100"/>
            <w:shd w:val="clear" w:color="auto" w:fill="DCE4EE"/>
          </w:tcPr>
          <w:p>
            <w:pPr>
              <w:pStyle w:val="Compact"/>
              <w:keepNext/>
              <w:jc w:val="left"/>
            </w:pPr>
            <w:r>
              <w:t xml:space="preserve">Signature</w:t>
            </w:r>
          </w:p>
        </w:tc>
        <w:tc>
          <w:tcPr>
            <w:tcW w:type="dxa" w:w="1860"/>
            <w:shd w:val="clear" w:color="auto" w:fill="DCE4EE"/>
          </w:tcPr>
          <w:p>
            <w:pPr>
              <w:pStyle w:val="Compact"/>
              <w:keepNext/>
              <w:jc w:val="left"/>
            </w:pPr>
            <w:r>
              <w:t xml:space="preserve">Date</w:t>
            </w:r>
          </w:p>
        </w:tc>
      </w:tr>
      <w:tr>
        <w:trPr>
          <w:cantSplit/>
          <w:trHeight w:val="567"/>
        </w:trPr>
        <w:tc>
          <w:tcPr>
            <w:tcW w:type="dxa" w:w="1860"/>
          </w:tcPr>
          <w:p>
            <w:pPr>
              <w:pStyle w:val="Compact"/>
              <w:keepNext/>
              <w:jc w:val="left"/>
            </w:pPr>
            <w:r>
              <w:rPr>
                <w:bCs/>
                <w:b/>
              </w:rPr>
              <w:t xml:space="preserve">Author</w:t>
            </w:r>
          </w:p>
        </w:tc>
        <w:tc>
          <w:tcPr>
            <w:tcW w:type="dxa" w:w="4649"/>
          </w:tcPr>
          <w:p>
            <w:pPr>
              <w:pStyle w:val="Compact"/>
              <w:keepNext/>
              <w:jc w:val="left"/>
            </w:pPr>
            <w:r>
              <w:t xml:space="preserve">System Owner / Lead Developer</w:t>
            </w:r>
          </w:p>
        </w:tc>
        <w:tc>
          <w:tcPr>
            <w:tcW w:type="dxa" w:w="3100"/>
          </w:tcPr>
          <w:p>
            <w:pPr>
              <w:pStyle w:val="Compact"/>
              <w:keepNext/>
            </w:pPr>
          </w:p>
        </w:tc>
        <w:tc>
          <w:tcPr>
            <w:tcW w:type="dxa" w:w="3100"/>
          </w:tcPr>
          <w:p>
            <w:pPr>
              <w:pStyle w:val="Compact"/>
              <w:keepNext/>
            </w:pPr>
          </w:p>
        </w:tc>
        <w:tc>
          <w:tcPr>
            <w:tcW w:type="dxa" w:w="1860"/>
          </w:tcPr>
          <w:p>
            <w:pPr>
              <w:pStyle w:val="Compact"/>
              <w:keepNext/>
            </w:pPr>
          </w:p>
        </w:tc>
      </w:tr>
      <w:tr>
        <w:trPr>
          <w:cantSplit/>
          <w:trHeight w:val="567"/>
        </w:trPr>
        <w:tc>
          <w:tcPr>
            <w:tcW w:type="dxa" w:w="1860"/>
          </w:tcPr>
          <w:p>
            <w:pPr>
              <w:pStyle w:val="Compact"/>
              <w:keepNext/>
              <w:jc w:val="left"/>
            </w:pPr>
            <w:r>
              <w:rPr>
                <w:bCs/>
                <w:b/>
              </w:rPr>
              <w:t xml:space="preserve">Reviewer</w:t>
            </w:r>
          </w:p>
        </w:tc>
        <w:tc>
          <w:tcPr>
            <w:tcW w:type="dxa" w:w="4649"/>
          </w:tcPr>
          <w:p>
            <w:pPr>
              <w:pStyle w:val="Compact"/>
              <w:keepNext/>
              <w:jc w:val="left"/>
            </w:pPr>
            <w:r>
              <w:t xml:space="preserve">Quality Assurance (independent of development)</w:t>
            </w:r>
          </w:p>
        </w:tc>
        <w:tc>
          <w:tcPr>
            <w:tcW w:type="dxa" w:w="3100"/>
          </w:tcPr>
          <w:p>
            <w:pPr>
              <w:pStyle w:val="Compact"/>
              <w:keepNext/>
            </w:pPr>
          </w:p>
        </w:tc>
        <w:tc>
          <w:tcPr>
            <w:tcW w:type="dxa" w:w="3100"/>
          </w:tcPr>
          <w:p>
            <w:pPr>
              <w:pStyle w:val="Compact"/>
              <w:keepNext/>
            </w:pPr>
          </w:p>
        </w:tc>
        <w:tc>
          <w:tcPr>
            <w:tcW w:type="dxa" w:w="1860"/>
          </w:tcPr>
          <w:p>
            <w:pPr>
              <w:pStyle w:val="Compact"/>
              <w:keepNext/>
            </w:pPr>
          </w:p>
        </w:tc>
      </w:tr>
      <w:tr>
        <w:trPr>
          <w:cantSplit/>
          <w:trHeight w:val="567"/>
        </w:trPr>
        <w:tc>
          <w:tcPr>
            <w:tcW w:type="dxa" w:w="1860"/>
          </w:tcPr>
          <w:p>
            <w:pPr>
              <w:pStyle w:val="Compact"/>
              <w:jc w:val="left"/>
            </w:pPr>
            <w:r>
              <w:rPr>
                <w:bCs/>
                <w:b/>
              </w:rPr>
              <w:t xml:space="preserve">Approver</w:t>
            </w:r>
          </w:p>
        </w:tc>
        <w:tc>
          <w:tcPr>
            <w:tcW w:type="dxa" w:w="4649"/>
          </w:tcPr>
          <w:p>
            <w:pPr>
              <w:pStyle w:val="Compact"/>
              <w:jc w:val="left"/>
            </w:pPr>
            <w:r>
              <w:t xml:space="preserve">Head of Data Management</w:t>
            </w:r>
          </w:p>
        </w:tc>
        <w:tc>
          <w:tcPr>
            <w:tcW w:type="dxa" w:w="3100"/>
          </w:tcPr>
          <w:p>
            <w:pPr>
              <w:pStyle w:val="Compact"/>
            </w:pPr>
          </w:p>
        </w:tc>
        <w:tc>
          <w:tcPr>
            <w:tcW w:type="dxa" w:w="3100"/>
          </w:tcPr>
          <w:p>
            <w:pPr>
              <w:pStyle w:val="Compact"/>
            </w:pPr>
          </w:p>
        </w:tc>
        <w:tc>
          <w:tcPr>
            <w:tcW w:type="dxa" w:w="1860"/>
          </w:tcPr>
          <w:p>
            <w:pPr>
              <w:pStyle w:val="Compact"/>
            </w:pPr>
          </w:p>
        </w:tc>
      </w:tr>
    </w:tbl>
    <w:bookmarkEnd w:id="20"/>
    <w:bookmarkStart w:id="21" w:name="revision-history"/>
    <w:p>
      <w:pPr>
        <w:pStyle w:val="Heading2"/>
      </w:pPr>
      <w:r>
        <w:t xml:space="preserve">Revision history</w:t>
      </w:r>
    </w:p>
    <w:tbl>
      <w:tblPr>
        <w:tblStyle w:val="Table"/>
        <w:tblW w:type="dxa" w:w="1456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1659"/>
        <w:gridCol w:w="1843"/>
        <w:gridCol w:w="8853"/>
        <w:gridCol w:w="2213"/>
      </w:tblGrid>
      <w:tr>
        <w:trPr>
          <w:cantSplit/>
          <w:tblHeader w:val="true"/>
        </w:trPr>
        <w:tc>
          <w:tcPr>
            <w:tcW w:type="dxa" w:w="1659"/>
            <w:shd w:val="clear" w:color="auto" w:fill="DCE4EE"/>
          </w:tcPr>
          <w:p>
            <w:pPr>
              <w:pStyle w:val="Compact"/>
              <w:jc w:val="left"/>
            </w:pPr>
            <w:r>
              <w:t xml:space="preserve">Version</w:t>
            </w:r>
          </w:p>
        </w:tc>
        <w:tc>
          <w:tcPr>
            <w:tcW w:type="dxa" w:w="1843"/>
            <w:shd w:val="clear" w:color="auto" w:fill="DCE4EE"/>
          </w:tcPr>
          <w:p>
            <w:pPr>
              <w:pStyle w:val="Compact"/>
              <w:jc w:val="left"/>
            </w:pPr>
            <w:r>
              <w:t xml:space="preserve">Date</w:t>
            </w:r>
          </w:p>
        </w:tc>
        <w:tc>
          <w:tcPr>
            <w:tcW w:type="dxa" w:w="8853"/>
            <w:shd w:val="clear" w:color="auto" w:fill="DCE4EE"/>
          </w:tcPr>
          <w:p>
            <w:pPr>
              <w:pStyle w:val="Compact"/>
              <w:jc w:val="left"/>
            </w:pPr>
            <w:r>
              <w:t xml:space="preserve">Description of change</w:t>
            </w:r>
          </w:p>
        </w:tc>
        <w:tc>
          <w:tcPr>
            <w:tcW w:type="dxa" w:w="2213"/>
            <w:shd w:val="clear" w:color="auto" w:fill="DCE4EE"/>
          </w:tcPr>
          <w:p>
            <w:pPr>
              <w:pStyle w:val="Compact"/>
              <w:jc w:val="left"/>
            </w:pPr>
            <w:r>
              <w:t xml:space="preserve">Author</w:t>
            </w:r>
          </w:p>
        </w:tc>
      </w:tr>
      <w:tr>
        <w:trPr>
          <w:cantSplit/>
        </w:trPr>
        <w:tc>
          <w:tcPr>
            <w:tcW w:type="dxa" w:w="1659"/>
          </w:tcPr>
          <w:p>
            <w:pPr>
              <w:pStyle w:val="Compact"/>
              <w:jc w:val="left"/>
            </w:pPr>
            <w:r>
              <w:t xml:space="preserve">1.0</w:t>
            </w:r>
          </w:p>
        </w:tc>
        <w:tc>
          <w:tcPr>
            <w:tcW w:type="dxa" w:w="1843"/>
          </w:tcPr>
          <w:p>
            <w:pPr>
              <w:pStyle w:val="Compact"/>
            </w:pPr>
          </w:p>
        </w:tc>
        <w:tc>
          <w:tcPr>
            <w:tcW w:type="dxa" w:w="8853"/>
          </w:tcPr>
          <w:p>
            <w:pPr>
              <w:pStyle w:val="Compact"/>
              <w:jc w:val="left"/>
            </w:pPr>
            <w:r>
              <w:t xml:space="preserve">First issue. Retrospective validation baseline.</w:t>
            </w:r>
          </w:p>
        </w:tc>
        <w:tc>
          <w:tcPr>
            <w:tcW w:type="dxa" w:w="2213"/>
          </w:tcPr>
          <w:p>
            <w:pPr>
              <w:pStyle w:val="Compact"/>
            </w:pPr>
          </w:p>
        </w:tc>
      </w:tr>
    </w:tbl>
    <w:bookmarkEnd w:id="21"/>
    <w:bookmarkStart w:id="22" w:name="purpose"/>
    <w:p>
      <w:pPr>
        <w:pStyle w:val="Heading1"/>
        <w:pageBreakBefore/>
      </w:pPr>
      <w:r>
        <w:t xml:space="preserve">1. Purpose</w:t>
      </w:r>
    </w:p>
    <w:p>
      <w:pPr>
        <w:pStyle w:val="FirstParagraph"/>
      </w:pPr>
      <w:r>
        <w:t xml:space="preserve">This document states what the DataKollecta system must do to be fit for its intended use,</w:t>
      </w:r>
      <w:r>
        <w:t xml:space="preserve"> </w:t>
      </w:r>
      <w:r>
        <w:t xml:space="preserve">and how much each requirement matters. It has three parts:</w:t>
      </w:r>
    </w:p>
    <w:p>
      <w:pPr>
        <w:pStyle w:val="Compact"/>
        <w:numPr>
          <w:ilvl w:val="0"/>
          <w:numId w:val="1001"/>
        </w:numPr>
      </w:pPr>
      <w:r>
        <w:rPr>
          <w:bCs/>
          <w:b/>
        </w:rPr>
        <w:t xml:space="preserve">User requirements (section 4).</w:t>
      </w:r>
      <w:r>
        <w:t xml:space="preserve"> </w:t>
      </w:r>
      <w:r>
        <w:t xml:space="preserve">Each requirement is numbered (URS-nnn), testable and</w:t>
      </w:r>
      <w:r>
        <w:t xml:space="preserve"> </w:t>
      </w:r>
      <w:r>
        <w:t xml:space="preserve">owned by the organisation. Requirements are the basis of validation: every requirement is</w:t>
      </w:r>
      <w:r>
        <w:t xml:space="preserve"> </w:t>
      </w:r>
      <w:r>
        <w:t xml:space="preserve">traced to at least one test case in the Test Protocol (DK-VAL-004) or, where it is met by a</w:t>
      </w:r>
      <w:r>
        <w:t xml:space="preserve"> </w:t>
      </w:r>
      <w:r>
        <w:t xml:space="preserve">procedure, to a section of the System Management SOP (DK-SOP-001). The trace is recorded</w:t>
      </w:r>
      <w:r>
        <w:t xml:space="preserve"> </w:t>
      </w:r>
      <w:r>
        <w:t xml:space="preserve">in the Validation Summary Report (DK-VAL-005).</w:t>
      </w:r>
    </w:p>
    <w:p>
      <w:pPr>
        <w:pStyle w:val="Compact"/>
        <w:numPr>
          <w:ilvl w:val="0"/>
          <w:numId w:val="1001"/>
        </w:numPr>
      </w:pPr>
      <w:r>
        <w:rPr>
          <w:bCs/>
          <w:b/>
        </w:rPr>
        <w:t xml:space="preserve">Risk assessment (sections 3 and 4).</w:t>
      </w:r>
      <w:r>
        <w:t xml:space="preserve"> </w:t>
      </w:r>
      <w:r>
        <w:t xml:space="preserve">Each requirement carries a risk rating, which sets</w:t>
      </w:r>
      <w:r>
        <w:t xml:space="preserve"> </w:t>
      </w:r>
      <w:r>
        <w:t xml:space="preserve">how deeply it is tested.</w:t>
      </w:r>
    </w:p>
    <w:p>
      <w:pPr>
        <w:pStyle w:val="Compact"/>
        <w:numPr>
          <w:ilvl w:val="0"/>
          <w:numId w:val="1001"/>
        </w:numPr>
      </w:pPr>
      <w:r>
        <w:rPr>
          <w:bCs/>
          <w:b/>
        </w:rPr>
        <w:t xml:space="preserve">Residual risk register (section 5) and service-provider assessment (section 6).</w:t>
      </w:r>
      <w:r>
        <w:t xml:space="preserve"> </w:t>
      </w:r>
      <w:r>
        <w:t xml:space="preserve">These</w:t>
      </w:r>
      <w:r>
        <w:t xml:space="preserve"> </w:t>
      </w:r>
      <w:r>
        <w:t xml:space="preserve">record known limitations of the current version and the controls that make each one</w:t>
      </w:r>
      <w:r>
        <w:t xml:space="preserve"> </w:t>
      </w:r>
      <w:r>
        <w:t xml:space="preserve">acceptable, and the assessment of the external platforms the system runs on.</w:t>
      </w:r>
    </w:p>
    <w:p>
      <w:pPr>
        <w:pStyle w:val="FirstParagraph"/>
      </w:pPr>
      <w:r>
        <w:t xml:space="preserve">The requirements describe the system as it is actually built, at the versions listed in the</w:t>
      </w:r>
      <w:r>
        <w:t xml:space="preserve"> </w:t>
      </w:r>
      <w:r>
        <w:t xml:space="preserve">Validation Plan (DK-VAL-001). Where the organisation needs something the system does not yet</w:t>
      </w:r>
      <w:r>
        <w:t xml:space="preserve"> </w:t>
      </w:r>
      <w:r>
        <w:t xml:space="preserve">do, the requirement is still stated, marked</w:t>
      </w:r>
      <w:r>
        <w:t xml:space="preserve"> </w:t>
      </w:r>
      <w:r>
        <w:rPr>
          <w:bCs/>
          <w:b/>
        </w:rPr>
        <w:t xml:space="preserve">Gap</w:t>
      </w:r>
      <w:r>
        <w:t xml:space="preserve">, and handled in the residual risk</w:t>
      </w:r>
      <w:r>
        <w:t xml:space="preserve"> </w:t>
      </w:r>
      <w:r>
        <w:t xml:space="preserve">register. This is so the gap stays visible rather than being dropped from the requirements.</w:t>
      </w:r>
    </w:p>
    <w:bookmarkEnd w:id="22"/>
    <w:bookmarkStart w:id="23" w:name="intended-use"/>
    <w:p>
      <w:pPr>
        <w:pStyle w:val="Heading1"/>
      </w:pPr>
      <w:r>
        <w:t xml:space="preserve">2. Intended use</w:t>
      </w:r>
    </w:p>
    <w:p>
      <w:pPr>
        <w:pStyle w:val="FirstParagraph"/>
      </w:pPr>
      <w:r>
        <w:t xml:space="preserve">DataKollecta is used to collect, store, manage and export research data, including data</w:t>
      </w:r>
      <w:r>
        <w:t xml:space="preserve"> </w:t>
      </w:r>
      <w:r>
        <w:t xml:space="preserve">collected in clinical and public-health studies. Data is captured on Android tablets and</w:t>
      </w:r>
      <w:r>
        <w:t xml:space="preserve"> </w:t>
      </w:r>
      <w:r>
        <w:t xml:space="preserve">phones, and on Windows computers, by trained interviewers, often offline and in the field. It</w:t>
      </w:r>
      <w:r>
        <w:t xml:space="preserve"> </w:t>
      </w:r>
      <w:r>
        <w:t xml:space="preserve">is synchronised to a central server when a connection is available, and reviewed and</w:t>
      </w:r>
      <w:r>
        <w:t xml:space="preserve"> </w:t>
      </w:r>
      <w:r>
        <w:t xml:space="preserve">exported by study staff through a web portal. Exported data is used for analysis and</w:t>
      </w:r>
      <w:r>
        <w:t xml:space="preserve"> </w:t>
      </w:r>
      <w:r>
        <w:t xml:space="preserve">reporting.</w:t>
      </w:r>
    </w:p>
    <w:p>
      <w:pPr>
        <w:pStyle w:val="BodyText"/>
      </w:pPr>
      <w:r>
        <w:t xml:space="preserve">Data captured in DataKollecta can be source data or case report form data. Errors or loss could</w:t>
      </w:r>
      <w:r>
        <w:t xml:space="preserve"> </w:t>
      </w:r>
      <w:r>
        <w:t xml:space="preserve">therefore affect the reliability of study results, and where data informs participant</w:t>
      </w:r>
      <w:r>
        <w:t xml:space="preserve"> </w:t>
      </w:r>
      <w:r>
        <w:t xml:space="preserve">follow-up, participant safety. That is why the requirements below concentrate on data</w:t>
      </w:r>
      <w:r>
        <w:t xml:space="preserve"> </w:t>
      </w:r>
      <w:r>
        <w:t xml:space="preserve">integrity: data must be attributable, legible, contemporaneous, original and accurate</w:t>
      </w:r>
      <w:r>
        <w:t xml:space="preserve"> </w:t>
      </w:r>
      <w:r>
        <w:t xml:space="preserve">(ALCOA), and complete, consistent, enduring and available.</w:t>
      </w:r>
    </w:p>
    <w:bookmarkEnd w:id="23"/>
    <w:bookmarkStart w:id="24" w:name="risk-assessment-method"/>
    <w:p>
      <w:pPr>
        <w:pStyle w:val="Heading1"/>
      </w:pPr>
      <w:r>
        <w:t xml:space="preserve">3. Risk assessment method</w:t>
      </w:r>
    </w:p>
    <w:p>
      <w:pPr>
        <w:pStyle w:val="FirstParagraph"/>
      </w:pPr>
      <w:r>
        <w:t xml:space="preserve">Each requirement is assessed for what would happen if the system failed to meet it.</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1533"/>
        <w:gridCol w:w="4505"/>
        <w:gridCol w:w="4313"/>
        <w:gridCol w:w="4218"/>
      </w:tblGrid>
      <w:tr>
        <w:trPr>
          <w:cantSplit/>
          <w:tblHeader w:val="true"/>
        </w:trPr>
        <w:tc>
          <w:tcPr>
            <w:tcW w:type="dxa" w:w="1533"/>
            <w:shd w:val="clear" w:color="auto" w:fill="DCE4EE"/>
          </w:tcPr>
          <w:p>
            <w:pPr>
              <w:pStyle w:val="Compact"/>
              <w:jc w:val="left"/>
            </w:pPr>
            <w:r>
              <w:t xml:space="preserve">Factor</w:t>
            </w:r>
          </w:p>
        </w:tc>
        <w:tc>
          <w:tcPr>
            <w:tcW w:type="dxa" w:w="4505"/>
            <w:shd w:val="clear" w:color="auto" w:fill="DCE4EE"/>
          </w:tcPr>
          <w:p>
            <w:pPr>
              <w:pStyle w:val="Compact"/>
              <w:jc w:val="left"/>
            </w:pPr>
            <w:r>
              <w:t xml:space="preserve">High (H)</w:t>
            </w:r>
          </w:p>
        </w:tc>
        <w:tc>
          <w:tcPr>
            <w:tcW w:type="dxa" w:w="4313"/>
            <w:shd w:val="clear" w:color="auto" w:fill="DCE4EE"/>
          </w:tcPr>
          <w:p>
            <w:pPr>
              <w:pStyle w:val="Compact"/>
              <w:jc w:val="left"/>
            </w:pPr>
            <w:r>
              <w:t xml:space="preserve">Medium (M)</w:t>
            </w:r>
          </w:p>
        </w:tc>
        <w:tc>
          <w:tcPr>
            <w:tcW w:type="dxa" w:w="4218"/>
            <w:shd w:val="clear" w:color="auto" w:fill="DCE4EE"/>
          </w:tcPr>
          <w:p>
            <w:pPr>
              <w:pStyle w:val="Compact"/>
              <w:jc w:val="left"/>
            </w:pPr>
            <w:r>
              <w:t xml:space="preserve">Low (L)</w:t>
            </w:r>
          </w:p>
        </w:tc>
      </w:tr>
      <w:tr>
        <w:trPr>
          <w:cantSplit/>
        </w:trPr>
        <w:tc>
          <w:tcPr>
            <w:tcW w:type="dxa" w:w="1533"/>
          </w:tcPr>
          <w:p>
            <w:pPr>
              <w:pStyle w:val="Compact"/>
              <w:jc w:val="left"/>
            </w:pPr>
            <w:r>
              <w:rPr>
                <w:bCs/>
                <w:b/>
              </w:rPr>
              <w:t xml:space="preserve">Impact (I)</w:t>
            </w:r>
            <w:r>
              <w:t xml:space="preserve"> </w:t>
            </w:r>
            <w:r>
              <w:t xml:space="preserve">on participant safety, data integrity or regulatory compliance</w:t>
            </w:r>
          </w:p>
        </w:tc>
        <w:tc>
          <w:tcPr>
            <w:tcW w:type="dxa" w:w="4505"/>
          </w:tcPr>
          <w:p>
            <w:pPr>
              <w:pStyle w:val="Compact"/>
              <w:jc w:val="left"/>
            </w:pPr>
            <w:r>
              <w:t xml:space="preserve">Could cause loss, corruption or undetectable change of study data, unattributable data, or unauthorised access to personal data</w:t>
            </w:r>
          </w:p>
        </w:tc>
        <w:tc>
          <w:tcPr>
            <w:tcW w:type="dxa" w:w="4313"/>
          </w:tcPr>
          <w:p>
            <w:pPr>
              <w:pStyle w:val="Compact"/>
              <w:jc w:val="left"/>
            </w:pPr>
            <w:r>
              <w:t xml:space="preserve">Could cause incorrect data that is likely to be detected by normal data review, or delay or disruption to data collection</w:t>
            </w:r>
          </w:p>
        </w:tc>
        <w:tc>
          <w:tcPr>
            <w:tcW w:type="dxa" w:w="4218"/>
          </w:tcPr>
          <w:p>
            <w:pPr>
              <w:pStyle w:val="Compact"/>
              <w:jc w:val="left"/>
            </w:pPr>
            <w:r>
              <w:t xml:space="preserve">Inconvenience only; no effect on data or participants</w:t>
            </w:r>
          </w:p>
        </w:tc>
      </w:tr>
      <w:tr>
        <w:trPr>
          <w:cantSplit/>
        </w:trPr>
        <w:tc>
          <w:tcPr>
            <w:tcW w:type="dxa" w:w="1533"/>
          </w:tcPr>
          <w:p>
            <w:pPr>
              <w:pStyle w:val="Compact"/>
              <w:jc w:val="left"/>
            </w:pPr>
            <w:r>
              <w:rPr>
                <w:bCs/>
                <w:b/>
              </w:rPr>
              <w:t xml:space="preserve">Probability (P)</w:t>
            </w:r>
            <w:r>
              <w:t xml:space="preserve"> </w:t>
            </w:r>
            <w:r>
              <w:t xml:space="preserve">of the failure occurring</w:t>
            </w:r>
          </w:p>
        </w:tc>
        <w:tc>
          <w:tcPr>
            <w:tcW w:type="dxa" w:w="4505"/>
          </w:tcPr>
          <w:p>
            <w:pPr>
              <w:pStyle w:val="Compact"/>
              <w:jc w:val="left"/>
            </w:pPr>
            <w:r>
              <w:t xml:space="preserve">Complex or new logic, many inputs, or relies on user behaviour</w:t>
            </w:r>
          </w:p>
        </w:tc>
        <w:tc>
          <w:tcPr>
            <w:tcW w:type="dxa" w:w="4313"/>
          </w:tcPr>
          <w:p>
            <w:pPr>
              <w:pStyle w:val="Compact"/>
              <w:jc w:val="left"/>
            </w:pPr>
            <w:r>
              <w:t xml:space="preserve">Moderately complex, established logic</w:t>
            </w:r>
          </w:p>
        </w:tc>
        <w:tc>
          <w:tcPr>
            <w:tcW w:type="dxa" w:w="4218"/>
          </w:tcPr>
          <w:p>
            <w:pPr>
              <w:pStyle w:val="Compact"/>
              <w:jc w:val="left"/>
            </w:pPr>
            <w:r>
              <w:t xml:space="preserve">Simple, stable, or provided by a mature platform</w:t>
            </w:r>
          </w:p>
        </w:tc>
      </w:tr>
      <w:tr>
        <w:trPr>
          <w:cantSplit/>
        </w:trPr>
        <w:tc>
          <w:tcPr>
            <w:tcW w:type="dxa" w:w="1533"/>
          </w:tcPr>
          <w:p>
            <w:pPr>
              <w:pStyle w:val="Compact"/>
              <w:jc w:val="left"/>
            </w:pPr>
            <w:r>
              <w:rPr>
                <w:bCs/>
                <w:b/>
              </w:rPr>
              <w:t xml:space="preserve">Detectability (D)</w:t>
            </w:r>
            <w:r>
              <w:t xml:space="preserve"> </w:t>
            </w:r>
            <w:r>
              <w:t xml:space="preserve">of the failure if it occurs</w:t>
            </w:r>
          </w:p>
        </w:tc>
        <w:tc>
          <w:tcPr>
            <w:tcW w:type="dxa" w:w="4505"/>
          </w:tcPr>
          <w:p>
            <w:pPr>
              <w:pStyle w:val="Compact"/>
              <w:jc w:val="left"/>
            </w:pPr>
            <w:r>
              <w:t xml:space="preserve">Unlikely to be noticed before data is used</w:t>
            </w:r>
          </w:p>
        </w:tc>
        <w:tc>
          <w:tcPr>
            <w:tcW w:type="dxa" w:w="4313"/>
          </w:tcPr>
          <w:p>
            <w:pPr>
              <w:pStyle w:val="Compact"/>
              <w:jc w:val="left"/>
            </w:pPr>
            <w:r>
              <w:t xml:space="preserve">Would be noticed by routine review or a later check</w:t>
            </w:r>
          </w:p>
        </w:tc>
        <w:tc>
          <w:tcPr>
            <w:tcW w:type="dxa" w:w="4218"/>
          </w:tcPr>
          <w:p>
            <w:pPr>
              <w:pStyle w:val="Compact"/>
              <w:jc w:val="left"/>
            </w:pPr>
            <w:r>
              <w:t xml:space="preserve">Immediately obvious to the user</w:t>
            </w:r>
          </w:p>
        </w:tc>
      </w:tr>
    </w:tbl>
    <w:p>
      <w:pPr>
        <w:pStyle w:val="BodyText"/>
      </w:pPr>
      <w:r>
        <w:t xml:space="preserve">The</w:t>
      </w:r>
      <w:r>
        <w:t xml:space="preserve"> </w:t>
      </w:r>
      <w:r>
        <w:rPr>
          <w:bCs/>
          <w:b/>
        </w:rPr>
        <w:t xml:space="preserve">risk class</w:t>
      </w:r>
      <w:r>
        <w:t xml:space="preserve"> </w:t>
      </w:r>
      <w:r>
        <w:t xml:space="preserve">combines them. Impact dominates: a High-impact requirement is never rated</w:t>
      </w:r>
      <w:r>
        <w:t xml:space="preserve"> </w:t>
      </w:r>
      <w:r>
        <w:t xml:space="preserve">below Medium risk.</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2044"/>
        <w:gridCol w:w="9714"/>
        <w:gridCol w:w="2811"/>
      </w:tblGrid>
      <w:tr>
        <w:trPr>
          <w:cantSplit/>
          <w:tblHeader w:val="true"/>
        </w:trPr>
        <w:tc>
          <w:tcPr>
            <w:tcW w:type="dxa" w:w="2044"/>
            <w:shd w:val="clear" w:color="auto" w:fill="DCE4EE"/>
          </w:tcPr>
          <w:p>
            <w:pPr>
              <w:pStyle w:val="Compact"/>
              <w:jc w:val="left"/>
            </w:pPr>
            <w:r>
              <w:t xml:space="preserve">Impact</w:t>
            </w:r>
          </w:p>
        </w:tc>
        <w:tc>
          <w:tcPr>
            <w:tcW w:type="dxa" w:w="9714"/>
            <w:shd w:val="clear" w:color="auto" w:fill="DCE4EE"/>
          </w:tcPr>
          <w:p>
            <w:pPr>
              <w:pStyle w:val="Compact"/>
              <w:jc w:val="left"/>
            </w:pPr>
            <w:r>
              <w:t xml:space="preserve">Probability or detectability is High</w:t>
            </w:r>
          </w:p>
        </w:tc>
        <w:tc>
          <w:tcPr>
            <w:tcW w:type="dxa" w:w="2811"/>
            <w:shd w:val="clear" w:color="auto" w:fill="DCE4EE"/>
          </w:tcPr>
          <w:p>
            <w:pPr>
              <w:pStyle w:val="Compact"/>
              <w:jc w:val="left"/>
            </w:pPr>
            <w:r>
              <w:t xml:space="preserve">Otherwise</w:t>
            </w:r>
          </w:p>
        </w:tc>
      </w:tr>
      <w:tr>
        <w:trPr>
          <w:cantSplit/>
        </w:trPr>
        <w:tc>
          <w:tcPr>
            <w:tcW w:type="dxa" w:w="2044"/>
          </w:tcPr>
          <w:p>
            <w:pPr>
              <w:pStyle w:val="Compact"/>
              <w:jc w:val="left"/>
            </w:pPr>
            <w:r>
              <w:t xml:space="preserve">High</w:t>
            </w:r>
          </w:p>
        </w:tc>
        <w:tc>
          <w:tcPr>
            <w:tcW w:type="dxa" w:w="9714"/>
          </w:tcPr>
          <w:p>
            <w:pPr>
              <w:pStyle w:val="Compact"/>
              <w:jc w:val="left"/>
            </w:pPr>
            <w:r>
              <w:rPr>
                <w:bCs/>
                <w:b/>
              </w:rPr>
              <w:t xml:space="preserve">High</w:t>
            </w:r>
            <w:r>
              <w:t xml:space="preserve"> </w:t>
            </w:r>
            <w:r>
              <w:t xml:space="preserve">risk</w:t>
            </w:r>
          </w:p>
        </w:tc>
        <w:tc>
          <w:tcPr>
            <w:tcW w:type="dxa" w:w="2811"/>
          </w:tcPr>
          <w:p>
            <w:pPr>
              <w:pStyle w:val="Compact"/>
              <w:jc w:val="left"/>
            </w:pPr>
            <w:r>
              <w:rPr>
                <w:bCs/>
                <w:b/>
              </w:rPr>
              <w:t xml:space="preserve">High</w:t>
            </w:r>
            <w:r>
              <w:t xml:space="preserve"> </w:t>
            </w:r>
            <w:r>
              <w:t xml:space="preserve">risk if either is Medium, else</w:t>
            </w:r>
            <w:r>
              <w:t xml:space="preserve"> </w:t>
            </w:r>
            <w:r>
              <w:rPr>
                <w:bCs/>
                <w:b/>
              </w:rPr>
              <w:t xml:space="preserve">Medium</w:t>
            </w:r>
          </w:p>
        </w:tc>
      </w:tr>
      <w:tr>
        <w:trPr>
          <w:cantSplit/>
        </w:trPr>
        <w:tc>
          <w:tcPr>
            <w:tcW w:type="dxa" w:w="2044"/>
          </w:tcPr>
          <w:p>
            <w:pPr>
              <w:pStyle w:val="Compact"/>
              <w:jc w:val="left"/>
            </w:pPr>
            <w:r>
              <w:t xml:space="preserve">Medium</w:t>
            </w:r>
          </w:p>
        </w:tc>
        <w:tc>
          <w:tcPr>
            <w:tcW w:type="dxa" w:w="9714"/>
          </w:tcPr>
          <w:p>
            <w:pPr>
              <w:pStyle w:val="Compact"/>
              <w:jc w:val="left"/>
            </w:pPr>
            <w:r>
              <w:rPr>
                <w:bCs/>
                <w:b/>
              </w:rPr>
              <w:t xml:space="preserve">Medium</w:t>
            </w:r>
            <w:r>
              <w:t xml:space="preserve"> </w:t>
            </w:r>
            <w:r>
              <w:t xml:space="preserve">risk</w:t>
            </w:r>
          </w:p>
        </w:tc>
        <w:tc>
          <w:tcPr>
            <w:tcW w:type="dxa" w:w="2811"/>
          </w:tcPr>
          <w:p>
            <w:pPr>
              <w:pStyle w:val="Compact"/>
              <w:jc w:val="left"/>
            </w:pPr>
            <w:r>
              <w:rPr>
                <w:bCs/>
                <w:b/>
              </w:rPr>
              <w:t xml:space="preserve">Low</w:t>
            </w:r>
            <w:r>
              <w:t xml:space="preserve"> </w:t>
            </w:r>
            <w:r>
              <w:t xml:space="preserve">risk if both are Low, else</w:t>
            </w:r>
            <w:r>
              <w:t xml:space="preserve"> </w:t>
            </w:r>
            <w:r>
              <w:rPr>
                <w:bCs/>
                <w:b/>
              </w:rPr>
              <w:t xml:space="preserve">Medium</w:t>
            </w:r>
          </w:p>
        </w:tc>
      </w:tr>
      <w:tr>
        <w:trPr>
          <w:cantSplit/>
        </w:trPr>
        <w:tc>
          <w:tcPr>
            <w:tcW w:type="dxa" w:w="2044"/>
          </w:tcPr>
          <w:p>
            <w:pPr>
              <w:pStyle w:val="Compact"/>
              <w:jc w:val="left"/>
            </w:pPr>
            <w:r>
              <w:t xml:space="preserve">Low</w:t>
            </w:r>
          </w:p>
        </w:tc>
        <w:tc>
          <w:tcPr>
            <w:tcW w:type="dxa" w:w="9714"/>
          </w:tcPr>
          <w:p>
            <w:pPr>
              <w:pStyle w:val="Compact"/>
              <w:jc w:val="left"/>
            </w:pPr>
            <w:r>
              <w:rPr>
                <w:bCs/>
                <w:b/>
              </w:rPr>
              <w:t xml:space="preserve">Low</w:t>
            </w:r>
            <w:r>
              <w:t xml:space="preserve"> </w:t>
            </w:r>
            <w:r>
              <w:t xml:space="preserve">risk</w:t>
            </w:r>
          </w:p>
        </w:tc>
        <w:tc>
          <w:tcPr>
            <w:tcW w:type="dxa" w:w="2811"/>
          </w:tcPr>
          <w:p>
            <w:pPr>
              <w:pStyle w:val="Compact"/>
              <w:jc w:val="left"/>
            </w:pPr>
            <w:r>
              <w:rPr>
                <w:bCs/>
                <w:b/>
              </w:rPr>
              <w:t xml:space="preserve">Low</w:t>
            </w:r>
            <w:r>
              <w:t xml:space="preserve"> </w:t>
            </w:r>
            <w:r>
              <w:t xml:space="preserve">risk</w:t>
            </w:r>
          </w:p>
        </w:tc>
      </w:tr>
    </w:tbl>
    <w:p>
      <w:pPr>
        <w:pStyle w:val="BodyText"/>
      </w:pPr>
      <w:r>
        <w:t xml:space="preserve">Note:</w:t>
      </w:r>
      <w:r>
        <w:t xml:space="preserve"> </w:t>
      </w:r>
      <w:r>
        <w:rPr>
          <w:iCs/>
          <w:i/>
        </w:rPr>
        <w:t xml:space="preserve">detectability</w:t>
      </w:r>
      <w:r>
        <w:t xml:space="preserve"> </w:t>
      </w:r>
      <w:r>
        <w:t xml:space="preserve">is rated</w:t>
      </w:r>
      <w:r>
        <w:t xml:space="preserve"> </w:t>
      </w:r>
      <w:r>
        <w:t xml:space="preserve">“</w:t>
      </w:r>
      <w:r>
        <w:t xml:space="preserve">High</w:t>
      </w:r>
      <w:r>
        <w:t xml:space="preserve">”</w:t>
      </w:r>
      <w:r>
        <w:t xml:space="preserve"> </w:t>
      </w:r>
      <w:r>
        <w:t xml:space="preserve">when a failure would be</w:t>
      </w:r>
      <w:r>
        <w:t xml:space="preserve"> </w:t>
      </w:r>
      <w:r>
        <w:rPr>
          <w:bCs/>
          <w:b/>
        </w:rPr>
        <w:t xml:space="preserve">hard</w:t>
      </w:r>
      <w:r>
        <w:t xml:space="preserve"> </w:t>
      </w:r>
      <w:r>
        <w:t xml:space="preserve">to detect. A</w:t>
      </w:r>
      <w:r>
        <w:t xml:space="preserve"> </w:t>
      </w:r>
      <w:r>
        <w:t xml:space="preserve">higher score always means a higher risk.</w:t>
      </w:r>
    </w:p>
    <w:p>
      <w:pPr>
        <w:pStyle w:val="BodyText"/>
      </w:pPr>
      <w:r>
        <w:rPr>
          <w:bCs/>
          <w:b/>
        </w:rPr>
        <w:t xml:space="preserve">Test depth by risk class:</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4995"/>
        <w:gridCol w:w="9574"/>
      </w:tblGrid>
      <w:tr>
        <w:trPr>
          <w:cantSplit/>
          <w:tblHeader w:val="true"/>
        </w:trPr>
        <w:tc>
          <w:tcPr>
            <w:tcW w:type="dxa" w:w="4995"/>
            <w:shd w:val="clear" w:color="auto" w:fill="DCE4EE"/>
          </w:tcPr>
          <w:p>
            <w:pPr>
              <w:pStyle w:val="Compact"/>
              <w:jc w:val="left"/>
            </w:pPr>
            <w:r>
              <w:t xml:space="preserve">Risk class</w:t>
            </w:r>
          </w:p>
        </w:tc>
        <w:tc>
          <w:tcPr>
            <w:tcW w:type="dxa" w:w="9574"/>
            <w:shd w:val="clear" w:color="auto" w:fill="DCE4EE"/>
          </w:tcPr>
          <w:p>
            <w:pPr>
              <w:pStyle w:val="Compact"/>
              <w:jc w:val="left"/>
            </w:pPr>
            <w:r>
              <w:t xml:space="preserve">Required verification</w:t>
            </w:r>
          </w:p>
        </w:tc>
      </w:tr>
      <w:tr>
        <w:trPr>
          <w:cantSplit/>
        </w:trPr>
        <w:tc>
          <w:tcPr>
            <w:tcW w:type="dxa" w:w="4995"/>
          </w:tcPr>
          <w:p>
            <w:pPr>
              <w:pStyle w:val="Compact"/>
              <w:jc w:val="left"/>
            </w:pPr>
            <w:r>
              <w:rPr>
                <w:bCs/>
                <w:b/>
              </w:rPr>
              <w:t xml:space="preserve">High</w:t>
            </w:r>
          </w:p>
        </w:tc>
        <w:tc>
          <w:tcPr>
            <w:tcW w:type="dxa" w:w="9574"/>
          </w:tcPr>
          <w:p>
            <w:pPr>
              <w:pStyle w:val="Compact"/>
              <w:jc w:val="left"/>
            </w:pPr>
            <w:r>
              <w:t xml:space="preserve">A documented, pre-approved manual test case, including negative tests (attempting what must be refused), with objective evidence. It is also covered by an automated regression test wherever one exists.</w:t>
            </w:r>
          </w:p>
        </w:tc>
      </w:tr>
      <w:tr>
        <w:trPr>
          <w:cantSplit/>
        </w:trPr>
        <w:tc>
          <w:tcPr>
            <w:tcW w:type="dxa" w:w="4995"/>
          </w:tcPr>
          <w:p>
            <w:pPr>
              <w:pStyle w:val="Compact"/>
              <w:jc w:val="left"/>
            </w:pPr>
            <w:r>
              <w:rPr>
                <w:bCs/>
                <w:b/>
              </w:rPr>
              <w:t xml:space="preserve">Medium</w:t>
            </w:r>
          </w:p>
        </w:tc>
        <w:tc>
          <w:tcPr>
            <w:tcW w:type="dxa" w:w="9574"/>
          </w:tcPr>
          <w:p>
            <w:pPr>
              <w:pStyle w:val="Compact"/>
              <w:jc w:val="left"/>
            </w:pPr>
            <w:r>
              <w:t xml:space="preserve">A documented manual test case (positive path)</w:t>
            </w:r>
            <w:r>
              <w:t xml:space="preserve"> </w:t>
            </w:r>
            <w:r>
              <w:rPr>
                <w:bCs/>
                <w:b/>
              </w:rPr>
              <w:t xml:space="preserve">or</w:t>
            </w:r>
            <w:r>
              <w:t xml:space="preserve"> </w:t>
            </w:r>
            <w:r>
              <w:t xml:space="preserve">an automated regression test with retained results.</w:t>
            </w:r>
          </w:p>
        </w:tc>
      </w:tr>
      <w:tr>
        <w:trPr>
          <w:cantSplit/>
        </w:trPr>
        <w:tc>
          <w:tcPr>
            <w:tcW w:type="dxa" w:w="4995"/>
          </w:tcPr>
          <w:p>
            <w:pPr>
              <w:pStyle w:val="Compact"/>
              <w:jc w:val="left"/>
            </w:pPr>
            <w:r>
              <w:rPr>
                <w:bCs/>
                <w:b/>
              </w:rPr>
              <w:t xml:space="preserve">Low</w:t>
            </w:r>
          </w:p>
        </w:tc>
        <w:tc>
          <w:tcPr>
            <w:tcW w:type="dxa" w:w="9574"/>
          </w:tcPr>
          <w:p>
            <w:pPr>
              <w:pStyle w:val="Compact"/>
              <w:jc w:val="left"/>
            </w:pPr>
            <w:r>
              <w:t xml:space="preserve">An automated test, verification by inspection, or a procedural control.</w:t>
            </w:r>
          </w:p>
        </w:tc>
      </w:tr>
    </w:tbl>
    <w:p>
      <w:pPr>
        <w:pStyle w:val="BodyText"/>
      </w:pPr>
      <w:r>
        <w:t xml:space="preserve">The risk assessment is reviewed at each periodic review and whenever a change affects a</w:t>
      </w:r>
      <w:r>
        <w:t xml:space="preserve"> </w:t>
      </w:r>
      <w:r>
        <w:t xml:space="preserve">requirement (DK-SOP-001, sections 4 and 11).</w:t>
      </w:r>
    </w:p>
    <w:bookmarkEnd w:id="24"/>
    <w:bookmarkStart w:id="34" w:name="user-requirements-and-risk-assessment"/>
    <w:p>
      <w:pPr>
        <w:pStyle w:val="Heading1"/>
      </w:pPr>
      <w:r>
        <w:t xml:space="preserve">4. User requirements and risk assessment</w:t>
      </w:r>
    </w:p>
    <w:p>
      <w:pPr>
        <w:pStyle w:val="FirstParagraph"/>
      </w:pPr>
      <w:r>
        <w:t xml:space="preserve">Abbreviations:</w:t>
      </w:r>
      <w:r>
        <w:t xml:space="preserve"> </w:t>
      </w:r>
      <w:r>
        <w:rPr>
          <w:bCs/>
          <w:b/>
        </w:rPr>
        <w:t xml:space="preserve">I/P/D</w:t>
      </w:r>
      <w:r>
        <w:t xml:space="preserve"> </w:t>
      </w:r>
      <w:r>
        <w:t xml:space="preserve">= impact, probability, detectability;</w:t>
      </w:r>
      <w:r>
        <w:t xml:space="preserve"> </w:t>
      </w:r>
      <w:r>
        <w:rPr>
          <w:bCs/>
          <w:b/>
        </w:rPr>
        <w:t xml:space="preserve">Risk</w:t>
      </w:r>
      <w:r>
        <w:t xml:space="preserve"> </w:t>
      </w:r>
      <w:r>
        <w:t xml:space="preserve">= resulting risk</w:t>
      </w:r>
      <w:r>
        <w:t xml:space="preserve"> </w:t>
      </w:r>
      <w:r>
        <w:t xml:space="preserve">class.</w:t>
      </w:r>
      <w:r>
        <w:t xml:space="preserve"> </w:t>
      </w:r>
      <w:r>
        <w:rPr>
          <w:bCs/>
          <w:b/>
        </w:rPr>
        <w:t xml:space="preserve">Verified by</w:t>
      </w:r>
      <w:r>
        <w:t xml:space="preserve"> </w:t>
      </w:r>
      <w:r>
        <w:t xml:space="preserve">= the test cases in DK-VAL-004 (IQ, OQ, PQ = manual; AT = automated</w:t>
      </w:r>
      <w:r>
        <w:t xml:space="preserve"> </w:t>
      </w:r>
      <w:r>
        <w:t xml:space="preserve">regression suite) or SOP sections in DK-SOP-001.</w:t>
      </w:r>
      <w:r>
        <w:t xml:space="preserve"> </w:t>
      </w:r>
      <w:r>
        <w:rPr>
          <w:bCs/>
          <w:b/>
        </w:rPr>
        <w:t xml:space="preserve">Status</w:t>
      </w:r>
      <w:r>
        <w:t xml:space="preserve"> </w:t>
      </w:r>
      <w:r>
        <w:t xml:space="preserve">is</w:t>
      </w:r>
      <w:r>
        <w:t xml:space="preserve"> </w:t>
      </w:r>
      <w:r>
        <w:t xml:space="preserve">“</w:t>
      </w:r>
      <w:r>
        <w:t xml:space="preserve">Met</w:t>
      </w:r>
      <w:r>
        <w:t xml:space="preserve">”</w:t>
      </w:r>
      <w:r>
        <w:t xml:space="preserve"> </w:t>
      </w:r>
      <w:r>
        <w:t xml:space="preserve">unless marked</w:t>
      </w:r>
      <w:r>
        <w:t xml:space="preserve"> </w:t>
      </w:r>
      <w:r>
        <w:rPr>
          <w:bCs/>
          <w:b/>
        </w:rPr>
        <w:t xml:space="preserve">Partly met</w:t>
      </w:r>
      <w:r>
        <w:t xml:space="preserve"> </w:t>
      </w:r>
      <w:r>
        <w:t xml:space="preserve">or</w:t>
      </w:r>
      <w:r>
        <w:t xml:space="preserve"> </w:t>
      </w:r>
      <w:r>
        <w:rPr>
          <w:bCs/>
          <w:b/>
        </w:rPr>
        <w:t xml:space="preserve">Gap</w:t>
      </w:r>
      <w:r>
        <w:t xml:space="preserve">, which point to the residual risk register (section 5).</w:t>
      </w:r>
    </w:p>
    <w:bookmarkStart w:id="25" w:name="survey-definition-build-and-versioning"/>
    <w:p>
      <w:pPr>
        <w:pStyle w:val="Heading2"/>
      </w:pPr>
      <w:r>
        <w:t xml:space="preserve">4.1 Survey definition, build and versioning</w:t>
      </w:r>
    </w:p>
    <w:tbl>
      <w:tblPr>
        <w:tblStyle w:val="Table"/>
        <w:tblW w:type="dxa" w:w="1478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876"/>
        <w:gridCol w:w="8439"/>
        <w:gridCol w:w="400"/>
        <w:gridCol w:w="400"/>
        <w:gridCol w:w="400"/>
        <w:gridCol w:w="876"/>
        <w:gridCol w:w="2190"/>
        <w:gridCol w:w="1205"/>
      </w:tblGrid>
      <w:tr>
        <w:trPr>
          <w:cantSplit/>
          <w:tblHeader w:val="true"/>
        </w:trPr>
        <w:tc>
          <w:tcPr>
            <w:tcW w:type="dxa" w:w="876"/>
            <w:shd w:val="clear" w:color="auto" w:fill="DCE4EE"/>
          </w:tcPr>
          <w:p>
            <w:pPr>
              <w:pStyle w:val="Compact"/>
              <w:jc w:val="left"/>
            </w:pPr>
            <w:r>
              <w:t xml:space="preserve">ID</w:t>
            </w:r>
          </w:p>
        </w:tc>
        <w:tc>
          <w:tcPr>
            <w:tcW w:type="dxa" w:w="8439"/>
            <w:shd w:val="clear" w:color="auto" w:fill="DCE4EE"/>
          </w:tcPr>
          <w:p>
            <w:pPr>
              <w:pStyle w:val="Compact"/>
              <w:jc w:val="left"/>
            </w:pPr>
            <w:r>
              <w:t xml:space="preserve">Requirement</w:t>
            </w:r>
          </w:p>
        </w:tc>
        <w:tc>
          <w:tcPr>
            <w:tcW w:type="dxa" w:w="400"/>
            <w:shd w:val="clear" w:color="auto" w:fill="DCE4EE"/>
          </w:tcPr>
          <w:p>
            <w:pPr>
              <w:pStyle w:val="Compact"/>
              <w:jc w:val="left"/>
            </w:pPr>
            <w:r>
              <w:t xml:space="preserve">I</w:t>
            </w:r>
          </w:p>
        </w:tc>
        <w:tc>
          <w:tcPr>
            <w:tcW w:type="dxa" w:w="400"/>
            <w:shd w:val="clear" w:color="auto" w:fill="DCE4EE"/>
          </w:tcPr>
          <w:p>
            <w:pPr>
              <w:pStyle w:val="Compact"/>
              <w:jc w:val="left"/>
            </w:pPr>
            <w:r>
              <w:t xml:space="preserve">P</w:t>
            </w:r>
          </w:p>
        </w:tc>
        <w:tc>
          <w:tcPr>
            <w:tcW w:type="dxa" w:w="400"/>
            <w:shd w:val="clear" w:color="auto" w:fill="DCE4EE"/>
          </w:tcPr>
          <w:p>
            <w:pPr>
              <w:pStyle w:val="Compact"/>
              <w:jc w:val="left"/>
            </w:pPr>
            <w:r>
              <w:t xml:space="preserve">D</w:t>
            </w:r>
          </w:p>
        </w:tc>
        <w:tc>
          <w:tcPr>
            <w:tcW w:type="dxa" w:w="876"/>
            <w:shd w:val="clear" w:color="auto" w:fill="DCE4EE"/>
          </w:tcPr>
          <w:p>
            <w:pPr>
              <w:pStyle w:val="Compact"/>
              <w:jc w:val="left"/>
            </w:pPr>
            <w:r>
              <w:t xml:space="preserve">Risk</w:t>
            </w:r>
          </w:p>
        </w:tc>
        <w:tc>
          <w:tcPr>
            <w:tcW w:type="dxa" w:w="2190"/>
            <w:shd w:val="clear" w:color="auto" w:fill="DCE4EE"/>
          </w:tcPr>
          <w:p>
            <w:pPr>
              <w:pStyle w:val="Compact"/>
              <w:jc w:val="left"/>
            </w:pPr>
            <w:r>
              <w:t xml:space="preserve">Verified by</w:t>
            </w:r>
          </w:p>
        </w:tc>
        <w:tc>
          <w:tcPr>
            <w:tcW w:type="dxa" w:w="1205"/>
            <w:shd w:val="clear" w:color="auto" w:fill="DCE4EE"/>
          </w:tcPr>
          <w:p>
            <w:pPr>
              <w:pStyle w:val="Compact"/>
              <w:jc w:val="left"/>
            </w:pPr>
            <w:r>
              <w:t xml:space="preserve">Status</w:t>
            </w:r>
          </w:p>
        </w:tc>
      </w:tr>
      <w:tr>
        <w:trPr>
          <w:cantSplit/>
        </w:trPr>
        <w:tc>
          <w:tcPr>
            <w:tcW w:type="dxa" w:w="876"/>
          </w:tcPr>
          <w:p>
            <w:pPr>
              <w:pStyle w:val="Compact"/>
              <w:jc w:val="left"/>
            </w:pPr>
            <w:r>
              <w:t xml:space="preserve">URS-101</w:t>
            </w:r>
          </w:p>
        </w:tc>
        <w:tc>
          <w:tcPr>
            <w:tcW w:type="dxa" w:w="8439"/>
          </w:tcPr>
          <w:p>
            <w:pPr>
              <w:pStyle w:val="Compact"/>
              <w:jc w:val="left"/>
            </w:pPr>
            <w:r>
              <w:t xml:space="preserve">A study’s questionnaire can be defined in a structured data dictionary (Excel workbook) or in the portal’s survey designer. The definition is turned into a survey package containing the form definitions and a manifest that identifies the survey.</w:t>
            </w:r>
          </w:p>
        </w:tc>
        <w:tc>
          <w:tcPr>
            <w:tcW w:type="dxa" w:w="400"/>
          </w:tcPr>
          <w:p>
            <w:pPr>
              <w:pStyle w:val="Compact"/>
              <w:jc w:val="left"/>
            </w:pPr>
            <w:r>
              <w:t xml:space="preserve">M</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OQ-02, AT-04, AT-07</w:t>
            </w:r>
          </w:p>
        </w:tc>
        <w:tc>
          <w:tcPr>
            <w:tcW w:type="dxa" w:w="1205"/>
          </w:tcPr>
          <w:p>
            <w:pPr>
              <w:pStyle w:val="Compact"/>
              <w:jc w:val="left"/>
            </w:pPr>
            <w:r>
              <w:t xml:space="preserve">Met</w:t>
            </w:r>
          </w:p>
        </w:tc>
      </w:tr>
      <w:tr>
        <w:trPr>
          <w:cantSplit/>
        </w:trPr>
        <w:tc>
          <w:tcPr>
            <w:tcW w:type="dxa" w:w="876"/>
          </w:tcPr>
          <w:p>
            <w:pPr>
              <w:pStyle w:val="Compact"/>
              <w:jc w:val="left"/>
            </w:pPr>
            <w:r>
              <w:t xml:space="preserve">URS-102</w:t>
            </w:r>
          </w:p>
        </w:tc>
        <w:tc>
          <w:tcPr>
            <w:tcW w:type="dxa" w:w="8439"/>
          </w:tcPr>
          <w:p>
            <w:pPr>
              <w:pStyle w:val="Compact"/>
              <w:jc w:val="left"/>
            </w:pPr>
            <w:r>
              <w:t xml:space="preserve">The build refuses a definition that contains errors. Errors include invalid or duplicate field names, missing response lists, skip or logic rules that refer to unknown fields or codes, and calculations that refer to missing fields. Every error is reported to the person building it, and no package is produced.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OQ-01, AT-04, AT-07</w:t>
            </w:r>
          </w:p>
        </w:tc>
        <w:tc>
          <w:tcPr>
            <w:tcW w:type="dxa" w:w="1205"/>
          </w:tcPr>
          <w:p>
            <w:pPr>
              <w:pStyle w:val="Compact"/>
              <w:jc w:val="left"/>
            </w:pPr>
            <w:r>
              <w:t xml:space="preserve">Met</w:t>
            </w:r>
          </w:p>
        </w:tc>
      </w:tr>
      <w:tr>
        <w:trPr>
          <w:cantSplit/>
        </w:trPr>
        <w:tc>
          <w:tcPr>
            <w:tcW w:type="dxa" w:w="876"/>
          </w:tcPr>
          <w:p>
            <w:pPr>
              <w:pStyle w:val="Compact"/>
              <w:jc w:val="left"/>
            </w:pPr>
            <w:r>
              <w:t xml:space="preserve">URS-103</w:t>
            </w:r>
          </w:p>
        </w:tc>
        <w:tc>
          <w:tcPr>
            <w:tcW w:type="dxa" w:w="8439"/>
          </w:tcPr>
          <w:p>
            <w:pPr>
              <w:pStyle w:val="Compact"/>
              <w:jc w:val="left"/>
            </w:pPr>
            <w:r>
              <w:t xml:space="preserve">Each version of a survey has its own survey identifier, while the name of its local database stays the same across versions, so data from all versions accumulates in one dataset. Record ID counters must not restart.</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OQ-05, AT-02, AT-03, AT-04</w:t>
            </w:r>
          </w:p>
        </w:tc>
        <w:tc>
          <w:tcPr>
            <w:tcW w:type="dxa" w:w="1205"/>
          </w:tcPr>
          <w:p>
            <w:pPr>
              <w:pStyle w:val="Compact"/>
              <w:jc w:val="left"/>
            </w:pPr>
            <w:r>
              <w:t xml:space="preserve">Met</w:t>
            </w:r>
          </w:p>
        </w:tc>
      </w:tr>
      <w:tr>
        <w:trPr>
          <w:cantSplit/>
        </w:trPr>
        <w:tc>
          <w:tcPr>
            <w:tcW w:type="dxa" w:w="876"/>
          </w:tcPr>
          <w:p>
            <w:pPr>
              <w:pStyle w:val="Compact"/>
              <w:jc w:val="left"/>
            </w:pPr>
            <w:r>
              <w:t xml:space="preserve">URS-104</w:t>
            </w:r>
          </w:p>
        </w:tc>
        <w:tc>
          <w:tcPr>
            <w:tcW w:type="dxa" w:w="8439"/>
          </w:tcPr>
          <w:p>
            <w:pPr>
              <w:pStyle w:val="Compact"/>
              <w:jc w:val="left"/>
            </w:pPr>
            <w:r>
              <w:t xml:space="preserve">The field application refuses to install a survey package whose table or field names are unsafe, or whose query calculations are anything other than a single read-only query. A refused package must not affect other surveys already on the device.</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OQ-06, AT-02, AT-03, AT-05</w:t>
            </w:r>
          </w:p>
        </w:tc>
        <w:tc>
          <w:tcPr>
            <w:tcW w:type="dxa" w:w="1205"/>
          </w:tcPr>
          <w:p>
            <w:pPr>
              <w:pStyle w:val="Compact"/>
              <w:jc w:val="left"/>
            </w:pPr>
            <w:r>
              <w:t xml:space="preserve">Met</w:t>
            </w:r>
          </w:p>
        </w:tc>
      </w:tr>
      <w:tr>
        <w:trPr>
          <w:cantSplit/>
        </w:trPr>
        <w:tc>
          <w:tcPr>
            <w:tcW w:type="dxa" w:w="876"/>
          </w:tcPr>
          <w:p>
            <w:pPr>
              <w:pStyle w:val="Compact"/>
              <w:jc w:val="left"/>
            </w:pPr>
            <w:r>
              <w:t xml:space="preserve">URS-105</w:t>
            </w:r>
          </w:p>
        </w:tc>
        <w:tc>
          <w:tcPr>
            <w:tcW w:type="dxa" w:w="8439"/>
          </w:tcPr>
          <w:p>
            <w:pPr>
              <w:pStyle w:val="Compact"/>
              <w:jc w:val="left"/>
            </w:pPr>
            <w:r>
              <w:t xml:space="preserve">A survey package can be tested before use. The test runs simulated interviews to find unreachable questions, skip rules that never fire, and forms that cannot be completed, and produces a report.</w:t>
            </w:r>
          </w:p>
        </w:tc>
        <w:tc>
          <w:tcPr>
            <w:tcW w:type="dxa" w:w="400"/>
          </w:tcPr>
          <w:p>
            <w:pPr>
              <w:pStyle w:val="Compact"/>
              <w:jc w:val="left"/>
            </w:pPr>
            <w:r>
              <w:t xml:space="preserve">M</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OQ-03, AT-05, TPL</w:t>
            </w:r>
          </w:p>
        </w:tc>
        <w:tc>
          <w:tcPr>
            <w:tcW w:type="dxa" w:w="1205"/>
          </w:tcPr>
          <w:p>
            <w:pPr>
              <w:pStyle w:val="Compact"/>
              <w:jc w:val="left"/>
            </w:pPr>
            <w:r>
              <w:t xml:space="preserve">Met</w:t>
            </w:r>
          </w:p>
        </w:tc>
      </w:tr>
      <w:tr>
        <w:trPr>
          <w:cantSplit/>
        </w:trPr>
        <w:tc>
          <w:tcPr>
            <w:tcW w:type="dxa" w:w="876"/>
          </w:tcPr>
          <w:p>
            <w:pPr>
              <w:pStyle w:val="Compact"/>
              <w:jc w:val="left"/>
            </w:pPr>
            <w:r>
              <w:t xml:space="preserve">URS-106</w:t>
            </w:r>
          </w:p>
        </w:tc>
        <w:tc>
          <w:tcPr>
            <w:tcW w:type="dxa" w:w="8439"/>
          </w:tcPr>
          <w:p>
            <w:pPr>
              <w:pStyle w:val="Compact"/>
              <w:jc w:val="left"/>
            </w:pPr>
            <w:r>
              <w:t xml:space="preserve">A survey moves through the stages Draft, Test, Deployed and Complete. Deployed and Complete surveys cannot be edited, and a deployed survey’s package file cannot be replaced or deleted.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OQ-04, AT-08</w:t>
            </w:r>
          </w:p>
        </w:tc>
        <w:tc>
          <w:tcPr>
            <w:tcW w:type="dxa" w:w="1205"/>
          </w:tcPr>
          <w:p>
            <w:pPr>
              <w:pStyle w:val="Compact"/>
              <w:jc w:val="left"/>
            </w:pPr>
            <w:r>
              <w:t xml:space="preserve">Met</w:t>
            </w:r>
          </w:p>
        </w:tc>
      </w:tr>
      <w:tr>
        <w:trPr>
          <w:cantSplit/>
        </w:trPr>
        <w:tc>
          <w:tcPr>
            <w:tcW w:type="dxa" w:w="876"/>
          </w:tcPr>
          <w:p>
            <w:pPr>
              <w:pStyle w:val="Compact"/>
              <w:jc w:val="left"/>
            </w:pPr>
            <w:r>
              <w:t xml:space="preserve">URS-107</w:t>
            </w:r>
          </w:p>
        </w:tc>
        <w:tc>
          <w:tcPr>
            <w:tcW w:type="dxa" w:w="8439"/>
          </w:tcPr>
          <w:p>
            <w:pPr>
              <w:pStyle w:val="Compact"/>
              <w:jc w:val="left"/>
            </w:pPr>
            <w:r>
              <w:t xml:space="preserve">When a new survey version adds fields, the local database gains the new fields. Existing records and columns are kept and never dropped.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OQ-05, AT-02, AT-03</w:t>
            </w:r>
          </w:p>
        </w:tc>
        <w:tc>
          <w:tcPr>
            <w:tcW w:type="dxa" w:w="1205"/>
          </w:tcPr>
          <w:p>
            <w:pPr>
              <w:pStyle w:val="Compact"/>
              <w:jc w:val="left"/>
            </w:pPr>
            <w:r>
              <w:t xml:space="preserve">Met</w:t>
            </w:r>
          </w:p>
        </w:tc>
      </w:tr>
    </w:tbl>
    <w:bookmarkEnd w:id="25"/>
    <w:bookmarkStart w:id="26" w:name="data-capture-field-application"/>
    <w:p>
      <w:pPr>
        <w:pStyle w:val="Heading2"/>
      </w:pPr>
      <w:r>
        <w:t xml:space="preserve">4.2 Data capture (field application)</w:t>
      </w:r>
    </w:p>
    <w:tbl>
      <w:tblPr>
        <w:tblStyle w:val="Table"/>
        <w:tblW w:type="dxa" w:w="1478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876"/>
        <w:gridCol w:w="8439"/>
        <w:gridCol w:w="400"/>
        <w:gridCol w:w="400"/>
        <w:gridCol w:w="400"/>
        <w:gridCol w:w="876"/>
        <w:gridCol w:w="2190"/>
        <w:gridCol w:w="1205"/>
      </w:tblGrid>
      <w:tr>
        <w:trPr>
          <w:cantSplit/>
          <w:tblHeader w:val="true"/>
        </w:trPr>
        <w:tc>
          <w:tcPr>
            <w:tcW w:type="dxa" w:w="876"/>
            <w:shd w:val="clear" w:color="auto" w:fill="DCE4EE"/>
          </w:tcPr>
          <w:p>
            <w:pPr>
              <w:pStyle w:val="Compact"/>
              <w:jc w:val="left"/>
            </w:pPr>
            <w:r>
              <w:t xml:space="preserve">ID</w:t>
            </w:r>
          </w:p>
        </w:tc>
        <w:tc>
          <w:tcPr>
            <w:tcW w:type="dxa" w:w="8439"/>
            <w:shd w:val="clear" w:color="auto" w:fill="DCE4EE"/>
          </w:tcPr>
          <w:p>
            <w:pPr>
              <w:pStyle w:val="Compact"/>
              <w:jc w:val="left"/>
            </w:pPr>
            <w:r>
              <w:t xml:space="preserve">Requirement</w:t>
            </w:r>
          </w:p>
        </w:tc>
        <w:tc>
          <w:tcPr>
            <w:tcW w:type="dxa" w:w="400"/>
            <w:shd w:val="clear" w:color="auto" w:fill="DCE4EE"/>
          </w:tcPr>
          <w:p>
            <w:pPr>
              <w:pStyle w:val="Compact"/>
              <w:jc w:val="left"/>
            </w:pPr>
            <w:r>
              <w:t xml:space="preserve">I</w:t>
            </w:r>
          </w:p>
        </w:tc>
        <w:tc>
          <w:tcPr>
            <w:tcW w:type="dxa" w:w="400"/>
            <w:shd w:val="clear" w:color="auto" w:fill="DCE4EE"/>
          </w:tcPr>
          <w:p>
            <w:pPr>
              <w:pStyle w:val="Compact"/>
              <w:jc w:val="left"/>
            </w:pPr>
            <w:r>
              <w:t xml:space="preserve">P</w:t>
            </w:r>
          </w:p>
        </w:tc>
        <w:tc>
          <w:tcPr>
            <w:tcW w:type="dxa" w:w="400"/>
            <w:shd w:val="clear" w:color="auto" w:fill="DCE4EE"/>
          </w:tcPr>
          <w:p>
            <w:pPr>
              <w:pStyle w:val="Compact"/>
              <w:jc w:val="left"/>
            </w:pPr>
            <w:r>
              <w:t xml:space="preserve">D</w:t>
            </w:r>
          </w:p>
        </w:tc>
        <w:tc>
          <w:tcPr>
            <w:tcW w:type="dxa" w:w="876"/>
            <w:shd w:val="clear" w:color="auto" w:fill="DCE4EE"/>
          </w:tcPr>
          <w:p>
            <w:pPr>
              <w:pStyle w:val="Compact"/>
              <w:jc w:val="left"/>
            </w:pPr>
            <w:r>
              <w:t xml:space="preserve">Risk</w:t>
            </w:r>
          </w:p>
        </w:tc>
        <w:tc>
          <w:tcPr>
            <w:tcW w:type="dxa" w:w="2190"/>
            <w:shd w:val="clear" w:color="auto" w:fill="DCE4EE"/>
          </w:tcPr>
          <w:p>
            <w:pPr>
              <w:pStyle w:val="Compact"/>
              <w:jc w:val="left"/>
            </w:pPr>
            <w:r>
              <w:t xml:space="preserve">Verified by</w:t>
            </w:r>
          </w:p>
        </w:tc>
        <w:tc>
          <w:tcPr>
            <w:tcW w:type="dxa" w:w="1205"/>
            <w:shd w:val="clear" w:color="auto" w:fill="DCE4EE"/>
          </w:tcPr>
          <w:p>
            <w:pPr>
              <w:pStyle w:val="Compact"/>
              <w:jc w:val="left"/>
            </w:pPr>
            <w:r>
              <w:t xml:space="preserve">Status</w:t>
            </w:r>
          </w:p>
        </w:tc>
      </w:tr>
      <w:tr>
        <w:trPr>
          <w:cantSplit/>
        </w:trPr>
        <w:tc>
          <w:tcPr>
            <w:tcW w:type="dxa" w:w="876"/>
          </w:tcPr>
          <w:p>
            <w:pPr>
              <w:pStyle w:val="Compact"/>
              <w:jc w:val="left"/>
            </w:pPr>
            <w:r>
              <w:t xml:space="preserve">URS-201</w:t>
            </w:r>
          </w:p>
        </w:tc>
        <w:tc>
          <w:tcPr>
            <w:tcW w:type="dxa" w:w="8439"/>
          </w:tcPr>
          <w:p>
            <w:pPr>
              <w:pStyle w:val="Compact"/>
              <w:jc w:val="left"/>
            </w:pPr>
            <w:r>
              <w:t xml:space="preserve">The application supports these question types: free text, numeric, date, date-time, single choice, multiple choice, drop-down list, information screens, and automatically computed fields.</w:t>
            </w:r>
          </w:p>
        </w:tc>
        <w:tc>
          <w:tcPr>
            <w:tcW w:type="dxa" w:w="400"/>
          </w:tcPr>
          <w:p>
            <w:pPr>
              <w:pStyle w:val="Compact"/>
              <w:jc w:val="left"/>
            </w:pPr>
            <w:r>
              <w:t xml:space="preserve">M</w:t>
            </w:r>
          </w:p>
        </w:tc>
        <w:tc>
          <w:tcPr>
            <w:tcW w:type="dxa" w:w="400"/>
          </w:tcPr>
          <w:p>
            <w:pPr>
              <w:pStyle w:val="Compact"/>
              <w:jc w:val="left"/>
            </w:pPr>
            <w:r>
              <w:t xml:space="preserve">L</w:t>
            </w:r>
          </w:p>
        </w:tc>
        <w:tc>
          <w:tcPr>
            <w:tcW w:type="dxa" w:w="400"/>
          </w:tcPr>
          <w:p>
            <w:pPr>
              <w:pStyle w:val="Compact"/>
              <w:jc w:val="left"/>
            </w:pPr>
            <w:r>
              <w:t xml:space="preserve">L</w:t>
            </w:r>
          </w:p>
        </w:tc>
        <w:tc>
          <w:tcPr>
            <w:tcW w:type="dxa" w:w="876"/>
          </w:tcPr>
          <w:p>
            <w:pPr>
              <w:pStyle w:val="Compact"/>
              <w:jc w:val="left"/>
            </w:pPr>
            <w:r>
              <w:t xml:space="preserve">Low</w:t>
            </w:r>
          </w:p>
        </w:tc>
        <w:tc>
          <w:tcPr>
            <w:tcW w:type="dxa" w:w="2190"/>
          </w:tcPr>
          <w:p>
            <w:pPr>
              <w:pStyle w:val="Compact"/>
              <w:jc w:val="left"/>
            </w:pPr>
            <w:r>
              <w:t xml:space="preserve">OQ-07,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URS-202</w:t>
            </w:r>
          </w:p>
        </w:tc>
        <w:tc>
          <w:tcPr>
            <w:tcW w:type="dxa" w:w="8439"/>
          </w:tcPr>
          <w:p>
            <w:pPr>
              <w:pStyle w:val="Compact"/>
              <w:jc w:val="left"/>
            </w:pPr>
            <w:r>
              <w:t xml:space="preserve">Numeric and date answers outside the defined range are refused with a message, and the interviewer cannot proceed until the answer is corrected.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OQ-08,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URS-203</w:t>
            </w:r>
          </w:p>
        </w:tc>
        <w:tc>
          <w:tcPr>
            <w:tcW w:type="dxa" w:w="8439"/>
          </w:tcPr>
          <w:p>
            <w:pPr>
              <w:pStyle w:val="Compact"/>
              <w:jc w:val="left"/>
            </w:pPr>
            <w:r>
              <w:t xml:space="preserve">Cross-field consistency checks defined for the study are evaluated as data is entered. A failed check shows its message and blocks moving on until resolved.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OQ-09,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URS-204</w:t>
            </w:r>
          </w:p>
        </w:tc>
        <w:tc>
          <w:tcPr>
            <w:tcW w:type="dxa" w:w="8439"/>
          </w:tcPr>
          <w:p>
            <w:pPr>
              <w:pStyle w:val="Compact"/>
              <w:jc w:val="left"/>
            </w:pPr>
            <w:r>
              <w:t xml:space="preserve">Skip logic shows only the questions that apply. Answers to questions skipped because of a later change are cleared when the record is saved, so the record holds no inconsistent answers.</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OQ-10, AT-02, AT-03, AT-05</w:t>
            </w:r>
          </w:p>
        </w:tc>
        <w:tc>
          <w:tcPr>
            <w:tcW w:type="dxa" w:w="1205"/>
          </w:tcPr>
          <w:p>
            <w:pPr>
              <w:pStyle w:val="Compact"/>
              <w:jc w:val="left"/>
            </w:pPr>
            <w:r>
              <w:t xml:space="preserve">Met</w:t>
            </w:r>
          </w:p>
        </w:tc>
      </w:tr>
      <w:tr>
        <w:trPr>
          <w:cantSplit/>
        </w:trPr>
        <w:tc>
          <w:tcPr>
            <w:tcW w:type="dxa" w:w="876"/>
          </w:tcPr>
          <w:p>
            <w:pPr>
              <w:pStyle w:val="Compact"/>
              <w:jc w:val="left"/>
            </w:pPr>
            <w:r>
              <w:t xml:space="preserve">URS-205</w:t>
            </w:r>
          </w:p>
        </w:tc>
        <w:tc>
          <w:tcPr>
            <w:tcW w:type="dxa" w:w="8439"/>
          </w:tcPr>
          <w:p>
            <w:pPr>
              <w:pStyle w:val="Compact"/>
              <w:jc w:val="left"/>
            </w:pPr>
            <w:r>
              <w:t xml:space="preserve">A question must be answered before the interviewer can move on, unless the study’s definition marks it optional.</w:t>
            </w:r>
            <w:r>
              <w:t xml:space="preserve"> </w:t>
            </w:r>
            <w:r>
              <w:t xml:space="preserve">“</w:t>
            </w:r>
            <w:r>
              <w:t xml:space="preserve">Don’t know</w:t>
            </w:r>
            <w:r>
              <w:t xml:space="preserve">”</w:t>
            </w:r>
            <w:r>
              <w:t xml:space="preserve"> </w:t>
            </w:r>
            <w:r>
              <w:t xml:space="preserve">and</w:t>
            </w:r>
            <w:r>
              <w:t xml:space="preserve"> </w:t>
            </w:r>
            <w:r>
              <w:t xml:space="preserve">“</w:t>
            </w:r>
            <w:r>
              <w:t xml:space="preserve">Refused</w:t>
            </w:r>
            <w:r>
              <w:t xml:space="preserve">”</w:t>
            </w:r>
            <w:r>
              <w:t xml:space="preserve"> </w:t>
            </w:r>
            <w:r>
              <w:t xml:space="preserve">are recorded as answers where the definition offers them.</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OQ-07,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URS-206</w:t>
            </w:r>
          </w:p>
        </w:tc>
        <w:tc>
          <w:tcPr>
            <w:tcW w:type="dxa" w:w="8439"/>
          </w:tcPr>
          <w:p>
            <w:pPr>
              <w:pStyle w:val="Compact"/>
              <w:jc w:val="left"/>
            </w:pPr>
            <w:r>
              <w:t xml:space="preserve">A new record whose key fields duplicate an existing record is refused, as is a value defined as unique that is already in use.</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OQ-11,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URS-207</w:t>
            </w:r>
          </w:p>
        </w:tc>
        <w:tc>
          <w:tcPr>
            <w:tcW w:type="dxa" w:w="8439"/>
          </w:tcPr>
          <w:p>
            <w:pPr>
              <w:pStyle w:val="Compact"/>
              <w:jc w:val="left"/>
            </w:pPr>
            <w:r>
              <w:t xml:space="preserve">Participant and record identifiers are generated according to the study’s configuration. Generated identifiers are never duplicated within a device’s dataset for a survey.</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OQ-12,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URS-208</w:t>
            </w:r>
          </w:p>
        </w:tc>
        <w:tc>
          <w:tcPr>
            <w:tcW w:type="dxa" w:w="8439"/>
          </w:tcPr>
          <w:p>
            <w:pPr>
              <w:pStyle w:val="Compact"/>
              <w:jc w:val="left"/>
            </w:pPr>
            <w:r>
              <w:t xml:space="preserve">Each record automatically carries: interview start and stop times, a globally unique record identifier, the software name and version, the survey identifier, and the time of last modification.</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OQ-13,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URS-209</w:t>
            </w:r>
          </w:p>
        </w:tc>
        <w:tc>
          <w:tcPr>
            <w:tcW w:type="dxa" w:w="8439"/>
          </w:tcPr>
          <w:p>
            <w:pPr>
              <w:pStyle w:val="Compact"/>
              <w:jc w:val="left"/>
            </w:pPr>
            <w:r>
              <w:t xml:space="preserve">Input formats (masks, fixed lengths, decimal places) defined for a field are enforced during entry.</w:t>
            </w:r>
          </w:p>
        </w:tc>
        <w:tc>
          <w:tcPr>
            <w:tcW w:type="dxa" w:w="400"/>
          </w:tcPr>
          <w:p>
            <w:pPr>
              <w:pStyle w:val="Compact"/>
              <w:jc w:val="left"/>
            </w:pPr>
            <w:r>
              <w:t xml:space="preserve">L</w:t>
            </w:r>
          </w:p>
        </w:tc>
        <w:tc>
          <w:tcPr>
            <w:tcW w:type="dxa" w:w="400"/>
          </w:tcPr>
          <w:p>
            <w:pPr>
              <w:pStyle w:val="Compact"/>
              <w:jc w:val="left"/>
            </w:pPr>
            <w:r>
              <w:t xml:space="preserve">L</w:t>
            </w:r>
          </w:p>
        </w:tc>
        <w:tc>
          <w:tcPr>
            <w:tcW w:type="dxa" w:w="400"/>
          </w:tcPr>
          <w:p>
            <w:pPr>
              <w:pStyle w:val="Compact"/>
              <w:jc w:val="left"/>
            </w:pPr>
            <w:r>
              <w:t xml:space="preserve">L</w:t>
            </w:r>
          </w:p>
        </w:tc>
        <w:tc>
          <w:tcPr>
            <w:tcW w:type="dxa" w:w="876"/>
          </w:tcPr>
          <w:p>
            <w:pPr>
              <w:pStyle w:val="Compact"/>
              <w:jc w:val="left"/>
            </w:pPr>
            <w:r>
              <w:t xml:space="preserve">Low</w:t>
            </w:r>
          </w:p>
        </w:tc>
        <w:tc>
          <w:tcPr>
            <w:tcW w:type="dxa" w:w="2190"/>
          </w:tcPr>
          <w:p>
            <w:pPr>
              <w:pStyle w:val="Compact"/>
              <w:jc w:val="left"/>
            </w:pPr>
            <w:r>
              <w:t xml:space="preserve">OQ-38,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URS-210</w:t>
            </w:r>
          </w:p>
        </w:tc>
        <w:tc>
          <w:tcPr>
            <w:tcW w:type="dxa" w:w="8439"/>
          </w:tcPr>
          <w:p>
            <w:pPr>
              <w:pStyle w:val="Compact"/>
              <w:jc w:val="left"/>
            </w:pPr>
            <w:r>
              <w:t xml:space="preserve">All data capture works without a network connection. Saved records stay on the device across application restarts and device reboots until they are synchronised.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OQ-14, PQ-01</w:t>
            </w:r>
          </w:p>
        </w:tc>
        <w:tc>
          <w:tcPr>
            <w:tcW w:type="dxa" w:w="1205"/>
          </w:tcPr>
          <w:p>
            <w:pPr>
              <w:pStyle w:val="Compact"/>
              <w:jc w:val="left"/>
            </w:pPr>
            <w:r>
              <w:t xml:space="preserve">Met</w:t>
            </w:r>
          </w:p>
        </w:tc>
      </w:tr>
      <w:tr>
        <w:trPr>
          <w:cantSplit/>
        </w:trPr>
        <w:tc>
          <w:tcPr>
            <w:tcW w:type="dxa" w:w="876"/>
          </w:tcPr>
          <w:p>
            <w:pPr>
              <w:pStyle w:val="Compact"/>
              <w:jc w:val="left"/>
            </w:pPr>
            <w:r>
              <w:t xml:space="preserve">URS-211</w:t>
            </w:r>
          </w:p>
        </w:tc>
        <w:tc>
          <w:tcPr>
            <w:tcW w:type="dxa" w:w="8439"/>
          </w:tcPr>
          <w:p>
            <w:pPr>
              <w:pStyle w:val="Compact"/>
              <w:jc w:val="left"/>
            </w:pPr>
            <w:r>
              <w:t xml:space="preserve">Repeating groups and linked child forms (for example, household members) are linked to their parent record by the configured linking field.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OQ-36, AT-02, AT-03, AT-05</w:t>
            </w:r>
          </w:p>
        </w:tc>
        <w:tc>
          <w:tcPr>
            <w:tcW w:type="dxa" w:w="1205"/>
          </w:tcPr>
          <w:p>
            <w:pPr>
              <w:pStyle w:val="Compact"/>
              <w:jc w:val="left"/>
            </w:pPr>
            <w:r>
              <w:t xml:space="preserve">Met</w:t>
            </w:r>
          </w:p>
        </w:tc>
      </w:tr>
      <w:tr>
        <w:trPr>
          <w:cantSplit/>
        </w:trPr>
        <w:tc>
          <w:tcPr>
            <w:tcW w:type="dxa" w:w="876"/>
          </w:tcPr>
          <w:p>
            <w:pPr>
              <w:pStyle w:val="Compact"/>
              <w:jc w:val="left"/>
            </w:pPr>
            <w:r>
              <w:t xml:space="preserve">URS-212</w:t>
            </w:r>
          </w:p>
        </w:tc>
        <w:tc>
          <w:tcPr>
            <w:tcW w:type="dxa" w:w="8439"/>
          </w:tcPr>
          <w:p>
            <w:pPr>
              <w:pStyle w:val="Compact"/>
              <w:jc w:val="left"/>
            </w:pPr>
            <w:r>
              <w:t xml:space="preserve">Response options can come from the definition itself, from a CSV file in the package, or from data already collected on the device. Options are filtered as defined.</w:t>
            </w:r>
          </w:p>
        </w:tc>
        <w:tc>
          <w:tcPr>
            <w:tcW w:type="dxa" w:w="400"/>
          </w:tcPr>
          <w:p>
            <w:pPr>
              <w:pStyle w:val="Compact"/>
              <w:jc w:val="left"/>
            </w:pPr>
            <w:r>
              <w:t xml:space="preserve">M</w:t>
            </w:r>
          </w:p>
        </w:tc>
        <w:tc>
          <w:tcPr>
            <w:tcW w:type="dxa" w:w="400"/>
          </w:tcPr>
          <w:p>
            <w:pPr>
              <w:pStyle w:val="Compact"/>
              <w:jc w:val="left"/>
            </w:pPr>
            <w:r>
              <w:t xml:space="preserve">M</w:t>
            </w:r>
          </w:p>
        </w:tc>
        <w:tc>
          <w:tcPr>
            <w:tcW w:type="dxa" w:w="400"/>
          </w:tcPr>
          <w:p>
            <w:pPr>
              <w:pStyle w:val="Compact"/>
              <w:jc w:val="left"/>
            </w:pPr>
            <w:r>
              <w:t xml:space="preserve">L</w:t>
            </w:r>
          </w:p>
        </w:tc>
        <w:tc>
          <w:tcPr>
            <w:tcW w:type="dxa" w:w="876"/>
          </w:tcPr>
          <w:p>
            <w:pPr>
              <w:pStyle w:val="Compact"/>
              <w:jc w:val="left"/>
            </w:pPr>
            <w:r>
              <w:t xml:space="preserve">Medium</w:t>
            </w:r>
          </w:p>
        </w:tc>
        <w:tc>
          <w:tcPr>
            <w:tcW w:type="dxa" w:w="2190"/>
          </w:tcPr>
          <w:p>
            <w:pPr>
              <w:pStyle w:val="Compact"/>
              <w:jc w:val="left"/>
            </w:pPr>
            <w:r>
              <w:t xml:space="preserve">OQ-37,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URS-213</w:t>
            </w:r>
          </w:p>
        </w:tc>
        <w:tc>
          <w:tcPr>
            <w:tcW w:type="dxa" w:w="8439"/>
          </w:tcPr>
          <w:p>
            <w:pPr>
              <w:pStyle w:val="Compact"/>
              <w:jc w:val="left"/>
            </w:pPr>
            <w:r>
              <w:t xml:space="preserve">Collected data is never deleted from the device by application functions. Removing a survey definition from the device leaves its collected data in place.</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OQ-14</w:t>
            </w:r>
          </w:p>
        </w:tc>
        <w:tc>
          <w:tcPr>
            <w:tcW w:type="dxa" w:w="1205"/>
          </w:tcPr>
          <w:p>
            <w:pPr>
              <w:pStyle w:val="Compact"/>
              <w:jc w:val="left"/>
            </w:pPr>
            <w:r>
              <w:t xml:space="preserve">Met</w:t>
            </w:r>
          </w:p>
        </w:tc>
      </w:tr>
    </w:tbl>
    <w:bookmarkEnd w:id="26"/>
    <w:bookmarkStart w:id="27" w:name="data-changes-and-audit-trail"/>
    <w:p>
      <w:pPr>
        <w:pStyle w:val="Heading2"/>
      </w:pPr>
      <w:r>
        <w:t xml:space="preserve">4.3 Data changes and audit trail</w:t>
      </w:r>
    </w:p>
    <w:tbl>
      <w:tblPr>
        <w:tblStyle w:val="Table"/>
        <w:tblW w:type="dxa" w:w="1478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876"/>
        <w:gridCol w:w="8439"/>
        <w:gridCol w:w="400"/>
        <w:gridCol w:w="400"/>
        <w:gridCol w:w="400"/>
        <w:gridCol w:w="876"/>
        <w:gridCol w:w="2190"/>
        <w:gridCol w:w="1205"/>
      </w:tblGrid>
      <w:tr>
        <w:trPr>
          <w:cantSplit/>
          <w:tblHeader w:val="true"/>
        </w:trPr>
        <w:tc>
          <w:tcPr>
            <w:tcW w:type="dxa" w:w="876"/>
            <w:shd w:val="clear" w:color="auto" w:fill="DCE4EE"/>
          </w:tcPr>
          <w:p>
            <w:pPr>
              <w:pStyle w:val="Compact"/>
              <w:jc w:val="left"/>
            </w:pPr>
            <w:r>
              <w:t xml:space="preserve">ID</w:t>
            </w:r>
          </w:p>
        </w:tc>
        <w:tc>
          <w:tcPr>
            <w:tcW w:type="dxa" w:w="8439"/>
            <w:shd w:val="clear" w:color="auto" w:fill="DCE4EE"/>
          </w:tcPr>
          <w:p>
            <w:pPr>
              <w:pStyle w:val="Compact"/>
              <w:jc w:val="left"/>
            </w:pPr>
            <w:r>
              <w:t xml:space="preserve">Requirement</w:t>
            </w:r>
          </w:p>
        </w:tc>
        <w:tc>
          <w:tcPr>
            <w:tcW w:type="dxa" w:w="400"/>
            <w:shd w:val="clear" w:color="auto" w:fill="DCE4EE"/>
          </w:tcPr>
          <w:p>
            <w:pPr>
              <w:pStyle w:val="Compact"/>
              <w:jc w:val="left"/>
            </w:pPr>
            <w:r>
              <w:t xml:space="preserve">I</w:t>
            </w:r>
          </w:p>
        </w:tc>
        <w:tc>
          <w:tcPr>
            <w:tcW w:type="dxa" w:w="400"/>
            <w:shd w:val="clear" w:color="auto" w:fill="DCE4EE"/>
          </w:tcPr>
          <w:p>
            <w:pPr>
              <w:pStyle w:val="Compact"/>
              <w:jc w:val="left"/>
            </w:pPr>
            <w:r>
              <w:t xml:space="preserve">P</w:t>
            </w:r>
          </w:p>
        </w:tc>
        <w:tc>
          <w:tcPr>
            <w:tcW w:type="dxa" w:w="400"/>
            <w:shd w:val="clear" w:color="auto" w:fill="DCE4EE"/>
          </w:tcPr>
          <w:p>
            <w:pPr>
              <w:pStyle w:val="Compact"/>
              <w:jc w:val="left"/>
            </w:pPr>
            <w:r>
              <w:t xml:space="preserve">D</w:t>
            </w:r>
          </w:p>
        </w:tc>
        <w:tc>
          <w:tcPr>
            <w:tcW w:type="dxa" w:w="876"/>
            <w:shd w:val="clear" w:color="auto" w:fill="DCE4EE"/>
          </w:tcPr>
          <w:p>
            <w:pPr>
              <w:pStyle w:val="Compact"/>
              <w:jc w:val="left"/>
            </w:pPr>
            <w:r>
              <w:t xml:space="preserve">Risk</w:t>
            </w:r>
          </w:p>
        </w:tc>
        <w:tc>
          <w:tcPr>
            <w:tcW w:type="dxa" w:w="2190"/>
            <w:shd w:val="clear" w:color="auto" w:fill="DCE4EE"/>
          </w:tcPr>
          <w:p>
            <w:pPr>
              <w:pStyle w:val="Compact"/>
              <w:jc w:val="left"/>
            </w:pPr>
            <w:r>
              <w:t xml:space="preserve">Verified by</w:t>
            </w:r>
          </w:p>
        </w:tc>
        <w:tc>
          <w:tcPr>
            <w:tcW w:type="dxa" w:w="1205"/>
            <w:shd w:val="clear" w:color="auto" w:fill="DCE4EE"/>
          </w:tcPr>
          <w:p>
            <w:pPr>
              <w:pStyle w:val="Compact"/>
              <w:jc w:val="left"/>
            </w:pPr>
            <w:r>
              <w:t xml:space="preserve">Status</w:t>
            </w:r>
          </w:p>
        </w:tc>
      </w:tr>
      <w:tr>
        <w:trPr>
          <w:cantSplit/>
        </w:trPr>
        <w:tc>
          <w:tcPr>
            <w:tcW w:type="dxa" w:w="876"/>
          </w:tcPr>
          <w:p>
            <w:pPr>
              <w:pStyle w:val="Compact"/>
              <w:jc w:val="left"/>
            </w:pPr>
            <w:r>
              <w:t xml:space="preserve">URS-301</w:t>
            </w:r>
          </w:p>
        </w:tc>
        <w:tc>
          <w:tcPr>
            <w:tcW w:type="dxa" w:w="8439"/>
          </w:tcPr>
          <w:p>
            <w:pPr>
              <w:pStyle w:val="Compact"/>
              <w:jc w:val="left"/>
            </w:pPr>
            <w:r>
              <w:t xml:space="preserve">Any change to a saved record on the device is recorded in an audit trail on the device. Each entry gives the form, field, record identifier, old value, new value, date and time of the change, the user identifier, and a unique change identifier.</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OQ-15, AT-02, AT-03</w:t>
            </w:r>
          </w:p>
        </w:tc>
        <w:tc>
          <w:tcPr>
            <w:tcW w:type="dxa" w:w="1205"/>
          </w:tcPr>
          <w:p>
            <w:pPr>
              <w:pStyle w:val="Compact"/>
              <w:jc w:val="left"/>
            </w:pPr>
            <w:r>
              <w:t xml:space="preserve">Met</w:t>
            </w:r>
          </w:p>
        </w:tc>
      </w:tr>
      <w:tr>
        <w:trPr>
          <w:cantSplit/>
        </w:trPr>
        <w:tc>
          <w:tcPr>
            <w:tcW w:type="dxa" w:w="876"/>
          </w:tcPr>
          <w:p>
            <w:pPr>
              <w:pStyle w:val="Compact"/>
              <w:jc w:val="left"/>
            </w:pPr>
            <w:r>
              <w:t xml:space="preserve">URS-302</w:t>
            </w:r>
          </w:p>
        </w:tc>
        <w:tc>
          <w:tcPr>
            <w:tcW w:type="dxa" w:w="8439"/>
          </w:tcPr>
          <w:p>
            <w:pPr>
              <w:pStyle w:val="Compact"/>
              <w:jc w:val="left"/>
            </w:pPr>
            <w:r>
              <w:t xml:space="preserve">Device audit-trail entries are uploaded to the server and kept there unchanged. Uploading the same entry again changes nothing, and an attempt to upload an altered version of an existing entry is refused.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OQ-15, AT-08, AT-09</w:t>
            </w:r>
          </w:p>
        </w:tc>
        <w:tc>
          <w:tcPr>
            <w:tcW w:type="dxa" w:w="1205"/>
          </w:tcPr>
          <w:p>
            <w:pPr>
              <w:pStyle w:val="Compact"/>
              <w:jc w:val="left"/>
            </w:pPr>
            <w:r>
              <w:t xml:space="preserve">Met</w:t>
            </w:r>
          </w:p>
        </w:tc>
      </w:tr>
      <w:tr>
        <w:trPr>
          <w:cantSplit/>
        </w:trPr>
        <w:tc>
          <w:tcPr>
            <w:tcW w:type="dxa" w:w="876"/>
          </w:tcPr>
          <w:p>
            <w:pPr>
              <w:pStyle w:val="Compact"/>
              <w:jc w:val="left"/>
            </w:pPr>
            <w:r>
              <w:t xml:space="preserve">URS-303</w:t>
            </w:r>
          </w:p>
        </w:tc>
        <w:tc>
          <w:tcPr>
            <w:tcW w:type="dxa" w:w="8439"/>
          </w:tcPr>
          <w:p>
            <w:pPr>
              <w:pStyle w:val="Compact"/>
              <w:jc w:val="left"/>
            </w:pPr>
            <w:r>
              <w:t xml:space="preserve">The server records an audit event for every creation, change and deletion of study data and of study configuration (projects, members, field credentials, surveys, forms, data locks). The event records who did it, when (server time), the role or channel used, and the values before and after.</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OQ-23, AT-08, AT-09</w:t>
            </w:r>
          </w:p>
        </w:tc>
        <w:tc>
          <w:tcPr>
            <w:tcW w:type="dxa" w:w="1205"/>
          </w:tcPr>
          <w:p>
            <w:pPr>
              <w:pStyle w:val="Compact"/>
              <w:jc w:val="left"/>
            </w:pPr>
            <w:r>
              <w:t xml:space="preserve">Met</w:t>
            </w:r>
          </w:p>
        </w:tc>
      </w:tr>
      <w:tr>
        <w:trPr>
          <w:cantSplit/>
        </w:trPr>
        <w:tc>
          <w:tcPr>
            <w:tcW w:type="dxa" w:w="876"/>
          </w:tcPr>
          <w:p>
            <w:pPr>
              <w:pStyle w:val="Compact"/>
              <w:jc w:val="left"/>
            </w:pPr>
            <w:r>
              <w:t xml:space="preserve">URS-304</w:t>
            </w:r>
          </w:p>
        </w:tc>
        <w:tc>
          <w:tcPr>
            <w:tcW w:type="dxa" w:w="8439"/>
          </w:tcPr>
          <w:p>
            <w:pPr>
              <w:pStyle w:val="Compact"/>
              <w:jc w:val="left"/>
            </w:pPr>
            <w:r>
              <w:t xml:space="preserve">No user of the system, including project owners and the server’s own functions, can change or delete audit-trail records, by single or bulk operations.</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OQ-24, AT-08, AT-09</w:t>
            </w:r>
          </w:p>
        </w:tc>
        <w:tc>
          <w:tcPr>
            <w:tcW w:type="dxa" w:w="1205"/>
          </w:tcPr>
          <w:p>
            <w:pPr>
              <w:pStyle w:val="Compact"/>
              <w:jc w:val="left"/>
            </w:pPr>
            <w:r>
              <w:t xml:space="preserve">Met</w:t>
            </w:r>
          </w:p>
        </w:tc>
      </w:tr>
      <w:tr>
        <w:trPr>
          <w:cantSplit/>
        </w:trPr>
        <w:tc>
          <w:tcPr>
            <w:tcW w:type="dxa" w:w="876"/>
          </w:tcPr>
          <w:p>
            <w:pPr>
              <w:pStyle w:val="Compact"/>
              <w:jc w:val="left"/>
            </w:pPr>
            <w:r>
              <w:t xml:space="preserve">URS-305</w:t>
            </w:r>
          </w:p>
        </w:tc>
        <w:tc>
          <w:tcPr>
            <w:tcW w:type="dxa" w:w="8439"/>
          </w:tcPr>
          <w:p>
            <w:pPr>
              <w:pStyle w:val="Compact"/>
              <w:jc w:val="left"/>
            </w:pPr>
            <w:r>
              <w:t xml:space="preserve">The audit trail can be reviewed for each record in the portal, and exported for a whole project in a human-readable format.</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OQ-23, OQ-29</w:t>
            </w:r>
          </w:p>
        </w:tc>
        <w:tc>
          <w:tcPr>
            <w:tcW w:type="dxa" w:w="1205"/>
          </w:tcPr>
          <w:p>
            <w:pPr>
              <w:pStyle w:val="Compact"/>
              <w:jc w:val="left"/>
            </w:pPr>
            <w:r>
              <w:t xml:space="preserve">Met</w:t>
            </w:r>
          </w:p>
        </w:tc>
      </w:tr>
      <w:tr>
        <w:trPr>
          <w:cantSplit/>
        </w:trPr>
        <w:tc>
          <w:tcPr>
            <w:tcW w:type="dxa" w:w="876"/>
          </w:tcPr>
          <w:p>
            <w:pPr>
              <w:pStyle w:val="Compact"/>
              <w:jc w:val="left"/>
            </w:pPr>
            <w:r>
              <w:t xml:space="preserve">URS-306</w:t>
            </w:r>
          </w:p>
        </w:tc>
        <w:tc>
          <w:tcPr>
            <w:tcW w:type="dxa" w:w="8439"/>
          </w:tcPr>
          <w:p>
            <w:pPr>
              <w:pStyle w:val="Compact"/>
              <w:jc w:val="left"/>
            </w:pPr>
            <w:r>
              <w:t xml:space="preserve">A reason is recorded for every change to data that has already been saved.</w:t>
            </w:r>
          </w:p>
        </w:tc>
        <w:tc>
          <w:tcPr>
            <w:tcW w:type="dxa" w:w="400"/>
          </w:tcPr>
          <w:p>
            <w:pPr>
              <w:pStyle w:val="Compact"/>
              <w:jc w:val="left"/>
            </w:pPr>
            <w:r>
              <w:t xml:space="preserve">H</w:t>
            </w:r>
          </w:p>
        </w:tc>
        <w:tc>
          <w:tcPr>
            <w:tcW w:type="dxa" w:w="400"/>
          </w:tcPr>
          <w:p>
            <w:pPr>
              <w:pStyle w:val="Compact"/>
              <w:jc w:val="left"/>
            </w:pPr>
            <w:r>
              <w:t xml:space="preserve">H</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OQ-15, OQ-25, OQ-26, OQ-27</w:t>
            </w:r>
          </w:p>
        </w:tc>
        <w:tc>
          <w:tcPr>
            <w:tcW w:type="dxa" w:w="1205"/>
          </w:tcPr>
          <w:p>
            <w:pPr>
              <w:pStyle w:val="Compact"/>
              <w:jc w:val="left"/>
            </w:pPr>
            <w:r>
              <w:rPr>
                <w:bCs/>
                <w:b/>
              </w:rPr>
              <w:t xml:space="preserve">Partly met</w:t>
            </w:r>
            <w:r>
              <w:t xml:space="preserve">: recorded for portal actions (reclassification, data lock, purge, key revocation), not yet for edits made on the device. See R-01.</w:t>
            </w:r>
          </w:p>
        </w:tc>
      </w:tr>
      <w:tr>
        <w:trPr>
          <w:cantSplit/>
        </w:trPr>
        <w:tc>
          <w:tcPr>
            <w:tcW w:type="dxa" w:w="876"/>
          </w:tcPr>
          <w:p>
            <w:pPr>
              <w:pStyle w:val="Compact"/>
              <w:jc w:val="left"/>
            </w:pPr>
            <w:r>
              <w:t xml:space="preserve">URS-307</w:t>
            </w:r>
          </w:p>
        </w:tc>
        <w:tc>
          <w:tcPr>
            <w:tcW w:type="dxa" w:w="8439"/>
          </w:tcPr>
          <w:p>
            <w:pPr>
              <w:pStyle w:val="Compact"/>
              <w:jc w:val="left"/>
            </w:pPr>
            <w:r>
              <w:t xml:space="preserve">Server timestamps come from the server clock and include the time zone. Device timestamps record the local wall-clock time of the event.</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OQ-23, AT-08</w:t>
            </w:r>
          </w:p>
        </w:tc>
        <w:tc>
          <w:tcPr>
            <w:tcW w:type="dxa" w:w="1205"/>
          </w:tcPr>
          <w:p>
            <w:pPr>
              <w:pStyle w:val="Compact"/>
              <w:jc w:val="left"/>
            </w:pPr>
            <w:r>
              <w:t xml:space="preserve">Met; device time zone not uploaded, see R-17</w:t>
            </w:r>
          </w:p>
        </w:tc>
      </w:tr>
      <w:tr>
        <w:trPr>
          <w:cantSplit/>
        </w:trPr>
        <w:tc>
          <w:tcPr>
            <w:tcW w:type="dxa" w:w="876"/>
          </w:tcPr>
          <w:p>
            <w:pPr>
              <w:pStyle w:val="Compact"/>
              <w:jc w:val="left"/>
            </w:pPr>
            <w:r>
              <w:t xml:space="preserve">URS-308</w:t>
            </w:r>
          </w:p>
        </w:tc>
        <w:tc>
          <w:tcPr>
            <w:tcW w:type="dxa" w:w="8439"/>
          </w:tcPr>
          <w:p>
            <w:pPr>
              <w:pStyle w:val="Compact"/>
              <w:jc w:val="left"/>
            </w:pPr>
            <w:r>
              <w:t xml:space="preserve">Portal users cannot create, change or delete collected records. Data originates only from field devices.</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OQ-22, AT-08, AT-09</w:t>
            </w:r>
          </w:p>
        </w:tc>
        <w:tc>
          <w:tcPr>
            <w:tcW w:type="dxa" w:w="1205"/>
          </w:tcPr>
          <w:p>
            <w:pPr>
              <w:pStyle w:val="Compact"/>
              <w:jc w:val="left"/>
            </w:pPr>
            <w:r>
              <w:t xml:space="preserve">Met</w:t>
            </w:r>
          </w:p>
        </w:tc>
      </w:tr>
    </w:tbl>
    <w:bookmarkEnd w:id="27"/>
    <w:bookmarkStart w:id="28" w:name="access-control-and-security"/>
    <w:p>
      <w:pPr>
        <w:pStyle w:val="Heading2"/>
      </w:pPr>
      <w:r>
        <w:t xml:space="preserve">4.4 Access control and security</w:t>
      </w:r>
    </w:p>
    <w:tbl>
      <w:tblPr>
        <w:tblStyle w:val="Table"/>
        <w:tblW w:type="dxa" w:w="1478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876"/>
        <w:gridCol w:w="8439"/>
        <w:gridCol w:w="400"/>
        <w:gridCol w:w="400"/>
        <w:gridCol w:w="400"/>
        <w:gridCol w:w="876"/>
        <w:gridCol w:w="2190"/>
        <w:gridCol w:w="1205"/>
      </w:tblGrid>
      <w:tr>
        <w:trPr>
          <w:cantSplit/>
          <w:tblHeader w:val="true"/>
        </w:trPr>
        <w:tc>
          <w:tcPr>
            <w:tcW w:type="dxa" w:w="876"/>
            <w:shd w:val="clear" w:color="auto" w:fill="DCE4EE"/>
          </w:tcPr>
          <w:p>
            <w:pPr>
              <w:pStyle w:val="Compact"/>
              <w:jc w:val="left"/>
            </w:pPr>
            <w:r>
              <w:t xml:space="preserve">ID</w:t>
            </w:r>
          </w:p>
        </w:tc>
        <w:tc>
          <w:tcPr>
            <w:tcW w:type="dxa" w:w="8439"/>
            <w:shd w:val="clear" w:color="auto" w:fill="DCE4EE"/>
          </w:tcPr>
          <w:p>
            <w:pPr>
              <w:pStyle w:val="Compact"/>
              <w:jc w:val="left"/>
            </w:pPr>
            <w:r>
              <w:t xml:space="preserve">Requirement</w:t>
            </w:r>
          </w:p>
        </w:tc>
        <w:tc>
          <w:tcPr>
            <w:tcW w:type="dxa" w:w="400"/>
            <w:shd w:val="clear" w:color="auto" w:fill="DCE4EE"/>
          </w:tcPr>
          <w:p>
            <w:pPr>
              <w:pStyle w:val="Compact"/>
              <w:jc w:val="left"/>
            </w:pPr>
            <w:r>
              <w:t xml:space="preserve">I</w:t>
            </w:r>
          </w:p>
        </w:tc>
        <w:tc>
          <w:tcPr>
            <w:tcW w:type="dxa" w:w="400"/>
            <w:shd w:val="clear" w:color="auto" w:fill="DCE4EE"/>
          </w:tcPr>
          <w:p>
            <w:pPr>
              <w:pStyle w:val="Compact"/>
              <w:jc w:val="left"/>
            </w:pPr>
            <w:r>
              <w:t xml:space="preserve">P</w:t>
            </w:r>
          </w:p>
        </w:tc>
        <w:tc>
          <w:tcPr>
            <w:tcW w:type="dxa" w:w="400"/>
            <w:shd w:val="clear" w:color="auto" w:fill="DCE4EE"/>
          </w:tcPr>
          <w:p>
            <w:pPr>
              <w:pStyle w:val="Compact"/>
              <w:jc w:val="left"/>
            </w:pPr>
            <w:r>
              <w:t xml:space="preserve">D</w:t>
            </w:r>
          </w:p>
        </w:tc>
        <w:tc>
          <w:tcPr>
            <w:tcW w:type="dxa" w:w="876"/>
            <w:shd w:val="clear" w:color="auto" w:fill="DCE4EE"/>
          </w:tcPr>
          <w:p>
            <w:pPr>
              <w:pStyle w:val="Compact"/>
              <w:jc w:val="left"/>
            </w:pPr>
            <w:r>
              <w:t xml:space="preserve">Risk</w:t>
            </w:r>
          </w:p>
        </w:tc>
        <w:tc>
          <w:tcPr>
            <w:tcW w:type="dxa" w:w="2190"/>
            <w:shd w:val="clear" w:color="auto" w:fill="DCE4EE"/>
          </w:tcPr>
          <w:p>
            <w:pPr>
              <w:pStyle w:val="Compact"/>
              <w:jc w:val="left"/>
            </w:pPr>
            <w:r>
              <w:t xml:space="preserve">Verified by</w:t>
            </w:r>
          </w:p>
        </w:tc>
        <w:tc>
          <w:tcPr>
            <w:tcW w:type="dxa" w:w="1205"/>
            <w:shd w:val="clear" w:color="auto" w:fill="DCE4EE"/>
          </w:tcPr>
          <w:p>
            <w:pPr>
              <w:pStyle w:val="Compact"/>
              <w:jc w:val="left"/>
            </w:pPr>
            <w:r>
              <w:t xml:space="preserve">Status</w:t>
            </w:r>
          </w:p>
        </w:tc>
      </w:tr>
      <w:tr>
        <w:trPr>
          <w:cantSplit/>
        </w:trPr>
        <w:tc>
          <w:tcPr>
            <w:tcW w:type="dxa" w:w="876"/>
          </w:tcPr>
          <w:p>
            <w:pPr>
              <w:pStyle w:val="Compact"/>
              <w:jc w:val="left"/>
            </w:pPr>
            <w:r>
              <w:t xml:space="preserve">URS-401</w:t>
            </w:r>
          </w:p>
        </w:tc>
        <w:tc>
          <w:tcPr>
            <w:tcW w:type="dxa" w:w="8439"/>
          </w:tcPr>
          <w:p>
            <w:pPr>
              <w:pStyle w:val="Compact"/>
              <w:jc w:val="left"/>
            </w:pPr>
            <w:r>
              <w:t xml:space="preserve">Each portal user has an individual account identified by a verified e-mail address. Passwords are at least 10 characters, and changing a password requires re-authentication.</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OQ-20, IQ-06, AT-07</w:t>
            </w:r>
          </w:p>
        </w:tc>
        <w:tc>
          <w:tcPr>
            <w:tcW w:type="dxa" w:w="1205"/>
          </w:tcPr>
          <w:p>
            <w:pPr>
              <w:pStyle w:val="Compact"/>
              <w:jc w:val="left"/>
            </w:pPr>
            <w:r>
              <w:t xml:space="preserve">Met</w:t>
            </w:r>
          </w:p>
        </w:tc>
      </w:tr>
      <w:tr>
        <w:trPr>
          <w:cantSplit/>
        </w:trPr>
        <w:tc>
          <w:tcPr>
            <w:tcW w:type="dxa" w:w="876"/>
          </w:tcPr>
          <w:p>
            <w:pPr>
              <w:pStyle w:val="Compact"/>
              <w:jc w:val="left"/>
            </w:pPr>
            <w:r>
              <w:t xml:space="preserve">URS-402</w:t>
            </w:r>
          </w:p>
        </w:tc>
        <w:tc>
          <w:tcPr>
            <w:tcW w:type="dxa" w:w="8439"/>
          </w:tcPr>
          <w:p>
            <w:pPr>
              <w:pStyle w:val="Compact"/>
              <w:jc w:val="left"/>
            </w:pPr>
            <w:r>
              <w:t xml:space="preserve">Access to each project is role-based (Owner, Editor, Viewer). Permissions are enforced by the server, not only hidden in the user interface. A user who is not a member of a project can see nothing of it.</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OQ-21, AT-08</w:t>
            </w:r>
          </w:p>
        </w:tc>
        <w:tc>
          <w:tcPr>
            <w:tcW w:type="dxa" w:w="1205"/>
          </w:tcPr>
          <w:p>
            <w:pPr>
              <w:pStyle w:val="Compact"/>
              <w:jc w:val="left"/>
            </w:pPr>
            <w:r>
              <w:t xml:space="preserve">Met</w:t>
            </w:r>
          </w:p>
        </w:tc>
      </w:tr>
      <w:tr>
        <w:trPr>
          <w:cantSplit/>
        </w:trPr>
        <w:tc>
          <w:tcPr>
            <w:tcW w:type="dxa" w:w="876"/>
          </w:tcPr>
          <w:p>
            <w:pPr>
              <w:pStyle w:val="Compact"/>
              <w:jc w:val="left"/>
            </w:pPr>
            <w:r>
              <w:t xml:space="preserve">URS-403</w:t>
            </w:r>
          </w:p>
        </w:tc>
        <w:tc>
          <w:tcPr>
            <w:tcW w:type="dxa" w:w="8439"/>
          </w:tcPr>
          <w:p>
            <w:pPr>
              <w:pStyle w:val="Compact"/>
              <w:jc w:val="left"/>
            </w:pPr>
            <w:r>
              <w:t xml:space="preserve">Field devices authenticate with a project code, username and password. Passwords are stored only as salted hashes. Failed logins return one uniform message, and repeated failures lock the username and the source address for a period.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OQ-16, AT-08</w:t>
            </w:r>
          </w:p>
        </w:tc>
        <w:tc>
          <w:tcPr>
            <w:tcW w:type="dxa" w:w="1205"/>
          </w:tcPr>
          <w:p>
            <w:pPr>
              <w:pStyle w:val="Compact"/>
              <w:jc w:val="left"/>
            </w:pPr>
            <w:r>
              <w:t xml:space="preserve">Met</w:t>
            </w:r>
          </w:p>
        </w:tc>
      </w:tr>
      <w:tr>
        <w:trPr>
          <w:cantSplit/>
        </w:trPr>
        <w:tc>
          <w:tcPr>
            <w:tcW w:type="dxa" w:w="876"/>
          </w:tcPr>
          <w:p>
            <w:pPr>
              <w:pStyle w:val="Compact"/>
              <w:jc w:val="left"/>
            </w:pPr>
            <w:r>
              <w:t xml:space="preserve">URS-404</w:t>
            </w:r>
          </w:p>
        </w:tc>
        <w:tc>
          <w:tcPr>
            <w:tcW w:type="dxa" w:w="8439"/>
          </w:tcPr>
          <w:p>
            <w:pPr>
              <w:pStyle w:val="Compact"/>
              <w:jc w:val="left"/>
            </w:pPr>
            <w:r>
              <w:t xml:space="preserve">Device sessions expire, and are refused immediately when the credential is disabled or reset, or when the project is paused or archived. Data already on the device is kept.</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OQ-17, AT-08</w:t>
            </w:r>
          </w:p>
        </w:tc>
        <w:tc>
          <w:tcPr>
            <w:tcW w:type="dxa" w:w="1205"/>
          </w:tcPr>
          <w:p>
            <w:pPr>
              <w:pStyle w:val="Compact"/>
              <w:jc w:val="left"/>
            </w:pPr>
            <w:r>
              <w:t xml:space="preserve">Met</w:t>
            </w:r>
          </w:p>
        </w:tc>
      </w:tr>
      <w:tr>
        <w:trPr>
          <w:cantSplit/>
        </w:trPr>
        <w:tc>
          <w:tcPr>
            <w:tcW w:type="dxa" w:w="876"/>
          </w:tcPr>
          <w:p>
            <w:pPr>
              <w:pStyle w:val="Compact"/>
              <w:jc w:val="left"/>
            </w:pPr>
            <w:r>
              <w:t xml:space="preserve">URS-405</w:t>
            </w:r>
          </w:p>
        </w:tc>
        <w:tc>
          <w:tcPr>
            <w:tcW w:type="dxa" w:w="8439"/>
          </w:tcPr>
          <w:p>
            <w:pPr>
              <w:pStyle w:val="Compact"/>
              <w:jc w:val="left"/>
            </w:pPr>
            <w:r>
              <w:t xml:space="preserve">All communication between devices, browsers and the server is encrypted (HTTPS/TLS).</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OQ-34, IQ-07</w:t>
            </w:r>
          </w:p>
        </w:tc>
        <w:tc>
          <w:tcPr>
            <w:tcW w:type="dxa" w:w="1205"/>
          </w:tcPr>
          <w:p>
            <w:pPr>
              <w:pStyle w:val="Compact"/>
              <w:jc w:val="left"/>
            </w:pPr>
            <w:r>
              <w:t xml:space="preserve">Met</w:t>
            </w:r>
          </w:p>
        </w:tc>
      </w:tr>
      <w:tr>
        <w:trPr>
          <w:cantSplit/>
        </w:trPr>
        <w:tc>
          <w:tcPr>
            <w:tcW w:type="dxa" w:w="876"/>
          </w:tcPr>
          <w:p>
            <w:pPr>
              <w:pStyle w:val="Compact"/>
              <w:jc w:val="left"/>
            </w:pPr>
            <w:r>
              <w:t xml:space="preserve">URS-406</w:t>
            </w:r>
          </w:p>
        </w:tc>
        <w:tc>
          <w:tcPr>
            <w:tcW w:type="dxa" w:w="8439"/>
          </w:tcPr>
          <w:p>
            <w:pPr>
              <w:pStyle w:val="Compact"/>
              <w:jc w:val="left"/>
            </w:pPr>
            <w:r>
              <w:t xml:space="preserve">Portal users are able to use, and privileged users are required to use, multi-factor authentication.</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IQ-06</w:t>
            </w:r>
          </w:p>
        </w:tc>
        <w:tc>
          <w:tcPr>
            <w:tcW w:type="dxa" w:w="1205"/>
          </w:tcPr>
          <w:p>
            <w:pPr>
              <w:pStyle w:val="Compact"/>
              <w:jc w:val="left"/>
            </w:pPr>
            <w:r>
              <w:rPr>
                <w:bCs/>
                <w:b/>
              </w:rPr>
              <w:t xml:space="preserve">Gap</w:t>
            </w:r>
            <w:r>
              <w:t xml:space="preserve">, see R-02</w:t>
            </w:r>
          </w:p>
        </w:tc>
      </w:tr>
      <w:tr>
        <w:trPr>
          <w:cantSplit/>
        </w:trPr>
        <w:tc>
          <w:tcPr>
            <w:tcW w:type="dxa" w:w="876"/>
          </w:tcPr>
          <w:p>
            <w:pPr>
              <w:pStyle w:val="Compact"/>
              <w:jc w:val="left"/>
            </w:pPr>
            <w:r>
              <w:t xml:space="preserve">URS-407</w:t>
            </w:r>
          </w:p>
        </w:tc>
        <w:tc>
          <w:tcPr>
            <w:tcW w:type="dxa" w:w="8439"/>
          </w:tcPr>
          <w:p>
            <w:pPr>
              <w:pStyle w:val="Compact"/>
              <w:jc w:val="left"/>
            </w:pPr>
            <w:r>
              <w:t xml:space="preserve">Inactive portal sessions end automatically after a defined period and require re-authentication.</w:t>
            </w:r>
          </w:p>
        </w:tc>
        <w:tc>
          <w:tcPr>
            <w:tcW w:type="dxa" w:w="400"/>
          </w:tcPr>
          <w:p>
            <w:pPr>
              <w:pStyle w:val="Compact"/>
              <w:jc w:val="left"/>
            </w:pPr>
            <w:r>
              <w:t xml:space="preserve">M</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IQ-06</w:t>
            </w:r>
          </w:p>
        </w:tc>
        <w:tc>
          <w:tcPr>
            <w:tcW w:type="dxa" w:w="1205"/>
          </w:tcPr>
          <w:p>
            <w:pPr>
              <w:pStyle w:val="Compact"/>
              <w:jc w:val="left"/>
            </w:pPr>
            <w:r>
              <w:rPr>
                <w:bCs/>
                <w:b/>
              </w:rPr>
              <w:t xml:space="preserve">Gap</w:t>
            </w:r>
            <w:r>
              <w:t xml:space="preserve">, see R-03</w:t>
            </w:r>
          </w:p>
        </w:tc>
      </w:tr>
      <w:tr>
        <w:trPr>
          <w:cantSplit/>
        </w:trPr>
        <w:tc>
          <w:tcPr>
            <w:tcW w:type="dxa" w:w="876"/>
          </w:tcPr>
          <w:p>
            <w:pPr>
              <w:pStyle w:val="Compact"/>
              <w:jc w:val="left"/>
            </w:pPr>
            <w:r>
              <w:t xml:space="preserve">URS-408</w:t>
            </w:r>
          </w:p>
        </w:tc>
        <w:tc>
          <w:tcPr>
            <w:tcW w:type="dxa" w:w="8439"/>
          </w:tcPr>
          <w:p>
            <w:pPr>
              <w:pStyle w:val="Compact"/>
              <w:jc w:val="left"/>
            </w:pPr>
            <w:r>
              <w:t xml:space="preserve">Lists of current project members, their roles and field credentials (including disabled ones) are available, and every change to access is in the audit trail.</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OQ-35, OQ-23</w:t>
            </w:r>
          </w:p>
        </w:tc>
        <w:tc>
          <w:tcPr>
            <w:tcW w:type="dxa" w:w="1205"/>
          </w:tcPr>
          <w:p>
            <w:pPr>
              <w:pStyle w:val="Compact"/>
              <w:jc w:val="left"/>
            </w:pPr>
            <w:r>
              <w:t xml:space="preserve">Met</w:t>
            </w:r>
          </w:p>
        </w:tc>
      </w:tr>
      <w:tr>
        <w:trPr>
          <w:cantSplit/>
        </w:trPr>
        <w:tc>
          <w:tcPr>
            <w:tcW w:type="dxa" w:w="876"/>
          </w:tcPr>
          <w:p>
            <w:pPr>
              <w:pStyle w:val="Compact"/>
              <w:jc w:val="left"/>
            </w:pPr>
            <w:r>
              <w:t xml:space="preserve">URS-409</w:t>
            </w:r>
          </w:p>
        </w:tc>
        <w:tc>
          <w:tcPr>
            <w:tcW w:type="dxa" w:w="8439"/>
          </w:tcPr>
          <w:p>
            <w:pPr>
              <w:pStyle w:val="Compact"/>
              <w:jc w:val="left"/>
            </w:pPr>
            <w:r>
              <w:t xml:space="preserve">Read-only API keys for data feeds are limited to one project, stored only as hashes, and can expire or be revoked. Their creation, use and revocation are audited.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OQ-30, AT-08</w:t>
            </w:r>
          </w:p>
        </w:tc>
        <w:tc>
          <w:tcPr>
            <w:tcW w:type="dxa" w:w="1205"/>
          </w:tcPr>
          <w:p>
            <w:pPr>
              <w:pStyle w:val="Compact"/>
              <w:jc w:val="left"/>
            </w:pPr>
            <w:r>
              <w:t xml:space="preserve">Met</w:t>
            </w:r>
          </w:p>
        </w:tc>
      </w:tr>
      <w:tr>
        <w:trPr>
          <w:cantSplit/>
        </w:trPr>
        <w:tc>
          <w:tcPr>
            <w:tcW w:type="dxa" w:w="876"/>
          </w:tcPr>
          <w:p>
            <w:pPr>
              <w:pStyle w:val="Compact"/>
              <w:jc w:val="left"/>
            </w:pPr>
            <w:r>
              <w:t xml:space="preserve">URS-410</w:t>
            </w:r>
          </w:p>
        </w:tc>
        <w:tc>
          <w:tcPr>
            <w:tcW w:type="dxa" w:w="8439"/>
          </w:tcPr>
          <w:p>
            <w:pPr>
              <w:pStyle w:val="Compact"/>
              <w:jc w:val="left"/>
            </w:pPr>
            <w:r>
              <w:t xml:space="preserve">Survey package files are readable only by members of the project they belong to. Only Owners and Editors can upload them.</w:t>
            </w:r>
          </w:p>
        </w:tc>
        <w:tc>
          <w:tcPr>
            <w:tcW w:type="dxa" w:w="400"/>
          </w:tcPr>
          <w:p>
            <w:pPr>
              <w:pStyle w:val="Compact"/>
              <w:jc w:val="left"/>
            </w:pPr>
            <w:r>
              <w:t xml:space="preserve">M</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OQ-21, AT-08</w:t>
            </w:r>
          </w:p>
        </w:tc>
        <w:tc>
          <w:tcPr>
            <w:tcW w:type="dxa" w:w="1205"/>
          </w:tcPr>
          <w:p>
            <w:pPr>
              <w:pStyle w:val="Compact"/>
              <w:jc w:val="left"/>
            </w:pPr>
            <w:r>
              <w:t xml:space="preserve">Met</w:t>
            </w:r>
          </w:p>
        </w:tc>
      </w:tr>
      <w:tr>
        <w:trPr>
          <w:cantSplit/>
        </w:trPr>
        <w:tc>
          <w:tcPr>
            <w:tcW w:type="dxa" w:w="876"/>
          </w:tcPr>
          <w:p>
            <w:pPr>
              <w:pStyle w:val="Compact"/>
              <w:jc w:val="left"/>
            </w:pPr>
            <w:r>
              <w:t xml:space="preserve">URS-411</w:t>
            </w:r>
          </w:p>
        </w:tc>
        <w:tc>
          <w:tcPr>
            <w:tcW w:type="dxa" w:w="8439"/>
          </w:tcPr>
          <w:p>
            <w:pPr>
              <w:pStyle w:val="Compact"/>
              <w:jc w:val="left"/>
            </w:pPr>
            <w:r>
              <w:t xml:space="preserve">Study data stored on field devices is protected against access by unauthorised persons if a device is lost or stolen.</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DK-SOP-001 §9</w:t>
            </w:r>
          </w:p>
        </w:tc>
        <w:tc>
          <w:tcPr>
            <w:tcW w:type="dxa" w:w="1205"/>
          </w:tcPr>
          <w:p>
            <w:pPr>
              <w:pStyle w:val="Compact"/>
              <w:jc w:val="left"/>
            </w:pPr>
            <w:r>
              <w:rPr>
                <w:bCs/>
                <w:b/>
              </w:rPr>
              <w:t xml:space="preserve">Partly met</w:t>
            </w:r>
            <w:r>
              <w:t xml:space="preserve">: relies on device encryption and screen lock, see R-06 and R-07</w:t>
            </w:r>
          </w:p>
        </w:tc>
      </w:tr>
      <w:tr>
        <w:trPr>
          <w:cantSplit/>
        </w:trPr>
        <w:tc>
          <w:tcPr>
            <w:tcW w:type="dxa" w:w="876"/>
          </w:tcPr>
          <w:p>
            <w:pPr>
              <w:pStyle w:val="Compact"/>
              <w:jc w:val="left"/>
            </w:pPr>
            <w:r>
              <w:t xml:space="preserve">URS-412</w:t>
            </w:r>
          </w:p>
        </w:tc>
        <w:tc>
          <w:tcPr>
            <w:tcW w:type="dxa" w:w="8439"/>
          </w:tcPr>
          <w:p>
            <w:pPr>
              <w:pStyle w:val="Compact"/>
              <w:jc w:val="left"/>
            </w:pPr>
            <w:r>
              <w:t xml:space="preserve">Portal accounts are protected against repeated password guessing.</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IQ-06</w:t>
            </w:r>
          </w:p>
        </w:tc>
        <w:tc>
          <w:tcPr>
            <w:tcW w:type="dxa" w:w="1205"/>
          </w:tcPr>
          <w:p>
            <w:pPr>
              <w:pStyle w:val="Compact"/>
              <w:jc w:val="left"/>
            </w:pPr>
            <w:r>
              <w:rPr>
                <w:bCs/>
                <w:b/>
              </w:rPr>
              <w:t xml:space="preserve">Partly met</w:t>
            </w:r>
            <w:r>
              <w:t xml:space="preserve">: rate limiting only, see R-05</w:t>
            </w:r>
          </w:p>
        </w:tc>
      </w:tr>
    </w:tbl>
    <w:bookmarkEnd w:id="28"/>
    <w:bookmarkStart w:id="29" w:name="synchronisation-and-data-transfer"/>
    <w:p>
      <w:pPr>
        <w:pStyle w:val="Heading2"/>
      </w:pPr>
      <w:r>
        <w:t xml:space="preserve">4.5 Synchronisation and data transfer</w:t>
      </w:r>
    </w:p>
    <w:tbl>
      <w:tblPr>
        <w:tblStyle w:val="Table"/>
        <w:tblW w:type="dxa" w:w="1478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876"/>
        <w:gridCol w:w="8439"/>
        <w:gridCol w:w="400"/>
        <w:gridCol w:w="400"/>
        <w:gridCol w:w="400"/>
        <w:gridCol w:w="876"/>
        <w:gridCol w:w="2190"/>
        <w:gridCol w:w="1205"/>
      </w:tblGrid>
      <w:tr>
        <w:trPr>
          <w:cantSplit/>
          <w:tblHeader w:val="true"/>
        </w:trPr>
        <w:tc>
          <w:tcPr>
            <w:tcW w:type="dxa" w:w="876"/>
            <w:shd w:val="clear" w:color="auto" w:fill="DCE4EE"/>
          </w:tcPr>
          <w:p>
            <w:pPr>
              <w:pStyle w:val="Compact"/>
              <w:jc w:val="left"/>
            </w:pPr>
            <w:r>
              <w:t xml:space="preserve">ID</w:t>
            </w:r>
          </w:p>
        </w:tc>
        <w:tc>
          <w:tcPr>
            <w:tcW w:type="dxa" w:w="8439"/>
            <w:shd w:val="clear" w:color="auto" w:fill="DCE4EE"/>
          </w:tcPr>
          <w:p>
            <w:pPr>
              <w:pStyle w:val="Compact"/>
              <w:jc w:val="left"/>
            </w:pPr>
            <w:r>
              <w:t xml:space="preserve">Requirement</w:t>
            </w:r>
          </w:p>
        </w:tc>
        <w:tc>
          <w:tcPr>
            <w:tcW w:type="dxa" w:w="400"/>
            <w:shd w:val="clear" w:color="auto" w:fill="DCE4EE"/>
          </w:tcPr>
          <w:p>
            <w:pPr>
              <w:pStyle w:val="Compact"/>
              <w:jc w:val="left"/>
            </w:pPr>
            <w:r>
              <w:t xml:space="preserve">I</w:t>
            </w:r>
          </w:p>
        </w:tc>
        <w:tc>
          <w:tcPr>
            <w:tcW w:type="dxa" w:w="400"/>
            <w:shd w:val="clear" w:color="auto" w:fill="DCE4EE"/>
          </w:tcPr>
          <w:p>
            <w:pPr>
              <w:pStyle w:val="Compact"/>
              <w:jc w:val="left"/>
            </w:pPr>
            <w:r>
              <w:t xml:space="preserve">P</w:t>
            </w:r>
          </w:p>
        </w:tc>
        <w:tc>
          <w:tcPr>
            <w:tcW w:type="dxa" w:w="400"/>
            <w:shd w:val="clear" w:color="auto" w:fill="DCE4EE"/>
          </w:tcPr>
          <w:p>
            <w:pPr>
              <w:pStyle w:val="Compact"/>
              <w:jc w:val="left"/>
            </w:pPr>
            <w:r>
              <w:t xml:space="preserve">D</w:t>
            </w:r>
          </w:p>
        </w:tc>
        <w:tc>
          <w:tcPr>
            <w:tcW w:type="dxa" w:w="876"/>
            <w:shd w:val="clear" w:color="auto" w:fill="DCE4EE"/>
          </w:tcPr>
          <w:p>
            <w:pPr>
              <w:pStyle w:val="Compact"/>
              <w:jc w:val="left"/>
            </w:pPr>
            <w:r>
              <w:t xml:space="preserve">Risk</w:t>
            </w:r>
          </w:p>
        </w:tc>
        <w:tc>
          <w:tcPr>
            <w:tcW w:type="dxa" w:w="2190"/>
            <w:shd w:val="clear" w:color="auto" w:fill="DCE4EE"/>
          </w:tcPr>
          <w:p>
            <w:pPr>
              <w:pStyle w:val="Compact"/>
              <w:jc w:val="left"/>
            </w:pPr>
            <w:r>
              <w:t xml:space="preserve">Verified by</w:t>
            </w:r>
          </w:p>
        </w:tc>
        <w:tc>
          <w:tcPr>
            <w:tcW w:type="dxa" w:w="1205"/>
            <w:shd w:val="clear" w:color="auto" w:fill="DCE4EE"/>
          </w:tcPr>
          <w:p>
            <w:pPr>
              <w:pStyle w:val="Compact"/>
              <w:jc w:val="left"/>
            </w:pPr>
            <w:r>
              <w:t xml:space="preserve">Status</w:t>
            </w:r>
          </w:p>
        </w:tc>
      </w:tr>
      <w:tr>
        <w:trPr>
          <w:cantSplit/>
        </w:trPr>
        <w:tc>
          <w:tcPr>
            <w:tcW w:type="dxa" w:w="876"/>
          </w:tcPr>
          <w:p>
            <w:pPr>
              <w:pStyle w:val="Compact"/>
              <w:jc w:val="left"/>
            </w:pPr>
            <w:r>
              <w:t xml:space="preserve">URS-501</w:t>
            </w:r>
          </w:p>
        </w:tc>
        <w:tc>
          <w:tcPr>
            <w:tcW w:type="dxa" w:w="8439"/>
          </w:tcPr>
          <w:p>
            <w:pPr>
              <w:pStyle w:val="Compact"/>
              <w:jc w:val="left"/>
            </w:pPr>
            <w:r>
              <w:t xml:space="preserve">Records are uploaded in batches. A record is marked as synchronised only after the server confirms it. A failed or interrupted upload is retried later, without losing or duplicating records.</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OQ-18, PQ-01, AT-02, AT-03, AT-08</w:t>
            </w:r>
          </w:p>
        </w:tc>
        <w:tc>
          <w:tcPr>
            <w:tcW w:type="dxa" w:w="1205"/>
          </w:tcPr>
          <w:p>
            <w:pPr>
              <w:pStyle w:val="Compact"/>
              <w:jc w:val="left"/>
            </w:pPr>
            <w:r>
              <w:t xml:space="preserve">Met</w:t>
            </w:r>
          </w:p>
        </w:tc>
      </w:tr>
      <w:tr>
        <w:trPr>
          <w:cantSplit/>
        </w:trPr>
        <w:tc>
          <w:tcPr>
            <w:tcW w:type="dxa" w:w="876"/>
          </w:tcPr>
          <w:p>
            <w:pPr>
              <w:pStyle w:val="Compact"/>
              <w:jc w:val="left"/>
            </w:pPr>
            <w:r>
              <w:t xml:space="preserve">URS-502</w:t>
            </w:r>
          </w:p>
        </w:tc>
        <w:tc>
          <w:tcPr>
            <w:tcW w:type="dxa" w:w="8439"/>
          </w:tcPr>
          <w:p>
            <w:pPr>
              <w:pStyle w:val="Compact"/>
              <w:jc w:val="left"/>
            </w:pPr>
            <w:r>
              <w:t xml:space="preserve">A record edited after upload is uploaded again, and the server holds the latest version.</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OQ-15, AT-02, AT-03, AT-08</w:t>
            </w:r>
          </w:p>
        </w:tc>
        <w:tc>
          <w:tcPr>
            <w:tcW w:type="dxa" w:w="1205"/>
          </w:tcPr>
          <w:p>
            <w:pPr>
              <w:pStyle w:val="Compact"/>
              <w:jc w:val="left"/>
            </w:pPr>
            <w:r>
              <w:t xml:space="preserve">Met</w:t>
            </w:r>
          </w:p>
        </w:tc>
      </w:tr>
      <w:tr>
        <w:trPr>
          <w:cantSplit/>
        </w:trPr>
        <w:tc>
          <w:tcPr>
            <w:tcW w:type="dxa" w:w="876"/>
          </w:tcPr>
          <w:p>
            <w:pPr>
              <w:pStyle w:val="Compact"/>
              <w:jc w:val="left"/>
            </w:pPr>
            <w:r>
              <w:t xml:space="preserve">URS-503</w:t>
            </w:r>
          </w:p>
        </w:tc>
        <w:tc>
          <w:tcPr>
            <w:tcW w:type="dxa" w:w="8439"/>
          </w:tcPr>
          <w:p>
            <w:pPr>
              <w:pStyle w:val="Compact"/>
              <w:jc w:val="left"/>
            </w:pPr>
            <w:r>
              <w:t xml:space="preserve">The server attributes every uploaded record and change to the field credential that authenticated the upload, not to a value supplied by the device. It also records the device identifier.</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OQ-18, AT-08</w:t>
            </w:r>
          </w:p>
        </w:tc>
        <w:tc>
          <w:tcPr>
            <w:tcW w:type="dxa" w:w="1205"/>
          </w:tcPr>
          <w:p>
            <w:pPr>
              <w:pStyle w:val="Compact"/>
              <w:jc w:val="left"/>
            </w:pPr>
            <w:r>
              <w:t xml:space="preserve">Met</w:t>
            </w:r>
          </w:p>
        </w:tc>
      </w:tr>
      <w:tr>
        <w:trPr>
          <w:cantSplit/>
        </w:trPr>
        <w:tc>
          <w:tcPr>
            <w:tcW w:type="dxa" w:w="876"/>
          </w:tcPr>
          <w:p>
            <w:pPr>
              <w:pStyle w:val="Compact"/>
              <w:jc w:val="left"/>
            </w:pPr>
            <w:r>
              <w:t xml:space="preserve">URS-504</w:t>
            </w:r>
          </w:p>
        </w:tc>
        <w:tc>
          <w:tcPr>
            <w:tcW w:type="dxa" w:w="8439"/>
          </w:tcPr>
          <w:p>
            <w:pPr>
              <w:pStyle w:val="Compact"/>
              <w:jc w:val="left"/>
            </w:pPr>
            <w:r>
              <w:t xml:space="preserve">Devices can download only surveys of projects they are authenticated to, through links that expire.</w:t>
            </w:r>
          </w:p>
        </w:tc>
        <w:tc>
          <w:tcPr>
            <w:tcW w:type="dxa" w:w="400"/>
          </w:tcPr>
          <w:p>
            <w:pPr>
              <w:pStyle w:val="Compact"/>
              <w:jc w:val="left"/>
            </w:pPr>
            <w:r>
              <w:t xml:space="preserve">M</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OQ-39, AT-08</w:t>
            </w:r>
          </w:p>
        </w:tc>
        <w:tc>
          <w:tcPr>
            <w:tcW w:type="dxa" w:w="1205"/>
          </w:tcPr>
          <w:p>
            <w:pPr>
              <w:pStyle w:val="Compact"/>
              <w:jc w:val="left"/>
            </w:pPr>
            <w:r>
              <w:t xml:space="preserve">Met</w:t>
            </w:r>
          </w:p>
        </w:tc>
      </w:tr>
      <w:tr>
        <w:trPr>
          <w:cantSplit/>
        </w:trPr>
        <w:tc>
          <w:tcPr>
            <w:tcW w:type="dxa" w:w="876"/>
          </w:tcPr>
          <w:p>
            <w:pPr>
              <w:pStyle w:val="Compact"/>
              <w:jc w:val="left"/>
            </w:pPr>
            <w:r>
              <w:t xml:space="preserve">URS-505</w:t>
            </w:r>
          </w:p>
        </w:tc>
        <w:tc>
          <w:tcPr>
            <w:tcW w:type="dxa" w:w="8439"/>
          </w:tcPr>
          <w:p>
            <w:pPr>
              <w:pStyle w:val="Compact"/>
              <w:jc w:val="left"/>
            </w:pPr>
            <w:r>
              <w:t xml:space="preserve">Each survey on a device is bound to the project it came from. A survey or database name already bound to another project is refused, so that two projects’ data can never be mixed in one database.</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OQ-19, AT-02, AT-03</w:t>
            </w:r>
          </w:p>
        </w:tc>
        <w:tc>
          <w:tcPr>
            <w:tcW w:type="dxa" w:w="1205"/>
          </w:tcPr>
          <w:p>
            <w:pPr>
              <w:pStyle w:val="Compact"/>
              <w:jc w:val="left"/>
            </w:pPr>
            <w:r>
              <w:t xml:space="preserve">Met</w:t>
            </w:r>
          </w:p>
        </w:tc>
      </w:tr>
    </w:tbl>
    <w:bookmarkEnd w:id="29"/>
    <w:bookmarkStart w:id="30" w:name="data-management-controls"/>
    <w:p>
      <w:pPr>
        <w:pStyle w:val="Heading2"/>
      </w:pPr>
      <w:r>
        <w:t xml:space="preserve">4.6 Data management controls</w:t>
      </w:r>
    </w:p>
    <w:tbl>
      <w:tblPr>
        <w:tblStyle w:val="Table"/>
        <w:tblW w:type="dxa" w:w="1478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876"/>
        <w:gridCol w:w="8439"/>
        <w:gridCol w:w="400"/>
        <w:gridCol w:w="400"/>
        <w:gridCol w:w="400"/>
        <w:gridCol w:w="876"/>
        <w:gridCol w:w="2190"/>
        <w:gridCol w:w="1205"/>
      </w:tblGrid>
      <w:tr>
        <w:trPr>
          <w:cantSplit/>
          <w:tblHeader w:val="true"/>
        </w:trPr>
        <w:tc>
          <w:tcPr>
            <w:tcW w:type="dxa" w:w="876"/>
            <w:shd w:val="clear" w:color="auto" w:fill="DCE4EE"/>
          </w:tcPr>
          <w:p>
            <w:pPr>
              <w:pStyle w:val="Compact"/>
              <w:jc w:val="left"/>
            </w:pPr>
            <w:r>
              <w:t xml:space="preserve">ID</w:t>
            </w:r>
          </w:p>
        </w:tc>
        <w:tc>
          <w:tcPr>
            <w:tcW w:type="dxa" w:w="8439"/>
            <w:shd w:val="clear" w:color="auto" w:fill="DCE4EE"/>
          </w:tcPr>
          <w:p>
            <w:pPr>
              <w:pStyle w:val="Compact"/>
              <w:jc w:val="left"/>
            </w:pPr>
            <w:r>
              <w:t xml:space="preserve">Requirement</w:t>
            </w:r>
          </w:p>
        </w:tc>
        <w:tc>
          <w:tcPr>
            <w:tcW w:type="dxa" w:w="400"/>
            <w:shd w:val="clear" w:color="auto" w:fill="DCE4EE"/>
          </w:tcPr>
          <w:p>
            <w:pPr>
              <w:pStyle w:val="Compact"/>
              <w:jc w:val="left"/>
            </w:pPr>
            <w:r>
              <w:t xml:space="preserve">I</w:t>
            </w:r>
          </w:p>
        </w:tc>
        <w:tc>
          <w:tcPr>
            <w:tcW w:type="dxa" w:w="400"/>
            <w:shd w:val="clear" w:color="auto" w:fill="DCE4EE"/>
          </w:tcPr>
          <w:p>
            <w:pPr>
              <w:pStyle w:val="Compact"/>
              <w:jc w:val="left"/>
            </w:pPr>
            <w:r>
              <w:t xml:space="preserve">P</w:t>
            </w:r>
          </w:p>
        </w:tc>
        <w:tc>
          <w:tcPr>
            <w:tcW w:type="dxa" w:w="400"/>
            <w:shd w:val="clear" w:color="auto" w:fill="DCE4EE"/>
          </w:tcPr>
          <w:p>
            <w:pPr>
              <w:pStyle w:val="Compact"/>
              <w:jc w:val="left"/>
            </w:pPr>
            <w:r>
              <w:t xml:space="preserve">D</w:t>
            </w:r>
          </w:p>
        </w:tc>
        <w:tc>
          <w:tcPr>
            <w:tcW w:type="dxa" w:w="876"/>
            <w:shd w:val="clear" w:color="auto" w:fill="DCE4EE"/>
          </w:tcPr>
          <w:p>
            <w:pPr>
              <w:pStyle w:val="Compact"/>
              <w:jc w:val="left"/>
            </w:pPr>
            <w:r>
              <w:t xml:space="preserve">Risk</w:t>
            </w:r>
          </w:p>
        </w:tc>
        <w:tc>
          <w:tcPr>
            <w:tcW w:type="dxa" w:w="2190"/>
            <w:shd w:val="clear" w:color="auto" w:fill="DCE4EE"/>
          </w:tcPr>
          <w:p>
            <w:pPr>
              <w:pStyle w:val="Compact"/>
              <w:jc w:val="left"/>
            </w:pPr>
            <w:r>
              <w:t xml:space="preserve">Verified by</w:t>
            </w:r>
          </w:p>
        </w:tc>
        <w:tc>
          <w:tcPr>
            <w:tcW w:type="dxa" w:w="1205"/>
            <w:shd w:val="clear" w:color="auto" w:fill="DCE4EE"/>
          </w:tcPr>
          <w:p>
            <w:pPr>
              <w:pStyle w:val="Compact"/>
              <w:jc w:val="left"/>
            </w:pPr>
            <w:r>
              <w:t xml:space="preserve">Status</w:t>
            </w:r>
          </w:p>
        </w:tc>
      </w:tr>
      <w:tr>
        <w:trPr>
          <w:cantSplit/>
        </w:trPr>
        <w:tc>
          <w:tcPr>
            <w:tcW w:type="dxa" w:w="876"/>
          </w:tcPr>
          <w:p>
            <w:pPr>
              <w:pStyle w:val="Compact"/>
              <w:jc w:val="left"/>
            </w:pPr>
            <w:r>
              <w:t xml:space="preserve">URS-601</w:t>
            </w:r>
          </w:p>
        </w:tc>
        <w:tc>
          <w:tcPr>
            <w:tcW w:type="dxa" w:w="8439"/>
          </w:tcPr>
          <w:p>
            <w:pPr>
              <w:pStyle w:val="Compact"/>
              <w:jc w:val="left"/>
            </w:pPr>
            <w:r>
              <w:t xml:space="preserve">Each record is labelled as</w:t>
            </w:r>
            <w:r>
              <w:t xml:space="preserve"> </w:t>
            </w:r>
            <w:r>
              <w:rPr>
                <w:iCs/>
                <w:i/>
              </w:rPr>
              <w:t xml:space="preserve">test</w:t>
            </w:r>
            <w:r>
              <w:t xml:space="preserve"> </w:t>
            </w:r>
            <w:r>
              <w:t xml:space="preserve">or</w:t>
            </w:r>
            <w:r>
              <w:t xml:space="preserve"> </w:t>
            </w:r>
            <w:r>
              <w:rPr>
                <w:iCs/>
                <w:i/>
              </w:rPr>
              <w:t xml:space="preserve">deployed</w:t>
            </w:r>
            <w:r>
              <w:t xml:space="preserve"> </w:t>
            </w:r>
            <w:r>
              <w:t xml:space="preserve">when the server first receives it, according to the survey’s stage at that time. The label can be changed only by a project Owner, with a reason, and the change is audited.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OQ-25, AT-08</w:t>
            </w:r>
          </w:p>
        </w:tc>
        <w:tc>
          <w:tcPr>
            <w:tcW w:type="dxa" w:w="1205"/>
          </w:tcPr>
          <w:p>
            <w:pPr>
              <w:pStyle w:val="Compact"/>
              <w:jc w:val="left"/>
            </w:pPr>
            <w:r>
              <w:t xml:space="preserve">Met</w:t>
            </w:r>
          </w:p>
        </w:tc>
      </w:tr>
      <w:tr>
        <w:trPr>
          <w:cantSplit/>
        </w:trPr>
        <w:tc>
          <w:tcPr>
            <w:tcW w:type="dxa" w:w="876"/>
          </w:tcPr>
          <w:p>
            <w:pPr>
              <w:pStyle w:val="Compact"/>
              <w:jc w:val="left"/>
            </w:pPr>
            <w:r>
              <w:t xml:space="preserve">URS-602</w:t>
            </w:r>
          </w:p>
        </w:tc>
        <w:tc>
          <w:tcPr>
            <w:tcW w:type="dxa" w:w="8439"/>
          </w:tcPr>
          <w:p>
            <w:pPr>
              <w:pStyle w:val="Compact"/>
              <w:jc w:val="left"/>
            </w:pPr>
            <w:r>
              <w:t xml:space="preserve">A project Owner can lock a project’s data, giving a reason. While locked, the server refuses new and changed records and change-history entries, which stay on the device until the lock is lifted. Locking and unlocking are audited.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OQ-26, AT-08, AT-09</w:t>
            </w:r>
          </w:p>
        </w:tc>
        <w:tc>
          <w:tcPr>
            <w:tcW w:type="dxa" w:w="1205"/>
          </w:tcPr>
          <w:p>
            <w:pPr>
              <w:pStyle w:val="Compact"/>
              <w:jc w:val="left"/>
            </w:pPr>
            <w:r>
              <w:t xml:space="preserve">Met</w:t>
            </w:r>
          </w:p>
        </w:tc>
      </w:tr>
      <w:tr>
        <w:trPr>
          <w:cantSplit/>
        </w:trPr>
        <w:tc>
          <w:tcPr>
            <w:tcW w:type="dxa" w:w="876"/>
          </w:tcPr>
          <w:p>
            <w:pPr>
              <w:pStyle w:val="Compact"/>
              <w:jc w:val="left"/>
            </w:pPr>
            <w:r>
              <w:t xml:space="preserve">URS-603</w:t>
            </w:r>
          </w:p>
        </w:tc>
        <w:tc>
          <w:tcPr>
            <w:tcW w:type="dxa" w:w="8439"/>
          </w:tcPr>
          <w:p>
            <w:pPr>
              <w:pStyle w:val="Compact"/>
              <w:jc w:val="left"/>
            </w:pPr>
            <w:r>
              <w:t xml:space="preserve">Test records can be permanently removed (</w:t>
            </w:r>
            <w:r>
              <w:t xml:space="preserve">“</w:t>
            </w:r>
            <w:r>
              <w:t xml:space="preserve">purged</w:t>
            </w:r>
            <w:r>
              <w:t xml:space="preserve">”</w:t>
            </w:r>
            <w:r>
              <w:t xml:space="preserve">) only by a project Owner, only with a reason, and never while the data is locked. The full content of each purged record is preserved in the audit trail, and a purged record that a device uploads again is discarded and logged.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OQ-27, AT-08</w:t>
            </w:r>
          </w:p>
        </w:tc>
        <w:tc>
          <w:tcPr>
            <w:tcW w:type="dxa" w:w="1205"/>
          </w:tcPr>
          <w:p>
            <w:pPr>
              <w:pStyle w:val="Compact"/>
              <w:jc w:val="left"/>
            </w:pPr>
            <w:r>
              <w:t xml:space="preserve">Met</w:t>
            </w:r>
          </w:p>
        </w:tc>
      </w:tr>
      <w:tr>
        <w:trPr>
          <w:cantSplit/>
        </w:trPr>
        <w:tc>
          <w:tcPr>
            <w:tcW w:type="dxa" w:w="876"/>
          </w:tcPr>
          <w:p>
            <w:pPr>
              <w:pStyle w:val="Compact"/>
              <w:jc w:val="left"/>
            </w:pPr>
            <w:r>
              <w:t xml:space="preserve">URS-604</w:t>
            </w:r>
          </w:p>
        </w:tc>
        <w:tc>
          <w:tcPr>
            <w:tcW w:type="dxa" w:w="8439"/>
          </w:tcPr>
          <w:p>
            <w:pPr>
              <w:pStyle w:val="Compact"/>
              <w:jc w:val="left"/>
            </w:pPr>
            <w:r>
              <w:t xml:space="preserve">A project or survey that holds collected data or audit history cannot be deleted, only archived or completed.</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OQ-28, AT-08, AT-09</w:t>
            </w:r>
          </w:p>
        </w:tc>
        <w:tc>
          <w:tcPr>
            <w:tcW w:type="dxa" w:w="1205"/>
          </w:tcPr>
          <w:p>
            <w:pPr>
              <w:pStyle w:val="Compact"/>
              <w:jc w:val="left"/>
            </w:pPr>
            <w:r>
              <w:t xml:space="preserve">Met</w:t>
            </w:r>
          </w:p>
        </w:tc>
      </w:tr>
    </w:tbl>
    <w:bookmarkEnd w:id="30"/>
    <w:bookmarkStart w:id="31" w:name="export-and-reporting"/>
    <w:p>
      <w:pPr>
        <w:pStyle w:val="Heading2"/>
      </w:pPr>
      <w:r>
        <w:t xml:space="preserve">4.7 Export and reporting</w:t>
      </w:r>
    </w:p>
    <w:tbl>
      <w:tblPr>
        <w:tblStyle w:val="Table"/>
        <w:tblW w:type="dxa" w:w="1478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876"/>
        <w:gridCol w:w="8439"/>
        <w:gridCol w:w="400"/>
        <w:gridCol w:w="400"/>
        <w:gridCol w:w="400"/>
        <w:gridCol w:w="876"/>
        <w:gridCol w:w="2190"/>
        <w:gridCol w:w="1205"/>
      </w:tblGrid>
      <w:tr>
        <w:trPr>
          <w:cantSplit/>
          <w:tblHeader w:val="true"/>
        </w:trPr>
        <w:tc>
          <w:tcPr>
            <w:tcW w:type="dxa" w:w="876"/>
            <w:shd w:val="clear" w:color="auto" w:fill="DCE4EE"/>
          </w:tcPr>
          <w:p>
            <w:pPr>
              <w:pStyle w:val="Compact"/>
              <w:jc w:val="left"/>
            </w:pPr>
            <w:r>
              <w:t xml:space="preserve">ID</w:t>
            </w:r>
          </w:p>
        </w:tc>
        <w:tc>
          <w:tcPr>
            <w:tcW w:type="dxa" w:w="8439"/>
            <w:shd w:val="clear" w:color="auto" w:fill="DCE4EE"/>
          </w:tcPr>
          <w:p>
            <w:pPr>
              <w:pStyle w:val="Compact"/>
              <w:jc w:val="left"/>
            </w:pPr>
            <w:r>
              <w:t xml:space="preserve">Requirement</w:t>
            </w:r>
          </w:p>
        </w:tc>
        <w:tc>
          <w:tcPr>
            <w:tcW w:type="dxa" w:w="400"/>
            <w:shd w:val="clear" w:color="auto" w:fill="DCE4EE"/>
          </w:tcPr>
          <w:p>
            <w:pPr>
              <w:pStyle w:val="Compact"/>
              <w:jc w:val="left"/>
            </w:pPr>
            <w:r>
              <w:t xml:space="preserve">I</w:t>
            </w:r>
          </w:p>
        </w:tc>
        <w:tc>
          <w:tcPr>
            <w:tcW w:type="dxa" w:w="400"/>
            <w:shd w:val="clear" w:color="auto" w:fill="DCE4EE"/>
          </w:tcPr>
          <w:p>
            <w:pPr>
              <w:pStyle w:val="Compact"/>
              <w:jc w:val="left"/>
            </w:pPr>
            <w:r>
              <w:t xml:space="preserve">P</w:t>
            </w:r>
          </w:p>
        </w:tc>
        <w:tc>
          <w:tcPr>
            <w:tcW w:type="dxa" w:w="400"/>
            <w:shd w:val="clear" w:color="auto" w:fill="DCE4EE"/>
          </w:tcPr>
          <w:p>
            <w:pPr>
              <w:pStyle w:val="Compact"/>
              <w:jc w:val="left"/>
            </w:pPr>
            <w:r>
              <w:t xml:space="preserve">D</w:t>
            </w:r>
          </w:p>
        </w:tc>
        <w:tc>
          <w:tcPr>
            <w:tcW w:type="dxa" w:w="876"/>
            <w:shd w:val="clear" w:color="auto" w:fill="DCE4EE"/>
          </w:tcPr>
          <w:p>
            <w:pPr>
              <w:pStyle w:val="Compact"/>
              <w:jc w:val="left"/>
            </w:pPr>
            <w:r>
              <w:t xml:space="preserve">Risk</w:t>
            </w:r>
          </w:p>
        </w:tc>
        <w:tc>
          <w:tcPr>
            <w:tcW w:type="dxa" w:w="2190"/>
            <w:shd w:val="clear" w:color="auto" w:fill="DCE4EE"/>
          </w:tcPr>
          <w:p>
            <w:pPr>
              <w:pStyle w:val="Compact"/>
              <w:jc w:val="left"/>
            </w:pPr>
            <w:r>
              <w:t xml:space="preserve">Verified by</w:t>
            </w:r>
          </w:p>
        </w:tc>
        <w:tc>
          <w:tcPr>
            <w:tcW w:type="dxa" w:w="1205"/>
            <w:shd w:val="clear" w:color="auto" w:fill="DCE4EE"/>
          </w:tcPr>
          <w:p>
            <w:pPr>
              <w:pStyle w:val="Compact"/>
              <w:jc w:val="left"/>
            </w:pPr>
            <w:r>
              <w:t xml:space="preserve">Status</w:t>
            </w:r>
          </w:p>
        </w:tc>
      </w:tr>
      <w:tr>
        <w:trPr>
          <w:cantSplit/>
        </w:trPr>
        <w:tc>
          <w:tcPr>
            <w:tcW w:type="dxa" w:w="876"/>
          </w:tcPr>
          <w:p>
            <w:pPr>
              <w:pStyle w:val="Compact"/>
              <w:jc w:val="left"/>
            </w:pPr>
            <w:r>
              <w:t xml:space="preserve">URS-701</w:t>
            </w:r>
          </w:p>
        </w:tc>
        <w:tc>
          <w:tcPr>
            <w:tcW w:type="dxa" w:w="8439"/>
          </w:tcPr>
          <w:p>
            <w:pPr>
              <w:pStyle w:val="Compact"/>
              <w:jc w:val="left"/>
            </w:pPr>
            <w:r>
              <w:t xml:space="preserve">A project’s data can be exported to CSV, one file per form, together with the device change history and the project’s server audit trail.</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OQ-29, PQ-01, AT-07</w:t>
            </w:r>
          </w:p>
        </w:tc>
        <w:tc>
          <w:tcPr>
            <w:tcW w:type="dxa" w:w="1205"/>
          </w:tcPr>
          <w:p>
            <w:pPr>
              <w:pStyle w:val="Compact"/>
              <w:jc w:val="left"/>
            </w:pPr>
            <w:r>
              <w:t xml:space="preserve">Met</w:t>
            </w:r>
          </w:p>
        </w:tc>
      </w:tr>
      <w:tr>
        <w:trPr>
          <w:cantSplit/>
        </w:trPr>
        <w:tc>
          <w:tcPr>
            <w:tcW w:type="dxa" w:w="876"/>
          </w:tcPr>
          <w:p>
            <w:pPr>
              <w:pStyle w:val="Compact"/>
              <w:jc w:val="left"/>
            </w:pPr>
            <w:r>
              <w:t xml:space="preserve">URS-702</w:t>
            </w:r>
          </w:p>
        </w:tc>
        <w:tc>
          <w:tcPr>
            <w:tcW w:type="dxa" w:w="8439"/>
          </w:tcPr>
          <w:p>
            <w:pPr>
              <w:pStyle w:val="Compact"/>
              <w:jc w:val="left"/>
            </w:pPr>
            <w:r>
              <w:t xml:space="preserve">Every export includes a manifest listing each file with its SHA-256 checksum and size, and the portal version and build that produced it. Every export is recorded in the audit trail.</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OQ-29, AT-07</w:t>
            </w:r>
          </w:p>
        </w:tc>
        <w:tc>
          <w:tcPr>
            <w:tcW w:type="dxa" w:w="1205"/>
          </w:tcPr>
          <w:p>
            <w:pPr>
              <w:pStyle w:val="Compact"/>
              <w:jc w:val="left"/>
            </w:pPr>
            <w:r>
              <w:t xml:space="preserve">Met</w:t>
            </w:r>
          </w:p>
        </w:tc>
      </w:tr>
      <w:tr>
        <w:trPr>
          <w:cantSplit/>
        </w:trPr>
        <w:tc>
          <w:tcPr>
            <w:tcW w:type="dxa" w:w="876"/>
          </w:tcPr>
          <w:p>
            <w:pPr>
              <w:pStyle w:val="Compact"/>
              <w:jc w:val="left"/>
            </w:pPr>
            <w:r>
              <w:t xml:space="preserve">URS-703</w:t>
            </w:r>
          </w:p>
        </w:tc>
        <w:tc>
          <w:tcPr>
            <w:tcW w:type="dxa" w:w="8439"/>
          </w:tcPr>
          <w:p>
            <w:pPr>
              <w:pStyle w:val="Compact"/>
              <w:jc w:val="left"/>
            </w:pPr>
            <w:r>
              <w:t xml:space="preserve">Authorised systems can read a project’s data through a read-only API (data feed).</w:t>
            </w:r>
          </w:p>
        </w:tc>
        <w:tc>
          <w:tcPr>
            <w:tcW w:type="dxa" w:w="400"/>
          </w:tcPr>
          <w:p>
            <w:pPr>
              <w:pStyle w:val="Compact"/>
              <w:jc w:val="left"/>
            </w:pPr>
            <w:r>
              <w:t xml:space="preserve">M</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OQ-30, AT-08</w:t>
            </w:r>
          </w:p>
        </w:tc>
        <w:tc>
          <w:tcPr>
            <w:tcW w:type="dxa" w:w="1205"/>
          </w:tcPr>
          <w:p>
            <w:pPr>
              <w:pStyle w:val="Compact"/>
              <w:jc w:val="left"/>
            </w:pPr>
            <w:r>
              <w:t xml:space="preserve">Met</w:t>
            </w:r>
          </w:p>
        </w:tc>
      </w:tr>
    </w:tbl>
    <w:bookmarkEnd w:id="31"/>
    <w:bookmarkStart w:id="32" w:name="backup-recovery-and-retention"/>
    <w:p>
      <w:pPr>
        <w:pStyle w:val="Heading2"/>
      </w:pPr>
      <w:r>
        <w:t xml:space="preserve">4.8 Backup, recovery and retention</w:t>
      </w:r>
    </w:p>
    <w:tbl>
      <w:tblPr>
        <w:tblStyle w:val="Table"/>
        <w:tblW w:type="dxa" w:w="1478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876"/>
        <w:gridCol w:w="8439"/>
        <w:gridCol w:w="400"/>
        <w:gridCol w:w="400"/>
        <w:gridCol w:w="400"/>
        <w:gridCol w:w="876"/>
        <w:gridCol w:w="2190"/>
        <w:gridCol w:w="1205"/>
      </w:tblGrid>
      <w:tr>
        <w:trPr>
          <w:cantSplit/>
          <w:tblHeader w:val="true"/>
        </w:trPr>
        <w:tc>
          <w:tcPr>
            <w:tcW w:type="dxa" w:w="876"/>
            <w:shd w:val="clear" w:color="auto" w:fill="DCE4EE"/>
          </w:tcPr>
          <w:p>
            <w:pPr>
              <w:pStyle w:val="Compact"/>
              <w:jc w:val="left"/>
            </w:pPr>
            <w:r>
              <w:t xml:space="preserve">ID</w:t>
            </w:r>
          </w:p>
        </w:tc>
        <w:tc>
          <w:tcPr>
            <w:tcW w:type="dxa" w:w="8439"/>
            <w:shd w:val="clear" w:color="auto" w:fill="DCE4EE"/>
          </w:tcPr>
          <w:p>
            <w:pPr>
              <w:pStyle w:val="Compact"/>
              <w:jc w:val="left"/>
            </w:pPr>
            <w:r>
              <w:t xml:space="preserve">Requirement</w:t>
            </w:r>
          </w:p>
        </w:tc>
        <w:tc>
          <w:tcPr>
            <w:tcW w:type="dxa" w:w="400"/>
            <w:shd w:val="clear" w:color="auto" w:fill="DCE4EE"/>
          </w:tcPr>
          <w:p>
            <w:pPr>
              <w:pStyle w:val="Compact"/>
              <w:jc w:val="left"/>
            </w:pPr>
            <w:r>
              <w:t xml:space="preserve">I</w:t>
            </w:r>
          </w:p>
        </w:tc>
        <w:tc>
          <w:tcPr>
            <w:tcW w:type="dxa" w:w="400"/>
            <w:shd w:val="clear" w:color="auto" w:fill="DCE4EE"/>
          </w:tcPr>
          <w:p>
            <w:pPr>
              <w:pStyle w:val="Compact"/>
              <w:jc w:val="left"/>
            </w:pPr>
            <w:r>
              <w:t xml:space="preserve">P</w:t>
            </w:r>
          </w:p>
        </w:tc>
        <w:tc>
          <w:tcPr>
            <w:tcW w:type="dxa" w:w="400"/>
            <w:shd w:val="clear" w:color="auto" w:fill="DCE4EE"/>
          </w:tcPr>
          <w:p>
            <w:pPr>
              <w:pStyle w:val="Compact"/>
              <w:jc w:val="left"/>
            </w:pPr>
            <w:r>
              <w:t xml:space="preserve">D</w:t>
            </w:r>
          </w:p>
        </w:tc>
        <w:tc>
          <w:tcPr>
            <w:tcW w:type="dxa" w:w="876"/>
            <w:shd w:val="clear" w:color="auto" w:fill="DCE4EE"/>
          </w:tcPr>
          <w:p>
            <w:pPr>
              <w:pStyle w:val="Compact"/>
              <w:jc w:val="left"/>
            </w:pPr>
            <w:r>
              <w:t xml:space="preserve">Risk</w:t>
            </w:r>
          </w:p>
        </w:tc>
        <w:tc>
          <w:tcPr>
            <w:tcW w:type="dxa" w:w="2190"/>
            <w:shd w:val="clear" w:color="auto" w:fill="DCE4EE"/>
          </w:tcPr>
          <w:p>
            <w:pPr>
              <w:pStyle w:val="Compact"/>
              <w:jc w:val="left"/>
            </w:pPr>
            <w:r>
              <w:t xml:space="preserve">Verified by</w:t>
            </w:r>
          </w:p>
        </w:tc>
        <w:tc>
          <w:tcPr>
            <w:tcW w:type="dxa" w:w="1205"/>
            <w:shd w:val="clear" w:color="auto" w:fill="DCE4EE"/>
          </w:tcPr>
          <w:p>
            <w:pPr>
              <w:pStyle w:val="Compact"/>
              <w:jc w:val="left"/>
            </w:pPr>
            <w:r>
              <w:t xml:space="preserve">Status</w:t>
            </w:r>
          </w:p>
        </w:tc>
      </w:tr>
      <w:tr>
        <w:trPr>
          <w:cantSplit/>
        </w:trPr>
        <w:tc>
          <w:tcPr>
            <w:tcW w:type="dxa" w:w="876"/>
          </w:tcPr>
          <w:p>
            <w:pPr>
              <w:pStyle w:val="Compact"/>
              <w:jc w:val="left"/>
            </w:pPr>
            <w:r>
              <w:t xml:space="preserve">URS-801</w:t>
            </w:r>
          </w:p>
        </w:tc>
        <w:tc>
          <w:tcPr>
            <w:tcW w:type="dxa" w:w="8439"/>
          </w:tcPr>
          <w:p>
            <w:pPr>
              <w:pStyle w:val="Compact"/>
              <w:jc w:val="left"/>
            </w:pPr>
            <w:r>
              <w:t xml:space="preserve">Project data is backed up automatically, at a defined frequency, to storage independent of the hosting platform. Backup failures are reported to a responsible person.</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OQ-31, DK-SOP-001 §7</w:t>
            </w:r>
          </w:p>
        </w:tc>
        <w:tc>
          <w:tcPr>
            <w:tcW w:type="dxa" w:w="1205"/>
          </w:tcPr>
          <w:p>
            <w:pPr>
              <w:pStyle w:val="Compact"/>
              <w:jc w:val="left"/>
            </w:pPr>
            <w:r>
              <w:rPr>
                <w:bCs/>
                <w:b/>
              </w:rPr>
              <w:t xml:space="preserve">Partly met</w:t>
            </w:r>
            <w:r>
              <w:t xml:space="preserve">: the scheduled CSV backup excludes the server audit trail, see R-12</w:t>
            </w:r>
          </w:p>
        </w:tc>
      </w:tr>
      <w:tr>
        <w:trPr>
          <w:cantSplit/>
        </w:trPr>
        <w:tc>
          <w:tcPr>
            <w:tcW w:type="dxa" w:w="876"/>
          </w:tcPr>
          <w:p>
            <w:pPr>
              <w:pStyle w:val="Compact"/>
              <w:jc w:val="left"/>
            </w:pPr>
            <w:r>
              <w:t xml:space="preserve">URS-802</w:t>
            </w:r>
          </w:p>
        </w:tc>
        <w:tc>
          <w:tcPr>
            <w:tcW w:type="dxa" w:w="8439"/>
          </w:tcPr>
          <w:p>
            <w:pPr>
              <w:pStyle w:val="Compact"/>
              <w:jc w:val="left"/>
            </w:pPr>
            <w:r>
              <w:t xml:space="preserve">A complete, encrypted snapshot of the database and stored files can be taken. Each snapshot has an integrity manifest and a receipt with its checksum.</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OQ-32, AT-10</w:t>
            </w:r>
          </w:p>
        </w:tc>
        <w:tc>
          <w:tcPr>
            <w:tcW w:type="dxa" w:w="1205"/>
          </w:tcPr>
          <w:p>
            <w:pPr>
              <w:pStyle w:val="Compact"/>
              <w:jc w:val="left"/>
            </w:pPr>
            <w:r>
              <w:t xml:space="preserve">Met</w:t>
            </w:r>
          </w:p>
        </w:tc>
      </w:tr>
      <w:tr>
        <w:trPr>
          <w:cantSplit/>
        </w:trPr>
        <w:tc>
          <w:tcPr>
            <w:tcW w:type="dxa" w:w="876"/>
          </w:tcPr>
          <w:p>
            <w:pPr>
              <w:pStyle w:val="Compact"/>
              <w:jc w:val="left"/>
            </w:pPr>
            <w:r>
              <w:t xml:space="preserve">URS-803</w:t>
            </w:r>
          </w:p>
        </w:tc>
        <w:tc>
          <w:tcPr>
            <w:tcW w:type="dxa" w:w="8439"/>
          </w:tcPr>
          <w:p>
            <w:pPr>
              <w:pStyle w:val="Compact"/>
              <w:jc w:val="left"/>
            </w:pPr>
            <w:r>
              <w:t xml:space="preserve">A snapshot can be restored and verified. Restoration checks integrity first, refuses a tampered or incomplete snapshot, and restores in a single transaction to an empty target database only.</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H</w:t>
            </w:r>
          </w:p>
        </w:tc>
        <w:tc>
          <w:tcPr>
            <w:tcW w:type="dxa" w:w="876"/>
          </w:tcPr>
          <w:p>
            <w:pPr>
              <w:pStyle w:val="Compact"/>
              <w:jc w:val="left"/>
            </w:pPr>
            <w:r>
              <w:t xml:space="preserve">High</w:t>
            </w:r>
          </w:p>
        </w:tc>
        <w:tc>
          <w:tcPr>
            <w:tcW w:type="dxa" w:w="2190"/>
          </w:tcPr>
          <w:p>
            <w:pPr>
              <w:pStyle w:val="Compact"/>
              <w:jc w:val="left"/>
            </w:pPr>
            <w:r>
              <w:t xml:space="preserve">OQ-32, AT-10</w:t>
            </w:r>
          </w:p>
        </w:tc>
        <w:tc>
          <w:tcPr>
            <w:tcW w:type="dxa" w:w="1205"/>
          </w:tcPr>
          <w:p>
            <w:pPr>
              <w:pStyle w:val="Compact"/>
              <w:jc w:val="left"/>
            </w:pPr>
            <w:r>
              <w:t xml:space="preserve">Met</w:t>
            </w:r>
          </w:p>
        </w:tc>
      </w:tr>
      <w:tr>
        <w:trPr>
          <w:cantSplit/>
        </w:trPr>
        <w:tc>
          <w:tcPr>
            <w:tcW w:type="dxa" w:w="876"/>
          </w:tcPr>
          <w:p>
            <w:pPr>
              <w:pStyle w:val="Compact"/>
              <w:jc w:val="left"/>
            </w:pPr>
            <w:r>
              <w:t xml:space="preserve">URS-804</w:t>
            </w:r>
          </w:p>
        </w:tc>
        <w:tc>
          <w:tcPr>
            <w:tcW w:type="dxa" w:w="8439"/>
          </w:tcPr>
          <w:p>
            <w:pPr>
              <w:pStyle w:val="Compact"/>
              <w:jc w:val="left"/>
            </w:pPr>
            <w:r>
              <w:t xml:space="preserve">The field application keeps a local, append-only log of every record it saves, for recovery if the database is damaged.</w:t>
            </w:r>
          </w:p>
        </w:tc>
        <w:tc>
          <w:tcPr>
            <w:tcW w:type="dxa" w:w="400"/>
          </w:tcPr>
          <w:p>
            <w:pPr>
              <w:pStyle w:val="Compact"/>
              <w:jc w:val="left"/>
            </w:pPr>
            <w:r>
              <w:t xml:space="preserve">M</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Low</w:t>
            </w:r>
          </w:p>
        </w:tc>
        <w:tc>
          <w:tcPr>
            <w:tcW w:type="dxa" w:w="2190"/>
          </w:tcPr>
          <w:p>
            <w:pPr>
              <w:pStyle w:val="Compact"/>
              <w:jc w:val="left"/>
            </w:pPr>
            <w:r>
              <w:t xml:space="preserve">OQ-33</w:t>
            </w:r>
          </w:p>
        </w:tc>
        <w:tc>
          <w:tcPr>
            <w:tcW w:type="dxa" w:w="1205"/>
          </w:tcPr>
          <w:p>
            <w:pPr>
              <w:pStyle w:val="Compact"/>
              <w:jc w:val="left"/>
            </w:pPr>
            <w:r>
              <w:t xml:space="preserve">Met</w:t>
            </w:r>
          </w:p>
        </w:tc>
      </w:tr>
      <w:tr>
        <w:trPr>
          <w:cantSplit/>
        </w:trPr>
        <w:tc>
          <w:tcPr>
            <w:tcW w:type="dxa" w:w="876"/>
          </w:tcPr>
          <w:p>
            <w:pPr>
              <w:pStyle w:val="Compact"/>
              <w:jc w:val="left"/>
            </w:pPr>
            <w:r>
              <w:t xml:space="preserve">URS-805</w:t>
            </w:r>
          </w:p>
        </w:tc>
        <w:tc>
          <w:tcPr>
            <w:tcW w:type="dxa" w:w="8439"/>
          </w:tcPr>
          <w:p>
            <w:pPr>
              <w:pStyle w:val="Compact"/>
              <w:jc w:val="left"/>
            </w:pPr>
            <w:r>
              <w:t xml:space="preserve">Study data, audit trails, exports and validation records are retained, readable, for the required retention period, including after the study or the system is closed.</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DK-SOP-001 §13</w:t>
            </w:r>
          </w:p>
        </w:tc>
        <w:tc>
          <w:tcPr>
            <w:tcW w:type="dxa" w:w="1205"/>
          </w:tcPr>
          <w:p>
            <w:pPr>
              <w:pStyle w:val="Compact"/>
              <w:jc w:val="left"/>
            </w:pPr>
            <w:r>
              <w:t xml:space="preserve">Met (procedural)</w:t>
            </w:r>
          </w:p>
        </w:tc>
      </w:tr>
    </w:tbl>
    <w:bookmarkEnd w:id="32"/>
    <w:bookmarkStart w:id="33" w:name="versioning-operation-and-infrastructure"/>
    <w:p>
      <w:pPr>
        <w:pStyle w:val="Heading2"/>
      </w:pPr>
      <w:r>
        <w:t xml:space="preserve">4.9 Versioning, operation and infrastructure</w:t>
      </w:r>
    </w:p>
    <w:tbl>
      <w:tblPr>
        <w:tblStyle w:val="Table"/>
        <w:tblW w:type="dxa" w:w="1478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876"/>
        <w:gridCol w:w="8439"/>
        <w:gridCol w:w="400"/>
        <w:gridCol w:w="400"/>
        <w:gridCol w:w="400"/>
        <w:gridCol w:w="876"/>
        <w:gridCol w:w="2190"/>
        <w:gridCol w:w="1205"/>
      </w:tblGrid>
      <w:tr>
        <w:trPr>
          <w:cantSplit/>
          <w:tblHeader w:val="true"/>
        </w:trPr>
        <w:tc>
          <w:tcPr>
            <w:tcW w:type="dxa" w:w="876"/>
            <w:shd w:val="clear" w:color="auto" w:fill="DCE4EE"/>
          </w:tcPr>
          <w:p>
            <w:pPr>
              <w:pStyle w:val="Compact"/>
              <w:jc w:val="left"/>
            </w:pPr>
            <w:r>
              <w:t xml:space="preserve">ID</w:t>
            </w:r>
          </w:p>
        </w:tc>
        <w:tc>
          <w:tcPr>
            <w:tcW w:type="dxa" w:w="8439"/>
            <w:shd w:val="clear" w:color="auto" w:fill="DCE4EE"/>
          </w:tcPr>
          <w:p>
            <w:pPr>
              <w:pStyle w:val="Compact"/>
              <w:jc w:val="left"/>
            </w:pPr>
            <w:r>
              <w:t xml:space="preserve">Requirement</w:t>
            </w:r>
          </w:p>
        </w:tc>
        <w:tc>
          <w:tcPr>
            <w:tcW w:type="dxa" w:w="400"/>
            <w:shd w:val="clear" w:color="auto" w:fill="DCE4EE"/>
          </w:tcPr>
          <w:p>
            <w:pPr>
              <w:pStyle w:val="Compact"/>
              <w:jc w:val="left"/>
            </w:pPr>
            <w:r>
              <w:t xml:space="preserve">I</w:t>
            </w:r>
          </w:p>
        </w:tc>
        <w:tc>
          <w:tcPr>
            <w:tcW w:type="dxa" w:w="400"/>
            <w:shd w:val="clear" w:color="auto" w:fill="DCE4EE"/>
          </w:tcPr>
          <w:p>
            <w:pPr>
              <w:pStyle w:val="Compact"/>
              <w:jc w:val="left"/>
            </w:pPr>
            <w:r>
              <w:t xml:space="preserve">P</w:t>
            </w:r>
          </w:p>
        </w:tc>
        <w:tc>
          <w:tcPr>
            <w:tcW w:type="dxa" w:w="400"/>
            <w:shd w:val="clear" w:color="auto" w:fill="DCE4EE"/>
          </w:tcPr>
          <w:p>
            <w:pPr>
              <w:pStyle w:val="Compact"/>
              <w:jc w:val="left"/>
            </w:pPr>
            <w:r>
              <w:t xml:space="preserve">D</w:t>
            </w:r>
          </w:p>
        </w:tc>
        <w:tc>
          <w:tcPr>
            <w:tcW w:type="dxa" w:w="876"/>
            <w:shd w:val="clear" w:color="auto" w:fill="DCE4EE"/>
          </w:tcPr>
          <w:p>
            <w:pPr>
              <w:pStyle w:val="Compact"/>
              <w:jc w:val="left"/>
            </w:pPr>
            <w:r>
              <w:t xml:space="preserve">Risk</w:t>
            </w:r>
          </w:p>
        </w:tc>
        <w:tc>
          <w:tcPr>
            <w:tcW w:type="dxa" w:w="2190"/>
            <w:shd w:val="clear" w:color="auto" w:fill="DCE4EE"/>
          </w:tcPr>
          <w:p>
            <w:pPr>
              <w:pStyle w:val="Compact"/>
              <w:jc w:val="left"/>
            </w:pPr>
            <w:r>
              <w:t xml:space="preserve">Verified by</w:t>
            </w:r>
          </w:p>
        </w:tc>
        <w:tc>
          <w:tcPr>
            <w:tcW w:type="dxa" w:w="1205"/>
            <w:shd w:val="clear" w:color="auto" w:fill="DCE4EE"/>
          </w:tcPr>
          <w:p>
            <w:pPr>
              <w:pStyle w:val="Compact"/>
              <w:jc w:val="left"/>
            </w:pPr>
            <w:r>
              <w:t xml:space="preserve">Status</w:t>
            </w:r>
          </w:p>
        </w:tc>
      </w:tr>
      <w:tr>
        <w:trPr>
          <w:cantSplit/>
        </w:trPr>
        <w:tc>
          <w:tcPr>
            <w:tcW w:type="dxa" w:w="876"/>
          </w:tcPr>
          <w:p>
            <w:pPr>
              <w:pStyle w:val="Compact"/>
              <w:jc w:val="left"/>
            </w:pPr>
            <w:r>
              <w:t xml:space="preserve">URS-901</w:t>
            </w:r>
          </w:p>
        </w:tc>
        <w:tc>
          <w:tcPr>
            <w:tcW w:type="dxa" w:w="8439"/>
          </w:tcPr>
          <w:p>
            <w:pPr>
              <w:pStyle w:val="Compact"/>
              <w:jc w:val="left"/>
            </w:pPr>
            <w:r>
              <w:t xml:space="preserve">The version of each component in use can be identified: the application version on its Settings screen and in every record; the portal version and build on screen and in every export; the database migration level; and the version of each survey tool.</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IQ-01–IQ-05, IQ-08, OQ-13</w:t>
            </w:r>
          </w:p>
        </w:tc>
        <w:tc>
          <w:tcPr>
            <w:tcW w:type="dxa" w:w="1205"/>
          </w:tcPr>
          <w:p>
            <w:pPr>
              <w:pStyle w:val="Compact"/>
              <w:jc w:val="left"/>
            </w:pPr>
            <w:r>
              <w:t xml:space="preserve">Met</w:t>
            </w:r>
          </w:p>
        </w:tc>
      </w:tr>
      <w:tr>
        <w:trPr>
          <w:cantSplit/>
        </w:trPr>
        <w:tc>
          <w:tcPr>
            <w:tcW w:type="dxa" w:w="876"/>
          </w:tcPr>
          <w:p>
            <w:pPr>
              <w:pStyle w:val="Compact"/>
              <w:jc w:val="left"/>
            </w:pPr>
            <w:r>
              <w:t xml:space="preserve">URS-902</w:t>
            </w:r>
          </w:p>
        </w:tc>
        <w:tc>
          <w:tcPr>
            <w:tcW w:type="dxa" w:w="8439"/>
          </w:tcPr>
          <w:p>
            <w:pPr>
              <w:pStyle w:val="Compact"/>
              <w:jc w:val="left"/>
            </w:pPr>
            <w:r>
              <w:t xml:space="preserve">Every change to the system is controlled. It is assessed for impact, tested, approved, released under a recorded version, and noted in the change log.</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DK-SOP-001 §4, IQ-01</w:t>
            </w:r>
          </w:p>
        </w:tc>
        <w:tc>
          <w:tcPr>
            <w:tcW w:type="dxa" w:w="1205"/>
          </w:tcPr>
          <w:p>
            <w:pPr>
              <w:pStyle w:val="Compact"/>
              <w:jc w:val="left"/>
            </w:pPr>
            <w:r>
              <w:t xml:space="preserve">Met (procedural)</w:t>
            </w:r>
          </w:p>
        </w:tc>
      </w:tr>
      <w:tr>
        <w:trPr>
          <w:cantSplit/>
        </w:trPr>
        <w:tc>
          <w:tcPr>
            <w:tcW w:type="dxa" w:w="876"/>
          </w:tcPr>
          <w:p>
            <w:pPr>
              <w:pStyle w:val="Compact"/>
              <w:jc w:val="left"/>
            </w:pPr>
            <w:r>
              <w:t xml:space="preserve">URS-903</w:t>
            </w:r>
          </w:p>
        </w:tc>
        <w:tc>
          <w:tcPr>
            <w:tcW w:type="dxa" w:w="8439"/>
          </w:tcPr>
          <w:p>
            <w:pPr>
              <w:pStyle w:val="Compact"/>
              <w:jc w:val="left"/>
            </w:pPr>
            <w:r>
              <w:t xml:space="preserve">The hosting platforms provide an adequate level of security, availability, physical protection and backup, and give the organisation access to its data at all times.</w:t>
            </w:r>
          </w:p>
        </w:tc>
        <w:tc>
          <w:tcPr>
            <w:tcW w:type="dxa" w:w="400"/>
          </w:tcPr>
          <w:p>
            <w:pPr>
              <w:pStyle w:val="Compact"/>
              <w:jc w:val="left"/>
            </w:pPr>
            <w:r>
              <w:t xml:space="preserve">H</w:t>
            </w:r>
          </w:p>
        </w:tc>
        <w:tc>
          <w:tcPr>
            <w:tcW w:type="dxa" w:w="400"/>
          </w:tcPr>
          <w:p>
            <w:pPr>
              <w:pStyle w:val="Compact"/>
              <w:jc w:val="left"/>
            </w:pPr>
            <w:r>
              <w:t xml:space="preserve">L</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IQ-07, section 6</w:t>
            </w:r>
          </w:p>
        </w:tc>
        <w:tc>
          <w:tcPr>
            <w:tcW w:type="dxa" w:w="1205"/>
          </w:tcPr>
          <w:p>
            <w:pPr>
              <w:pStyle w:val="Compact"/>
              <w:jc w:val="left"/>
            </w:pPr>
            <w:r>
              <w:t xml:space="preserve">Met; to be confirmed at IQ-07, see R-13</w:t>
            </w:r>
          </w:p>
        </w:tc>
      </w:tr>
      <w:tr>
        <w:trPr>
          <w:cantSplit/>
        </w:trPr>
        <w:tc>
          <w:tcPr>
            <w:tcW w:type="dxa" w:w="876"/>
          </w:tcPr>
          <w:p>
            <w:pPr>
              <w:pStyle w:val="Compact"/>
              <w:jc w:val="left"/>
            </w:pPr>
            <w:r>
              <w:t xml:space="preserve">URS-904</w:t>
            </w:r>
          </w:p>
        </w:tc>
        <w:tc>
          <w:tcPr>
            <w:tcW w:type="dxa" w:w="8439"/>
          </w:tcPr>
          <w:p>
            <w:pPr>
              <w:pStyle w:val="Compact"/>
              <w:jc w:val="left"/>
            </w:pPr>
            <w:r>
              <w:t xml:space="preserve">Defects, incidents and user problems can be reported, recorded and resolved through a defined route.</w:t>
            </w:r>
          </w:p>
        </w:tc>
        <w:tc>
          <w:tcPr>
            <w:tcW w:type="dxa" w:w="400"/>
          </w:tcPr>
          <w:p>
            <w:pPr>
              <w:pStyle w:val="Compact"/>
              <w:jc w:val="left"/>
            </w:pPr>
            <w:r>
              <w:t xml:space="preserve">M</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Medium</w:t>
            </w:r>
          </w:p>
        </w:tc>
        <w:tc>
          <w:tcPr>
            <w:tcW w:type="dxa" w:w="2190"/>
          </w:tcPr>
          <w:p>
            <w:pPr>
              <w:pStyle w:val="Compact"/>
              <w:jc w:val="left"/>
            </w:pPr>
            <w:r>
              <w:t xml:space="preserve">DK-SOP-001 §8</w:t>
            </w:r>
          </w:p>
        </w:tc>
        <w:tc>
          <w:tcPr>
            <w:tcW w:type="dxa" w:w="1205"/>
          </w:tcPr>
          <w:p>
            <w:pPr>
              <w:pStyle w:val="Compact"/>
              <w:jc w:val="left"/>
            </w:pPr>
            <w:r>
              <w:t xml:space="preserve">Met (procedural)</w:t>
            </w:r>
          </w:p>
        </w:tc>
      </w:tr>
      <w:tr>
        <w:trPr>
          <w:cantSplit/>
        </w:trPr>
        <w:tc>
          <w:tcPr>
            <w:tcW w:type="dxa" w:w="876"/>
          </w:tcPr>
          <w:p>
            <w:pPr>
              <w:pStyle w:val="Compact"/>
              <w:jc w:val="left"/>
            </w:pPr>
            <w:r>
              <w:t xml:space="preserve">URS-905</w:t>
            </w:r>
          </w:p>
        </w:tc>
        <w:tc>
          <w:tcPr>
            <w:tcW w:type="dxa" w:w="8439"/>
          </w:tcPr>
          <w:p>
            <w:pPr>
              <w:pStyle w:val="Compact"/>
              <w:jc w:val="left"/>
            </w:pPr>
            <w:r>
              <w:t xml:space="preserve">Users are trained in the functions they use before they are given access.</w:t>
            </w:r>
          </w:p>
        </w:tc>
        <w:tc>
          <w:tcPr>
            <w:tcW w:type="dxa" w:w="400"/>
          </w:tcPr>
          <w:p>
            <w:pPr>
              <w:pStyle w:val="Compact"/>
              <w:jc w:val="left"/>
            </w:pPr>
            <w:r>
              <w:t xml:space="preserve">H</w:t>
            </w:r>
          </w:p>
        </w:tc>
        <w:tc>
          <w:tcPr>
            <w:tcW w:type="dxa" w:w="400"/>
          </w:tcPr>
          <w:p>
            <w:pPr>
              <w:pStyle w:val="Compact"/>
              <w:jc w:val="left"/>
            </w:pPr>
            <w:r>
              <w:t xml:space="preserve">M</w:t>
            </w:r>
          </w:p>
        </w:tc>
        <w:tc>
          <w:tcPr>
            <w:tcW w:type="dxa" w:w="400"/>
          </w:tcPr>
          <w:p>
            <w:pPr>
              <w:pStyle w:val="Compact"/>
              <w:jc w:val="left"/>
            </w:pPr>
            <w:r>
              <w:t xml:space="preserve">M</w:t>
            </w:r>
          </w:p>
        </w:tc>
        <w:tc>
          <w:tcPr>
            <w:tcW w:type="dxa" w:w="876"/>
          </w:tcPr>
          <w:p>
            <w:pPr>
              <w:pStyle w:val="Compact"/>
              <w:jc w:val="left"/>
            </w:pPr>
            <w:r>
              <w:t xml:space="preserve">High</w:t>
            </w:r>
          </w:p>
        </w:tc>
        <w:tc>
          <w:tcPr>
            <w:tcW w:type="dxa" w:w="2190"/>
          </w:tcPr>
          <w:p>
            <w:pPr>
              <w:pStyle w:val="Compact"/>
              <w:jc w:val="left"/>
            </w:pPr>
            <w:r>
              <w:t xml:space="preserve">DK-SOP-001 §12</w:t>
            </w:r>
          </w:p>
        </w:tc>
        <w:tc>
          <w:tcPr>
            <w:tcW w:type="dxa" w:w="1205"/>
          </w:tcPr>
          <w:p>
            <w:pPr>
              <w:pStyle w:val="Compact"/>
              <w:jc w:val="left"/>
            </w:pPr>
            <w:r>
              <w:t xml:space="preserve">Met (procedural)</w:t>
            </w:r>
          </w:p>
        </w:tc>
      </w:tr>
    </w:tbl>
    <w:bookmarkEnd w:id="33"/>
    <w:bookmarkEnd w:id="34"/>
    <w:bookmarkStart w:id="35" w:name="residual-risk-register"/>
    <w:p>
      <w:pPr>
        <w:pStyle w:val="Heading1"/>
      </w:pPr>
      <w:r>
        <w:t xml:space="preserve">5. Residual risk register</w:t>
      </w:r>
    </w:p>
    <w:p>
      <w:pPr>
        <w:pStyle w:val="FirstParagraph"/>
      </w:pPr>
      <w:r>
        <w:t xml:space="preserve">These are the known limitations of the validated versions, with the controls that make each</w:t>
      </w:r>
      <w:r>
        <w:t xml:space="preserve"> </w:t>
      </w:r>
      <w:r>
        <w:t xml:space="preserve">one acceptable for use and the planned correction. The register is reviewed at each periodic</w:t>
      </w:r>
      <w:r>
        <w:t xml:space="preserve"> </w:t>
      </w:r>
      <w:r>
        <w:t xml:space="preserve">review (DK-SOP-001 §11) and updated after every release. A risk is closed only when its</w:t>
      </w:r>
      <w:r>
        <w:t xml:space="preserve"> </w:t>
      </w:r>
      <w:r>
        <w:t xml:space="preserve">correction has been released and verified.</w:t>
      </w:r>
    </w:p>
    <w:tbl>
      <w:tblPr>
        <w:tblStyle w:val="Table"/>
        <w:tblW w:type="dxa" w:w="1472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644"/>
        <w:gridCol w:w="4830"/>
        <w:gridCol w:w="400"/>
        <w:gridCol w:w="1045"/>
        <w:gridCol w:w="4830"/>
        <w:gridCol w:w="2979"/>
      </w:tblGrid>
      <w:tr>
        <w:trPr>
          <w:cantSplit/>
          <w:tblHeader w:val="true"/>
        </w:trPr>
        <w:tc>
          <w:tcPr>
            <w:tcW w:type="dxa" w:w="644"/>
            <w:shd w:val="clear" w:color="auto" w:fill="DCE4EE"/>
          </w:tcPr>
          <w:p>
            <w:pPr>
              <w:pStyle w:val="Compact"/>
              <w:jc w:val="left"/>
            </w:pPr>
            <w:r>
              <w:t xml:space="preserve">Risk ID</w:t>
            </w:r>
          </w:p>
        </w:tc>
        <w:tc>
          <w:tcPr>
            <w:tcW w:type="dxa" w:w="4830"/>
            <w:shd w:val="clear" w:color="auto" w:fill="DCE4EE"/>
          </w:tcPr>
          <w:p>
            <w:pPr>
              <w:pStyle w:val="Compact"/>
              <w:jc w:val="left"/>
            </w:pPr>
            <w:r>
              <w:t xml:space="preserve">Description</w:t>
            </w:r>
          </w:p>
        </w:tc>
        <w:tc>
          <w:tcPr>
            <w:tcW w:type="dxa" w:w="400"/>
            <w:shd w:val="clear" w:color="auto" w:fill="DCE4EE"/>
          </w:tcPr>
          <w:p>
            <w:pPr>
              <w:pStyle w:val="Compact"/>
              <w:jc w:val="left"/>
            </w:pPr>
            <w:r>
              <w:t xml:space="preserve">I</w:t>
            </w:r>
          </w:p>
        </w:tc>
        <w:tc>
          <w:tcPr>
            <w:tcW w:type="dxa" w:w="1045"/>
            <w:shd w:val="clear" w:color="auto" w:fill="DCE4EE"/>
          </w:tcPr>
          <w:p>
            <w:pPr>
              <w:pStyle w:val="Compact"/>
              <w:jc w:val="left"/>
            </w:pPr>
            <w:r>
              <w:t xml:space="preserve">Risk</w:t>
            </w:r>
          </w:p>
        </w:tc>
        <w:tc>
          <w:tcPr>
            <w:tcW w:type="dxa" w:w="4830"/>
            <w:shd w:val="clear" w:color="auto" w:fill="DCE4EE"/>
          </w:tcPr>
          <w:p>
            <w:pPr>
              <w:pStyle w:val="Compact"/>
              <w:jc w:val="left"/>
            </w:pPr>
            <w:r>
              <w:t xml:space="preserve">Controls in place (mitigation)</w:t>
            </w:r>
          </w:p>
        </w:tc>
        <w:tc>
          <w:tcPr>
            <w:tcW w:type="dxa" w:w="2979"/>
            <w:shd w:val="clear" w:color="auto" w:fill="DCE4EE"/>
          </w:tcPr>
          <w:p>
            <w:pPr>
              <w:pStyle w:val="Compact"/>
              <w:jc w:val="left"/>
            </w:pPr>
            <w:r>
              <w:t xml:space="preserve">Planned correction (CAPA)</w:t>
            </w:r>
          </w:p>
        </w:tc>
      </w:tr>
      <w:tr>
        <w:trPr>
          <w:cantSplit/>
        </w:trPr>
        <w:tc>
          <w:tcPr>
            <w:tcW w:type="dxa" w:w="644"/>
          </w:tcPr>
          <w:p>
            <w:pPr>
              <w:pStyle w:val="Compact"/>
              <w:jc w:val="left"/>
            </w:pPr>
            <w:r>
              <w:t xml:space="preserve">R-01</w:t>
            </w:r>
          </w:p>
        </w:tc>
        <w:tc>
          <w:tcPr>
            <w:tcW w:type="dxa" w:w="4830"/>
          </w:tcPr>
          <w:p>
            <w:pPr>
              <w:pStyle w:val="Compact"/>
              <w:jc w:val="left"/>
            </w:pPr>
            <w:r>
              <w:t xml:space="preserve">Edits made on the device to a saved record do not capture a reason for change, nor the device’s time zone and UTC time, although the server is ready to accept them (URS-306, URS-307).</w:t>
            </w:r>
          </w:p>
        </w:tc>
        <w:tc>
          <w:tcPr>
            <w:tcW w:type="dxa" w:w="400"/>
          </w:tcPr>
          <w:p>
            <w:pPr>
              <w:pStyle w:val="Compact"/>
              <w:jc w:val="left"/>
            </w:pPr>
            <w:r>
              <w:t xml:space="preserve">H</w:t>
            </w:r>
          </w:p>
        </w:tc>
        <w:tc>
          <w:tcPr>
            <w:tcW w:type="dxa" w:w="1045"/>
          </w:tcPr>
          <w:p>
            <w:pPr>
              <w:pStyle w:val="Compact"/>
              <w:jc w:val="left"/>
            </w:pPr>
            <w:r>
              <w:t xml:space="preserve">High</w:t>
            </w:r>
          </w:p>
        </w:tc>
        <w:tc>
          <w:tcPr>
            <w:tcW w:type="dxa" w:w="4830"/>
          </w:tcPr>
          <w:p>
            <w:pPr>
              <w:pStyle w:val="Compact"/>
              <w:jc w:val="left"/>
            </w:pPr>
            <w:r>
              <w:t xml:space="preserve">Every edit is still recorded with old and new values, time and user (URS-301), and uploaded and protected (URS-302). DK-SOP-001 §6 requires corrections after upload to go through the study’s data query process. The query form records the reason and is filed with the study documents, and the audit-trail review reconciles device edits against resolved queries.</w:t>
            </w:r>
          </w:p>
        </w:tc>
        <w:tc>
          <w:tcPr>
            <w:tcW w:type="dxa" w:w="2979"/>
          </w:tcPr>
          <w:p>
            <w:pPr>
              <w:pStyle w:val="Compact"/>
              <w:jc w:val="left"/>
            </w:pPr>
            <w:r>
              <w:t xml:space="preserve">Add a mandatory reason-for-change prompt and send UTC time and time zone with each change, in the next application release.</w:t>
            </w:r>
          </w:p>
        </w:tc>
      </w:tr>
      <w:tr>
        <w:trPr>
          <w:cantSplit/>
        </w:trPr>
        <w:tc>
          <w:tcPr>
            <w:tcW w:type="dxa" w:w="644"/>
          </w:tcPr>
          <w:p>
            <w:pPr>
              <w:pStyle w:val="Compact"/>
              <w:jc w:val="left"/>
            </w:pPr>
            <w:r>
              <w:t xml:space="preserve">R-02</w:t>
            </w:r>
          </w:p>
        </w:tc>
        <w:tc>
          <w:tcPr>
            <w:tcW w:type="dxa" w:w="4830"/>
          </w:tcPr>
          <w:p>
            <w:pPr>
              <w:pStyle w:val="Compact"/>
              <w:jc w:val="left"/>
            </w:pPr>
            <w:r>
              <w:t xml:space="preserve">Multi-factor authentication is enabled on the server but the portal offers no way to enrol, so portal users sign in with a password only (URS-406).</w:t>
            </w:r>
          </w:p>
        </w:tc>
        <w:tc>
          <w:tcPr>
            <w:tcW w:type="dxa" w:w="400"/>
          </w:tcPr>
          <w:p>
            <w:pPr>
              <w:pStyle w:val="Compact"/>
              <w:jc w:val="left"/>
            </w:pPr>
            <w:r>
              <w:t xml:space="preserve">H</w:t>
            </w:r>
          </w:p>
        </w:tc>
        <w:tc>
          <w:tcPr>
            <w:tcW w:type="dxa" w:w="1045"/>
          </w:tcPr>
          <w:p>
            <w:pPr>
              <w:pStyle w:val="Compact"/>
              <w:jc w:val="left"/>
            </w:pPr>
            <w:r>
              <w:t xml:space="preserve">High</w:t>
            </w:r>
          </w:p>
        </w:tc>
        <w:tc>
          <w:tcPr>
            <w:tcW w:type="dxa" w:w="4830"/>
          </w:tcPr>
          <w:p>
            <w:pPr>
              <w:pStyle w:val="Compact"/>
              <w:jc w:val="left"/>
            </w:pPr>
            <w:r>
              <w:t xml:space="preserve">Unique passwords of at least 10 characters, stored in a password manager (DK-SOP-001 §9). Few Owners. Quarterly access reviews. All server administration (hosting dashboards, code hosting) is done through provider accounts that require MFA.</w:t>
            </w:r>
          </w:p>
        </w:tc>
        <w:tc>
          <w:tcPr>
            <w:tcW w:type="dxa" w:w="2979"/>
          </w:tcPr>
          <w:p>
            <w:pPr>
              <w:pStyle w:val="Compact"/>
              <w:jc w:val="left"/>
            </w:pPr>
            <w:r>
              <w:t xml:space="preserve">Add MFA enrolment to the portal and require it for Owners.</w:t>
            </w:r>
          </w:p>
        </w:tc>
      </w:tr>
      <w:tr>
        <w:trPr>
          <w:cantSplit/>
        </w:trPr>
        <w:tc>
          <w:tcPr>
            <w:tcW w:type="dxa" w:w="644"/>
          </w:tcPr>
          <w:p>
            <w:pPr>
              <w:pStyle w:val="Compact"/>
              <w:jc w:val="left"/>
            </w:pPr>
            <w:r>
              <w:t xml:space="preserve">R-03</w:t>
            </w:r>
          </w:p>
        </w:tc>
        <w:tc>
          <w:tcPr>
            <w:tcW w:type="dxa" w:w="4830"/>
          </w:tcPr>
          <w:p>
            <w:pPr>
              <w:pStyle w:val="Compact"/>
              <w:jc w:val="left"/>
            </w:pPr>
            <w:r>
              <w:t xml:space="preserve">The portal does not end an inactive session. Sign-in tokens refresh automatically (URS-407).</w:t>
            </w:r>
          </w:p>
        </w:tc>
        <w:tc>
          <w:tcPr>
            <w:tcW w:type="dxa" w:w="400"/>
          </w:tcPr>
          <w:p>
            <w:pPr>
              <w:pStyle w:val="Compact"/>
              <w:jc w:val="left"/>
            </w:pPr>
            <w:r>
              <w:t xml:space="preserve">M</w:t>
            </w:r>
          </w:p>
        </w:tc>
        <w:tc>
          <w:tcPr>
            <w:tcW w:type="dxa" w:w="1045"/>
          </w:tcPr>
          <w:p>
            <w:pPr>
              <w:pStyle w:val="Compact"/>
              <w:jc w:val="left"/>
            </w:pPr>
            <w:r>
              <w:t xml:space="preserve">Medium</w:t>
            </w:r>
          </w:p>
        </w:tc>
        <w:tc>
          <w:tcPr>
            <w:tcW w:type="dxa" w:w="4830"/>
          </w:tcPr>
          <w:p>
            <w:pPr>
              <w:pStyle w:val="Compact"/>
              <w:jc w:val="left"/>
            </w:pPr>
            <w:r>
              <w:t xml:space="preserve">Workstation screen lock after at most 10 minutes of inactivity is required (DK-SOP-001 §9). Users must sign out of shared computers.</w:t>
            </w:r>
          </w:p>
        </w:tc>
        <w:tc>
          <w:tcPr>
            <w:tcW w:type="dxa" w:w="2979"/>
          </w:tcPr>
          <w:p>
            <w:pPr>
              <w:pStyle w:val="Compact"/>
              <w:jc w:val="left"/>
            </w:pPr>
            <w:r>
              <w:t xml:space="preserve">Configure an inactivity timeout and session time limit.</w:t>
            </w:r>
          </w:p>
        </w:tc>
      </w:tr>
      <w:tr>
        <w:trPr>
          <w:cantSplit/>
        </w:trPr>
        <w:tc>
          <w:tcPr>
            <w:tcW w:type="dxa" w:w="644"/>
          </w:tcPr>
          <w:p>
            <w:pPr>
              <w:pStyle w:val="Compact"/>
              <w:jc w:val="left"/>
            </w:pPr>
            <w:r>
              <w:t xml:space="preserve">R-04</w:t>
            </w:r>
          </w:p>
        </w:tc>
        <w:tc>
          <w:tcPr>
            <w:tcW w:type="dxa" w:w="4830"/>
          </w:tcPr>
          <w:p>
            <w:pPr>
              <w:pStyle w:val="Compact"/>
              <w:jc w:val="left"/>
            </w:pPr>
            <w:r>
              <w:t xml:space="preserve">Anyone can create a portal account.</w:t>
            </w:r>
          </w:p>
        </w:tc>
        <w:tc>
          <w:tcPr>
            <w:tcW w:type="dxa" w:w="400"/>
          </w:tcPr>
          <w:p>
            <w:pPr>
              <w:pStyle w:val="Compact"/>
              <w:jc w:val="left"/>
            </w:pPr>
            <w:r>
              <w:t xml:space="preserve">L</w:t>
            </w:r>
          </w:p>
        </w:tc>
        <w:tc>
          <w:tcPr>
            <w:tcW w:type="dxa" w:w="1045"/>
          </w:tcPr>
          <w:p>
            <w:pPr>
              <w:pStyle w:val="Compact"/>
              <w:jc w:val="left"/>
            </w:pPr>
            <w:r>
              <w:t xml:space="preserve">Low</w:t>
            </w:r>
          </w:p>
        </w:tc>
        <w:tc>
          <w:tcPr>
            <w:tcW w:type="dxa" w:w="4830"/>
          </w:tcPr>
          <w:p>
            <w:pPr>
              <w:pStyle w:val="Compact"/>
              <w:jc w:val="left"/>
            </w:pPr>
            <w:r>
              <w:t xml:space="preserve">A new account has no access to any project until an Owner adds it. Membership changes are audited and reviewed.</w:t>
            </w:r>
          </w:p>
        </w:tc>
        <w:tc>
          <w:tcPr>
            <w:tcW w:type="dxa" w:w="2979"/>
          </w:tcPr>
          <w:p>
            <w:pPr>
              <w:pStyle w:val="Compact"/>
              <w:jc w:val="left"/>
            </w:pPr>
            <w:r>
              <w:t xml:space="preserve">Consider disabling open sign-up and using invitations.</w:t>
            </w:r>
          </w:p>
        </w:tc>
      </w:tr>
      <w:tr>
        <w:trPr>
          <w:cantSplit/>
        </w:trPr>
        <w:tc>
          <w:tcPr>
            <w:tcW w:type="dxa" w:w="644"/>
          </w:tcPr>
          <w:p>
            <w:pPr>
              <w:pStyle w:val="Compact"/>
              <w:jc w:val="left"/>
            </w:pPr>
            <w:r>
              <w:t xml:space="preserve">R-05</w:t>
            </w:r>
          </w:p>
        </w:tc>
        <w:tc>
          <w:tcPr>
            <w:tcW w:type="dxa" w:w="4830"/>
          </w:tcPr>
          <w:p>
            <w:pPr>
              <w:pStyle w:val="Compact"/>
              <w:jc w:val="left"/>
            </w:pPr>
            <w:r>
              <w:t xml:space="preserve">Portal sign-in is rate-limited but does not lock an account after repeated failures (URS-412).</w:t>
            </w:r>
          </w:p>
        </w:tc>
        <w:tc>
          <w:tcPr>
            <w:tcW w:type="dxa" w:w="400"/>
          </w:tcPr>
          <w:p>
            <w:pPr>
              <w:pStyle w:val="Compact"/>
              <w:jc w:val="left"/>
            </w:pPr>
            <w:r>
              <w:t xml:space="preserve">H</w:t>
            </w:r>
          </w:p>
        </w:tc>
        <w:tc>
          <w:tcPr>
            <w:tcW w:type="dxa" w:w="1045"/>
          </w:tcPr>
          <w:p>
            <w:pPr>
              <w:pStyle w:val="Compact"/>
              <w:jc w:val="left"/>
            </w:pPr>
            <w:r>
              <w:t xml:space="preserve">Medium</w:t>
            </w:r>
          </w:p>
        </w:tc>
        <w:tc>
          <w:tcPr>
            <w:tcW w:type="dxa" w:w="4830"/>
          </w:tcPr>
          <w:p>
            <w:pPr>
              <w:pStyle w:val="Compact"/>
              <w:jc w:val="left"/>
            </w:pPr>
            <w:r>
              <w:t xml:space="preserve">Rate limits on sign-in attempts. Minimum password length. Password manager. R-02 controls.</w:t>
            </w:r>
          </w:p>
        </w:tc>
        <w:tc>
          <w:tcPr>
            <w:tcW w:type="dxa" w:w="2979"/>
          </w:tcPr>
          <w:p>
            <w:pPr>
              <w:pStyle w:val="Compact"/>
              <w:jc w:val="left"/>
            </w:pPr>
            <w:r>
              <w:t xml:space="preserve">Account lockout or MFA (with R-02).</w:t>
            </w:r>
          </w:p>
        </w:tc>
      </w:tr>
      <w:tr>
        <w:trPr>
          <w:cantSplit/>
        </w:trPr>
        <w:tc>
          <w:tcPr>
            <w:tcW w:type="dxa" w:w="644"/>
          </w:tcPr>
          <w:p>
            <w:pPr>
              <w:pStyle w:val="Compact"/>
              <w:jc w:val="left"/>
            </w:pPr>
            <w:r>
              <w:t xml:space="preserve">R-06</w:t>
            </w:r>
          </w:p>
        </w:tc>
        <w:tc>
          <w:tcPr>
            <w:tcW w:type="dxa" w:w="4830"/>
          </w:tcPr>
          <w:p>
            <w:pPr>
              <w:pStyle w:val="Compact"/>
              <w:jc w:val="left"/>
            </w:pPr>
            <w:r>
              <w:t xml:space="preserve">The field application has no user login of its own. Anyone holding an unlocked device can enter or edit data.</w:t>
            </w:r>
          </w:p>
        </w:tc>
        <w:tc>
          <w:tcPr>
            <w:tcW w:type="dxa" w:w="400"/>
          </w:tcPr>
          <w:p>
            <w:pPr>
              <w:pStyle w:val="Compact"/>
              <w:jc w:val="left"/>
            </w:pPr>
            <w:r>
              <w:t xml:space="preserve">H</w:t>
            </w:r>
          </w:p>
        </w:tc>
        <w:tc>
          <w:tcPr>
            <w:tcW w:type="dxa" w:w="1045"/>
          </w:tcPr>
          <w:p>
            <w:pPr>
              <w:pStyle w:val="Compact"/>
              <w:jc w:val="left"/>
            </w:pPr>
            <w:r>
              <w:t xml:space="preserve">Medium</w:t>
            </w:r>
          </w:p>
        </w:tc>
        <w:tc>
          <w:tcPr>
            <w:tcW w:type="dxa" w:w="4830"/>
          </w:tcPr>
          <w:p>
            <w:pPr>
              <w:pStyle w:val="Compact"/>
              <w:jc w:val="left"/>
            </w:pPr>
            <w:r>
              <w:t xml:space="preserve">Each interviewer has a personal field credential, and devices are not shared without a recorded handover. Device screen lock with PIN is required (DK-SOP-001 §9). Edits are audited with the credential’s user identifier.</w:t>
            </w:r>
          </w:p>
        </w:tc>
        <w:tc>
          <w:tcPr>
            <w:tcW w:type="dxa" w:w="2979"/>
          </w:tcPr>
          <w:p>
            <w:pPr>
              <w:pStyle w:val="Compact"/>
              <w:jc w:val="left"/>
            </w:pPr>
            <w:r>
              <w:t xml:space="preserve">Consider an application PIN.</w:t>
            </w:r>
          </w:p>
        </w:tc>
      </w:tr>
      <w:tr>
        <w:trPr>
          <w:cantSplit/>
        </w:trPr>
        <w:tc>
          <w:tcPr>
            <w:tcW w:type="dxa" w:w="644"/>
          </w:tcPr>
          <w:p>
            <w:pPr>
              <w:pStyle w:val="Compact"/>
              <w:jc w:val="left"/>
            </w:pPr>
            <w:r>
              <w:t xml:space="preserve">R-07</w:t>
            </w:r>
          </w:p>
        </w:tc>
        <w:tc>
          <w:tcPr>
            <w:tcW w:type="dxa" w:w="4830"/>
          </w:tcPr>
          <w:p>
            <w:pPr>
              <w:pStyle w:val="Compact"/>
              <w:jc w:val="left"/>
            </w:pPr>
            <w:r>
              <w:t xml:space="preserve">The survey databases and local backup log on the device are not encrypted by the application. On macOS and Linux, stored sync passwords are not held in the operating system’s secure store.</w:t>
            </w:r>
          </w:p>
        </w:tc>
        <w:tc>
          <w:tcPr>
            <w:tcW w:type="dxa" w:w="400"/>
          </w:tcPr>
          <w:p>
            <w:pPr>
              <w:pStyle w:val="Compact"/>
              <w:jc w:val="left"/>
            </w:pPr>
            <w:r>
              <w:t xml:space="preserve">H</w:t>
            </w:r>
          </w:p>
        </w:tc>
        <w:tc>
          <w:tcPr>
            <w:tcW w:type="dxa" w:w="1045"/>
          </w:tcPr>
          <w:p>
            <w:pPr>
              <w:pStyle w:val="Compact"/>
              <w:jc w:val="left"/>
            </w:pPr>
            <w:r>
              <w:t xml:space="preserve">Medium</w:t>
            </w:r>
          </w:p>
        </w:tc>
        <w:tc>
          <w:tcPr>
            <w:tcW w:type="dxa" w:w="4830"/>
          </w:tcPr>
          <w:p>
            <w:pPr>
              <w:pStyle w:val="Compact"/>
              <w:jc w:val="left"/>
            </w:pPr>
            <w:r>
              <w:t xml:space="preserve">Only Android (which encrypts storage by default when a screen lock is set) and Windows with full-disk encryption are approved for data collection (DK-SOP-001 §9). Regular synchronisation limits what is on a device. A lost or stolen device is an incident: its credential is reset at once (DK-SOP-001 §8).</w:t>
            </w:r>
          </w:p>
        </w:tc>
        <w:tc>
          <w:tcPr>
            <w:tcW w:type="dxa" w:w="2979"/>
          </w:tcPr>
          <w:p>
            <w:pPr>
              <w:pStyle w:val="Compact"/>
              <w:jc w:val="left"/>
            </w:pPr>
            <w:r>
              <w:t xml:space="preserve">Evaluate application-level database encryption.</w:t>
            </w:r>
          </w:p>
        </w:tc>
      </w:tr>
      <w:tr>
        <w:trPr>
          <w:cantSplit/>
        </w:trPr>
        <w:tc>
          <w:tcPr>
            <w:tcW w:type="dxa" w:w="644"/>
          </w:tcPr>
          <w:p>
            <w:pPr>
              <w:pStyle w:val="Compact"/>
              <w:jc w:val="left"/>
            </w:pPr>
            <w:r>
              <w:t xml:space="preserve">R-08</w:t>
            </w:r>
          </w:p>
        </w:tc>
        <w:tc>
          <w:tcPr>
            <w:tcW w:type="dxa" w:w="4830"/>
          </w:tcPr>
          <w:p>
            <w:pPr>
              <w:pStyle w:val="Compact"/>
              <w:jc w:val="left"/>
            </w:pPr>
            <w:r>
              <w:t xml:space="preserve">Records stay editable on the device after upload. There is no per-record lock or sign-off.</w:t>
            </w:r>
          </w:p>
        </w:tc>
        <w:tc>
          <w:tcPr>
            <w:tcW w:type="dxa" w:w="400"/>
          </w:tcPr>
          <w:p>
            <w:pPr>
              <w:pStyle w:val="Compact"/>
              <w:jc w:val="left"/>
            </w:pPr>
            <w:r>
              <w:t xml:space="preserve">M</w:t>
            </w:r>
          </w:p>
        </w:tc>
        <w:tc>
          <w:tcPr>
            <w:tcW w:type="dxa" w:w="1045"/>
          </w:tcPr>
          <w:p>
            <w:pPr>
              <w:pStyle w:val="Compact"/>
              <w:jc w:val="left"/>
            </w:pPr>
            <w:r>
              <w:t xml:space="preserve">Medium</w:t>
            </w:r>
          </w:p>
        </w:tc>
        <w:tc>
          <w:tcPr>
            <w:tcW w:type="dxa" w:w="4830"/>
          </w:tcPr>
          <w:p>
            <w:pPr>
              <w:pStyle w:val="Compact"/>
              <w:jc w:val="left"/>
            </w:pPr>
            <w:r>
              <w:t xml:space="preserve">Every edit is audited and re-uploaded (URS-301, URS-502). The project data lock (URS-602) freezes the server dataset at database lock. Audit-trail review (DK-SOP-001 §6).</w:t>
            </w:r>
          </w:p>
        </w:tc>
        <w:tc>
          <w:tcPr>
            <w:tcW w:type="dxa" w:w="2979"/>
          </w:tcPr>
          <w:p>
            <w:pPr>
              <w:pStyle w:val="Compact"/>
              <w:jc w:val="left"/>
            </w:pPr>
            <w:r>
              <w:t xml:space="preserve">Consider per-record finalisation.</w:t>
            </w:r>
          </w:p>
        </w:tc>
      </w:tr>
      <w:tr>
        <w:trPr>
          <w:cantSplit/>
        </w:trPr>
        <w:tc>
          <w:tcPr>
            <w:tcW w:type="dxa" w:w="644"/>
          </w:tcPr>
          <w:p>
            <w:pPr>
              <w:pStyle w:val="Compact"/>
              <w:jc w:val="left"/>
            </w:pPr>
            <w:r>
              <w:t xml:space="preserve">R-09</w:t>
            </w:r>
          </w:p>
        </w:tc>
        <w:tc>
          <w:tcPr>
            <w:tcW w:type="dxa" w:w="4830"/>
          </w:tcPr>
          <w:p>
            <w:pPr>
              <w:pStyle w:val="Compact"/>
              <w:jc w:val="left"/>
            </w:pPr>
            <w:r>
              <w:t xml:space="preserve">Device session tokens are stored on the server unhashed and are valid for 30 days.</w:t>
            </w:r>
          </w:p>
        </w:tc>
        <w:tc>
          <w:tcPr>
            <w:tcW w:type="dxa" w:w="400"/>
          </w:tcPr>
          <w:p>
            <w:pPr>
              <w:pStyle w:val="Compact"/>
              <w:jc w:val="left"/>
            </w:pPr>
            <w:r>
              <w:t xml:space="preserve">M</w:t>
            </w:r>
          </w:p>
        </w:tc>
        <w:tc>
          <w:tcPr>
            <w:tcW w:type="dxa" w:w="1045"/>
          </w:tcPr>
          <w:p>
            <w:pPr>
              <w:pStyle w:val="Compact"/>
              <w:jc w:val="left"/>
            </w:pPr>
            <w:r>
              <w:t xml:space="preserve">Medium</w:t>
            </w:r>
          </w:p>
        </w:tc>
        <w:tc>
          <w:tcPr>
            <w:tcW w:type="dxa" w:w="4830"/>
          </w:tcPr>
          <w:p>
            <w:pPr>
              <w:pStyle w:val="Compact"/>
              <w:jc w:val="left"/>
            </w:pPr>
            <w:r>
              <w:t xml:space="preserve">The token table is accessible only to server functions. Tokens are revoked by credential reset or disable and by pausing the project.</w:t>
            </w:r>
          </w:p>
        </w:tc>
        <w:tc>
          <w:tcPr>
            <w:tcW w:type="dxa" w:w="2979"/>
          </w:tcPr>
          <w:p>
            <w:pPr>
              <w:pStyle w:val="Compact"/>
              <w:jc w:val="left"/>
            </w:pPr>
            <w:r>
              <w:t xml:space="preserve">Store only a hash of each token; consider a shorter lifetime.</w:t>
            </w:r>
          </w:p>
        </w:tc>
      </w:tr>
      <w:tr>
        <w:trPr>
          <w:cantSplit/>
        </w:trPr>
        <w:tc>
          <w:tcPr>
            <w:tcW w:type="dxa" w:w="644"/>
          </w:tcPr>
          <w:p>
            <w:pPr>
              <w:pStyle w:val="Compact"/>
              <w:jc w:val="left"/>
            </w:pPr>
            <w:r>
              <w:t xml:space="preserve">R-10</w:t>
            </w:r>
          </w:p>
        </w:tc>
        <w:tc>
          <w:tcPr>
            <w:tcW w:type="dxa" w:w="4830"/>
          </w:tcPr>
          <w:p>
            <w:pPr>
              <w:pStyle w:val="Compact"/>
              <w:jc w:val="left"/>
            </w:pPr>
            <w:r>
              <w:t xml:space="preserve">A database administrator (the owner of the database objects) could disable the triggers that protect the audit trail.</w:t>
            </w:r>
          </w:p>
        </w:tc>
        <w:tc>
          <w:tcPr>
            <w:tcW w:type="dxa" w:w="400"/>
          </w:tcPr>
          <w:p>
            <w:pPr>
              <w:pStyle w:val="Compact"/>
              <w:jc w:val="left"/>
            </w:pPr>
            <w:r>
              <w:t xml:space="preserve">H</w:t>
            </w:r>
          </w:p>
        </w:tc>
        <w:tc>
          <w:tcPr>
            <w:tcW w:type="dxa" w:w="1045"/>
          </w:tcPr>
          <w:p>
            <w:pPr>
              <w:pStyle w:val="Compact"/>
              <w:jc w:val="left"/>
            </w:pPr>
            <w:r>
              <w:t xml:space="preserve">Medium</w:t>
            </w:r>
          </w:p>
        </w:tc>
        <w:tc>
          <w:tcPr>
            <w:tcW w:type="dxa" w:w="4830"/>
          </w:tcPr>
          <w:p>
            <w:pPr>
              <w:pStyle w:val="Compact"/>
              <w:jc w:val="left"/>
            </w:pPr>
            <w:r>
              <w:t xml:space="preserve">Administrative access to the database is limited to named administrators, using MFA-protected provider accounts. Every schema change is a version-controlled migration. The periodic review runs a check that all protective triggers are present and enabled (DK-SOP-001 §11). The hosting platform keeps its own logs.</w:t>
            </w:r>
          </w:p>
        </w:tc>
        <w:tc>
          <w:tcPr>
            <w:tcW w:type="dxa" w:w="2979"/>
          </w:tcPr>
          <w:p>
            <w:pPr>
              <w:pStyle w:val="Compact"/>
              <w:jc w:val="left"/>
            </w:pPr>
            <w:r>
              <w:t xml:space="preserve">None planned beyond the controls; this is inherent to any database.</w:t>
            </w:r>
          </w:p>
        </w:tc>
      </w:tr>
      <w:tr>
        <w:trPr>
          <w:cantSplit/>
        </w:trPr>
        <w:tc>
          <w:tcPr>
            <w:tcW w:type="dxa" w:w="644"/>
          </w:tcPr>
          <w:p>
            <w:pPr>
              <w:pStyle w:val="Compact"/>
              <w:jc w:val="left"/>
            </w:pPr>
            <w:r>
              <w:t xml:space="preserve">R-11</w:t>
            </w:r>
          </w:p>
        </w:tc>
        <w:tc>
          <w:tcPr>
            <w:tcW w:type="dxa" w:w="4830"/>
          </w:tcPr>
          <w:p>
            <w:pPr>
              <w:pStyle w:val="Compact"/>
              <w:jc w:val="left"/>
            </w:pPr>
            <w:r>
              <w:t xml:space="preserve">Server audit events exist only from the audit-trail release (5 October 2026) onwards and were not reconstructed for earlier activity. Records uploaded before that date have no server-side history before it.</w:t>
            </w:r>
          </w:p>
        </w:tc>
        <w:tc>
          <w:tcPr>
            <w:tcW w:type="dxa" w:w="400"/>
          </w:tcPr>
          <w:p>
            <w:pPr>
              <w:pStyle w:val="Compact"/>
              <w:jc w:val="left"/>
            </w:pPr>
            <w:r>
              <w:t xml:space="preserve">M</w:t>
            </w:r>
          </w:p>
        </w:tc>
        <w:tc>
          <w:tcPr>
            <w:tcW w:type="dxa" w:w="1045"/>
          </w:tcPr>
          <w:p>
            <w:pPr>
              <w:pStyle w:val="Compact"/>
              <w:jc w:val="left"/>
            </w:pPr>
            <w:r>
              <w:t xml:space="preserve">Medium</w:t>
            </w:r>
          </w:p>
        </w:tc>
        <w:tc>
          <w:tcPr>
            <w:tcW w:type="dxa" w:w="4830"/>
          </w:tcPr>
          <w:p>
            <w:pPr>
              <w:pStyle w:val="Compact"/>
              <w:jc w:val="left"/>
            </w:pPr>
            <w:r>
              <w:t xml:space="preserve">Device change history (URS-301) existed before that date and was uploaded. The baseline date is stated in the Validation Summary Report. Studies whose data predates it record this in their data management file.</w:t>
            </w:r>
          </w:p>
        </w:tc>
        <w:tc>
          <w:tcPr>
            <w:tcW w:type="dxa" w:w="2979"/>
          </w:tcPr>
          <w:p>
            <w:pPr>
              <w:pStyle w:val="Compact"/>
              <w:jc w:val="left"/>
            </w:pPr>
            <w:r>
              <w:t xml:space="preserve">None; historical.</w:t>
            </w:r>
          </w:p>
        </w:tc>
      </w:tr>
      <w:tr>
        <w:trPr>
          <w:cantSplit/>
        </w:trPr>
        <w:tc>
          <w:tcPr>
            <w:tcW w:type="dxa" w:w="644"/>
          </w:tcPr>
          <w:p>
            <w:pPr>
              <w:pStyle w:val="Compact"/>
              <w:jc w:val="left"/>
            </w:pPr>
            <w:r>
              <w:t xml:space="preserve">R-12</w:t>
            </w:r>
          </w:p>
        </w:tc>
        <w:tc>
          <w:tcPr>
            <w:tcW w:type="dxa" w:w="4830"/>
          </w:tcPr>
          <w:p>
            <w:pPr>
              <w:pStyle w:val="Compact"/>
              <w:jc w:val="left"/>
            </w:pPr>
            <w:r>
              <w:t xml:space="preserve">The scheduled CSV backup does not include the server audit trail and writes no checksum manifest (URS-801).</w:t>
            </w:r>
          </w:p>
        </w:tc>
        <w:tc>
          <w:tcPr>
            <w:tcW w:type="dxa" w:w="400"/>
          </w:tcPr>
          <w:p>
            <w:pPr>
              <w:pStyle w:val="Compact"/>
              <w:jc w:val="left"/>
            </w:pPr>
            <w:r>
              <w:t xml:space="preserve">H</w:t>
            </w:r>
          </w:p>
        </w:tc>
        <w:tc>
          <w:tcPr>
            <w:tcW w:type="dxa" w:w="1045"/>
          </w:tcPr>
          <w:p>
            <w:pPr>
              <w:pStyle w:val="Compact"/>
              <w:jc w:val="left"/>
            </w:pPr>
            <w:r>
              <w:t xml:space="preserve">Medium</w:t>
            </w:r>
          </w:p>
        </w:tc>
        <w:tc>
          <w:tcPr>
            <w:tcW w:type="dxa" w:w="4830"/>
          </w:tcPr>
          <w:p>
            <w:pPr>
              <w:pStyle w:val="Compact"/>
              <w:jc w:val="left"/>
            </w:pPr>
            <w:r>
              <w:t xml:space="preserve">The encrypted full snapshot (URS-802) includes all tables, including the audit trail. It is taken weekly, before each release, and at each database lock (DK-SOP-001 §7). The platform’s own backups also apply.</w:t>
            </w:r>
          </w:p>
        </w:tc>
        <w:tc>
          <w:tcPr>
            <w:tcW w:type="dxa" w:w="2979"/>
          </w:tcPr>
          <w:p>
            <w:pPr>
              <w:pStyle w:val="Compact"/>
              <w:jc w:val="left"/>
            </w:pPr>
            <w:r>
              <w:t xml:space="preserve">Add the audit trail and a manifest to the scheduled backup.</w:t>
            </w:r>
          </w:p>
        </w:tc>
      </w:tr>
      <w:tr>
        <w:trPr>
          <w:cantSplit/>
        </w:trPr>
        <w:tc>
          <w:tcPr>
            <w:tcW w:type="dxa" w:w="644"/>
          </w:tcPr>
          <w:p>
            <w:pPr>
              <w:pStyle w:val="Compact"/>
              <w:jc w:val="left"/>
            </w:pPr>
            <w:r>
              <w:t xml:space="preserve">R-13</w:t>
            </w:r>
          </w:p>
        </w:tc>
        <w:tc>
          <w:tcPr>
            <w:tcW w:type="dxa" w:w="4830"/>
          </w:tcPr>
          <w:p>
            <w:pPr>
              <w:pStyle w:val="Compact"/>
              <w:jc w:val="left"/>
            </w:pPr>
            <w:r>
              <w:t xml:space="preserve">Hosting region, backup retention and point-in-time recovery of the database platform are not recorded in the system documentation (URS-903).</w:t>
            </w:r>
          </w:p>
        </w:tc>
        <w:tc>
          <w:tcPr>
            <w:tcW w:type="dxa" w:w="400"/>
          </w:tcPr>
          <w:p>
            <w:pPr>
              <w:pStyle w:val="Compact"/>
              <w:jc w:val="left"/>
            </w:pPr>
            <w:r>
              <w:t xml:space="preserve">M</w:t>
            </w:r>
          </w:p>
        </w:tc>
        <w:tc>
          <w:tcPr>
            <w:tcW w:type="dxa" w:w="1045"/>
          </w:tcPr>
          <w:p>
            <w:pPr>
              <w:pStyle w:val="Compact"/>
              <w:jc w:val="left"/>
            </w:pPr>
            <w:r>
              <w:t xml:space="preserve">Medium</w:t>
            </w:r>
          </w:p>
        </w:tc>
        <w:tc>
          <w:tcPr>
            <w:tcW w:type="dxa" w:w="4830"/>
          </w:tcPr>
          <w:p>
            <w:pPr>
              <w:pStyle w:val="Compact"/>
              <w:jc w:val="left"/>
            </w:pPr>
            <w:r>
              <w:t xml:space="preserve">Recorded at IQ-07 from the provider account and reviewed annually.</w:t>
            </w:r>
          </w:p>
        </w:tc>
        <w:tc>
          <w:tcPr>
            <w:tcW w:type="dxa" w:w="2979"/>
          </w:tcPr>
          <w:p>
            <w:pPr>
              <w:pStyle w:val="Compact"/>
              <w:jc w:val="left"/>
            </w:pPr>
            <w:r>
              <w:t xml:space="preserve">Not applicable once recorded.</w:t>
            </w:r>
          </w:p>
        </w:tc>
      </w:tr>
      <w:tr>
        <w:trPr>
          <w:cantSplit/>
        </w:trPr>
        <w:tc>
          <w:tcPr>
            <w:tcW w:type="dxa" w:w="644"/>
          </w:tcPr>
          <w:p>
            <w:pPr>
              <w:pStyle w:val="Compact"/>
              <w:jc w:val="left"/>
            </w:pPr>
            <w:r>
              <w:t xml:space="preserve">R-14</w:t>
            </w:r>
          </w:p>
        </w:tc>
        <w:tc>
          <w:tcPr>
            <w:tcW w:type="dxa" w:w="4830"/>
          </w:tcPr>
          <w:p>
            <w:pPr>
              <w:pStyle w:val="Compact"/>
              <w:jc w:val="left"/>
            </w:pPr>
            <w:r>
              <w:t xml:space="preserve">Automated tests are run by hand; there is no continuous integration.</w:t>
            </w:r>
          </w:p>
        </w:tc>
        <w:tc>
          <w:tcPr>
            <w:tcW w:type="dxa" w:w="400"/>
          </w:tcPr>
          <w:p>
            <w:pPr>
              <w:pStyle w:val="Compact"/>
              <w:jc w:val="left"/>
            </w:pPr>
            <w:r>
              <w:t xml:space="preserve">M</w:t>
            </w:r>
          </w:p>
        </w:tc>
        <w:tc>
          <w:tcPr>
            <w:tcW w:type="dxa" w:w="1045"/>
          </w:tcPr>
          <w:p>
            <w:pPr>
              <w:pStyle w:val="Compact"/>
              <w:jc w:val="left"/>
            </w:pPr>
            <w:r>
              <w:t xml:space="preserve">Medium</w:t>
            </w:r>
          </w:p>
        </w:tc>
        <w:tc>
          <w:tcPr>
            <w:tcW w:type="dxa" w:w="4830"/>
          </w:tcPr>
          <w:p>
            <w:pPr>
              <w:pStyle w:val="Compact"/>
              <w:jc w:val="left"/>
            </w:pPr>
            <w:r>
              <w:t xml:space="preserve">DK-SOP-001 §4 requires every automated suite to be run on the release commit, with logs retained, before any release.</w:t>
            </w:r>
          </w:p>
        </w:tc>
        <w:tc>
          <w:tcPr>
            <w:tcW w:type="dxa" w:w="2979"/>
          </w:tcPr>
          <w:p>
            <w:pPr>
              <w:pStyle w:val="Compact"/>
              <w:jc w:val="left"/>
            </w:pPr>
            <w:r>
              <w:t xml:space="preserve">Set up continuous integration for all components.</w:t>
            </w:r>
          </w:p>
        </w:tc>
      </w:tr>
      <w:tr>
        <w:trPr>
          <w:cantSplit/>
        </w:trPr>
        <w:tc>
          <w:tcPr>
            <w:tcW w:type="dxa" w:w="644"/>
          </w:tcPr>
          <w:p>
            <w:pPr>
              <w:pStyle w:val="Compact"/>
              <w:jc w:val="left"/>
            </w:pPr>
            <w:r>
              <w:t xml:space="preserve">R-15</w:t>
            </w:r>
          </w:p>
        </w:tc>
        <w:tc>
          <w:tcPr>
            <w:tcW w:type="dxa" w:w="4830"/>
          </w:tcPr>
          <w:p>
            <w:pPr>
              <w:pStyle w:val="Compact"/>
              <w:jc w:val="left"/>
            </w:pPr>
            <w:r>
              <w:t xml:space="preserve">The web project’s dependency lockfile is out of step with its package list, so a clean, locked install (</w:t>
            </w:r>
            <w:r>
              <w:rPr>
                <w:rStyle w:val="VerbatimChar"/>
              </w:rPr>
              <w:t xml:space="preserve">npm ci</w:t>
            </w:r>
            <w:r>
              <w:t xml:space="preserve">) fails. See deviation DEV-01.</w:t>
            </w:r>
          </w:p>
        </w:tc>
        <w:tc>
          <w:tcPr>
            <w:tcW w:type="dxa" w:w="400"/>
          </w:tcPr>
          <w:p>
            <w:pPr>
              <w:pStyle w:val="Compact"/>
              <w:jc w:val="left"/>
            </w:pPr>
            <w:r>
              <w:t xml:space="preserve">L</w:t>
            </w:r>
          </w:p>
        </w:tc>
        <w:tc>
          <w:tcPr>
            <w:tcW w:type="dxa" w:w="1045"/>
          </w:tcPr>
          <w:p>
            <w:pPr>
              <w:pStyle w:val="Compact"/>
              <w:jc w:val="left"/>
            </w:pPr>
            <w:r>
              <w:t xml:space="preserve">Low</w:t>
            </w:r>
          </w:p>
        </w:tc>
        <w:tc>
          <w:tcPr>
            <w:tcW w:type="dxa" w:w="4830"/>
          </w:tcPr>
          <w:p>
            <w:pPr>
              <w:pStyle w:val="Compact"/>
              <w:jc w:val="left"/>
            </w:pPr>
            <w:r>
              <w:t xml:space="preserve">Production builds are made by the hosting platform from the committed sources. The tests were run on a fresh install.</w:t>
            </w:r>
          </w:p>
        </w:tc>
        <w:tc>
          <w:tcPr>
            <w:tcW w:type="dxa" w:w="2979"/>
          </w:tcPr>
          <w:p>
            <w:pPr>
              <w:pStyle w:val="Compact"/>
              <w:jc w:val="left"/>
            </w:pPr>
            <w:r>
              <w:t xml:space="preserve">Regenerate and commit the lockfile.</w:t>
            </w:r>
          </w:p>
        </w:tc>
      </w:tr>
      <w:tr>
        <w:trPr>
          <w:cantSplit/>
        </w:trPr>
        <w:tc>
          <w:tcPr>
            <w:tcW w:type="dxa" w:w="644"/>
          </w:tcPr>
          <w:p>
            <w:pPr>
              <w:pStyle w:val="Compact"/>
              <w:jc w:val="left"/>
            </w:pPr>
            <w:r>
              <w:t xml:space="preserve">R-16</w:t>
            </w:r>
          </w:p>
        </w:tc>
        <w:tc>
          <w:tcPr>
            <w:tcW w:type="dxa" w:w="4830"/>
          </w:tcPr>
          <w:p>
            <w:pPr>
              <w:pStyle w:val="Compact"/>
              <w:jc w:val="left"/>
            </w:pPr>
            <w:r>
              <w:t xml:space="preserve">The development and validation team is small: the same people design, build and administer the system (segregation of duties).</w:t>
            </w:r>
          </w:p>
        </w:tc>
        <w:tc>
          <w:tcPr>
            <w:tcW w:type="dxa" w:w="400"/>
          </w:tcPr>
          <w:p>
            <w:pPr>
              <w:pStyle w:val="Compact"/>
              <w:jc w:val="left"/>
            </w:pPr>
            <w:r>
              <w:t xml:space="preserve">M</w:t>
            </w:r>
          </w:p>
        </w:tc>
        <w:tc>
          <w:tcPr>
            <w:tcW w:type="dxa" w:w="1045"/>
          </w:tcPr>
          <w:p>
            <w:pPr>
              <w:pStyle w:val="Compact"/>
              <w:jc w:val="left"/>
            </w:pPr>
            <w:r>
              <w:t xml:space="preserve">Medium</w:t>
            </w:r>
          </w:p>
        </w:tc>
        <w:tc>
          <w:tcPr>
            <w:tcW w:type="dxa" w:w="4830"/>
          </w:tcPr>
          <w:p>
            <w:pPr>
              <w:pStyle w:val="Compact"/>
              <w:jc w:val="left"/>
            </w:pPr>
            <w:r>
              <w:t xml:space="preserve">Validation testing and the review of every change are done by someone other than the author (DK-VAL-001 §6). Administrator access is limited and reviewed. Administrators have no role in a study’s data entry.</w:t>
            </w:r>
          </w:p>
        </w:tc>
        <w:tc>
          <w:tcPr>
            <w:tcW w:type="dxa" w:w="2979"/>
          </w:tcPr>
          <w:p>
            <w:pPr>
              <w:pStyle w:val="Compact"/>
              <w:jc w:val="left"/>
            </w:pPr>
            <w:r>
              <w:t xml:space="preserve">Review when the team grows.</w:t>
            </w:r>
          </w:p>
        </w:tc>
      </w:tr>
      <w:tr>
        <w:trPr>
          <w:cantSplit/>
        </w:trPr>
        <w:tc>
          <w:tcPr>
            <w:tcW w:type="dxa" w:w="644"/>
          </w:tcPr>
          <w:p>
            <w:pPr>
              <w:pStyle w:val="Compact"/>
              <w:jc w:val="left"/>
            </w:pPr>
            <w:r>
              <w:t xml:space="preserve">R-17</w:t>
            </w:r>
          </w:p>
        </w:tc>
        <w:tc>
          <w:tcPr>
            <w:tcW w:type="dxa" w:w="4830"/>
          </w:tcPr>
          <w:p>
            <w:pPr>
              <w:pStyle w:val="Compact"/>
              <w:jc w:val="left"/>
            </w:pPr>
            <w:r>
              <w:t xml:space="preserve">Device times are the device’s own clock. A device with a wrong date or time records wrong interview times.</w:t>
            </w:r>
          </w:p>
        </w:tc>
        <w:tc>
          <w:tcPr>
            <w:tcW w:type="dxa" w:w="400"/>
          </w:tcPr>
          <w:p>
            <w:pPr>
              <w:pStyle w:val="Compact"/>
              <w:jc w:val="left"/>
            </w:pPr>
            <w:r>
              <w:t xml:space="preserve">M</w:t>
            </w:r>
          </w:p>
        </w:tc>
        <w:tc>
          <w:tcPr>
            <w:tcW w:type="dxa" w:w="1045"/>
          </w:tcPr>
          <w:p>
            <w:pPr>
              <w:pStyle w:val="Compact"/>
              <w:jc w:val="left"/>
            </w:pPr>
            <w:r>
              <w:t xml:space="preserve">Medium</w:t>
            </w:r>
          </w:p>
        </w:tc>
        <w:tc>
          <w:tcPr>
            <w:tcW w:type="dxa" w:w="4830"/>
          </w:tcPr>
          <w:p>
            <w:pPr>
              <w:pStyle w:val="Compact"/>
              <w:jc w:val="left"/>
            </w:pPr>
            <w:r>
              <w:t xml:space="preserve">Devices must use automatic network time (DK-SOP-001 §9). The server records its own receipt time for every record. Field supervisors check device time at each sync.</w:t>
            </w:r>
          </w:p>
        </w:tc>
        <w:tc>
          <w:tcPr>
            <w:tcW w:type="dxa" w:w="2979"/>
          </w:tcPr>
          <w:p>
            <w:pPr>
              <w:pStyle w:val="Compact"/>
              <w:jc w:val="left"/>
            </w:pPr>
            <w:r>
              <w:t xml:space="preserve">With R-01, upload the time zone and UTC time.</w:t>
            </w:r>
          </w:p>
        </w:tc>
      </w:tr>
      <w:tr>
        <w:trPr>
          <w:cantSplit/>
        </w:trPr>
        <w:tc>
          <w:tcPr>
            <w:tcW w:type="dxa" w:w="644"/>
          </w:tcPr>
          <w:p>
            <w:pPr>
              <w:pStyle w:val="Compact"/>
              <w:jc w:val="left"/>
            </w:pPr>
            <w:r>
              <w:t xml:space="preserve">R-18</w:t>
            </w:r>
          </w:p>
        </w:tc>
        <w:tc>
          <w:tcPr>
            <w:tcW w:type="dxa" w:w="4830"/>
          </w:tcPr>
          <w:p>
            <w:pPr>
              <w:pStyle w:val="Compact"/>
              <w:jc w:val="left"/>
            </w:pPr>
            <w:r>
              <w:t xml:space="preserve">Every project role, including Viewer, can export all of a project’s data, including personal data.</w:t>
            </w:r>
          </w:p>
        </w:tc>
        <w:tc>
          <w:tcPr>
            <w:tcW w:type="dxa" w:w="400"/>
          </w:tcPr>
          <w:p>
            <w:pPr>
              <w:pStyle w:val="Compact"/>
              <w:jc w:val="left"/>
            </w:pPr>
            <w:r>
              <w:t xml:space="preserve">H</w:t>
            </w:r>
          </w:p>
        </w:tc>
        <w:tc>
          <w:tcPr>
            <w:tcW w:type="dxa" w:w="1045"/>
          </w:tcPr>
          <w:p>
            <w:pPr>
              <w:pStyle w:val="Compact"/>
              <w:jc w:val="left"/>
            </w:pPr>
            <w:r>
              <w:t xml:space="preserve">Medium</w:t>
            </w:r>
          </w:p>
        </w:tc>
        <w:tc>
          <w:tcPr>
            <w:tcW w:type="dxa" w:w="4830"/>
          </w:tcPr>
          <w:p>
            <w:pPr>
              <w:pStyle w:val="Compact"/>
              <w:jc w:val="left"/>
            </w:pPr>
            <w:r>
              <w:t xml:space="preserve">Membership is granted only to people authorised to see the study data, and reviewed quarterly. Every export is audited (URS-702).</w:t>
            </w:r>
          </w:p>
        </w:tc>
        <w:tc>
          <w:tcPr>
            <w:tcW w:type="dxa" w:w="2979"/>
          </w:tcPr>
          <w:p>
            <w:pPr>
              <w:pStyle w:val="Compact"/>
              <w:jc w:val="left"/>
            </w:pPr>
            <w:r>
              <w:t xml:space="preserve">Consider an export permission separate from viewing.</w:t>
            </w:r>
          </w:p>
        </w:tc>
      </w:tr>
      <w:tr>
        <w:trPr>
          <w:cantSplit/>
        </w:trPr>
        <w:tc>
          <w:tcPr>
            <w:tcW w:type="dxa" w:w="644"/>
          </w:tcPr>
          <w:p>
            <w:pPr>
              <w:pStyle w:val="Compact"/>
              <w:jc w:val="left"/>
            </w:pPr>
            <w:r>
              <w:t xml:space="preserve">R-19</w:t>
            </w:r>
          </w:p>
        </w:tc>
        <w:tc>
          <w:tcPr>
            <w:tcW w:type="dxa" w:w="4830"/>
          </w:tcPr>
          <w:p>
            <w:pPr>
              <w:pStyle w:val="Compact"/>
              <w:jc w:val="left"/>
            </w:pPr>
            <w:r>
              <w:t xml:space="preserve">The hosting providers can update their platforms without notice.</w:t>
            </w:r>
          </w:p>
        </w:tc>
        <w:tc>
          <w:tcPr>
            <w:tcW w:type="dxa" w:w="400"/>
          </w:tcPr>
          <w:p>
            <w:pPr>
              <w:pStyle w:val="Compact"/>
              <w:jc w:val="left"/>
            </w:pPr>
            <w:r>
              <w:t xml:space="preserve">M</w:t>
            </w:r>
          </w:p>
        </w:tc>
        <w:tc>
          <w:tcPr>
            <w:tcW w:type="dxa" w:w="1045"/>
          </w:tcPr>
          <w:p>
            <w:pPr>
              <w:pStyle w:val="Compact"/>
              <w:jc w:val="left"/>
            </w:pPr>
            <w:r>
              <w:t xml:space="preserve">Medium</w:t>
            </w:r>
          </w:p>
        </w:tc>
        <w:tc>
          <w:tcPr>
            <w:tcW w:type="dxa" w:w="4830"/>
          </w:tcPr>
          <w:p>
            <w:pPr>
              <w:pStyle w:val="Compact"/>
              <w:jc w:val="left"/>
            </w:pPr>
            <w:r>
              <w:t xml:space="preserve">Provider status and change notices are monitored. A platform change that affects the system is handled as an incident or change (DK-SOP-001 §4 and §8). The periodic review covers provider changes.</w:t>
            </w:r>
          </w:p>
        </w:tc>
        <w:tc>
          <w:tcPr>
            <w:tcW w:type="dxa" w:w="2979"/>
          </w:tcPr>
          <w:p>
            <w:pPr>
              <w:pStyle w:val="Compact"/>
              <w:jc w:val="left"/>
            </w:pPr>
            <w:r>
              <w:t xml:space="preserve">Not applicable.</w:t>
            </w:r>
          </w:p>
        </w:tc>
      </w:tr>
      <w:tr>
        <w:trPr>
          <w:cantSplit/>
        </w:trPr>
        <w:tc>
          <w:tcPr>
            <w:tcW w:type="dxa" w:w="644"/>
          </w:tcPr>
          <w:p>
            <w:pPr>
              <w:pStyle w:val="Compact"/>
              <w:jc w:val="left"/>
            </w:pPr>
            <w:r>
              <w:t xml:space="preserve">R-20</w:t>
            </w:r>
          </w:p>
        </w:tc>
        <w:tc>
          <w:tcPr>
            <w:tcW w:type="dxa" w:w="4830"/>
          </w:tcPr>
          <w:p>
            <w:pPr>
              <w:pStyle w:val="Compact"/>
              <w:jc w:val="left"/>
            </w:pPr>
            <w:r>
              <w:t xml:space="preserve">On 4 September 2026, a configuration update to the authentication service turned off e-mail verification in production for about 10 minutes. It was found and reversed.</w:t>
            </w:r>
          </w:p>
        </w:tc>
        <w:tc>
          <w:tcPr>
            <w:tcW w:type="dxa" w:w="400"/>
          </w:tcPr>
          <w:p>
            <w:pPr>
              <w:pStyle w:val="Compact"/>
              <w:jc w:val="left"/>
            </w:pPr>
            <w:r>
              <w:t xml:space="preserve">M</w:t>
            </w:r>
          </w:p>
        </w:tc>
        <w:tc>
          <w:tcPr>
            <w:tcW w:type="dxa" w:w="1045"/>
          </w:tcPr>
          <w:p>
            <w:pPr>
              <w:pStyle w:val="Compact"/>
              <w:jc w:val="left"/>
            </w:pPr>
            <w:r>
              <w:t xml:space="preserve">Low</w:t>
            </w:r>
          </w:p>
        </w:tc>
        <w:tc>
          <w:tcPr>
            <w:tcW w:type="dxa" w:w="4830"/>
          </w:tcPr>
          <w:p>
            <w:pPr>
              <w:pStyle w:val="Compact"/>
              <w:jc w:val="left"/>
            </w:pPr>
            <w:r>
              <w:t xml:space="preserve">Authentication configuration is now under change control: each configuration push is reviewed against the committed file before and after it is applied (DK-SOP-001 §4.5). IQ-06 verifies the production configuration.</w:t>
            </w:r>
          </w:p>
        </w:tc>
        <w:tc>
          <w:tcPr>
            <w:tcW w:type="dxa" w:w="2979"/>
          </w:tcPr>
          <w:p>
            <w:pPr>
              <w:pStyle w:val="Compact"/>
              <w:jc w:val="left"/>
            </w:pPr>
            <w:r>
              <w:t xml:space="preserve">Closed.</w:t>
            </w:r>
          </w:p>
        </w:tc>
      </w:tr>
    </w:tbl>
    <w:bookmarkEnd w:id="35"/>
    <w:bookmarkStart w:id="36" w:name="service-provider-assessment"/>
    <w:p>
      <w:pPr>
        <w:pStyle w:val="Heading1"/>
      </w:pPr>
      <w:r>
        <w:t xml:space="preserve">6. Service-provider assessment</w:t>
      </w:r>
    </w:p>
    <w:p>
      <w:pPr>
        <w:pStyle w:val="FirstParagraph"/>
      </w:pPr>
      <w:r>
        <w:t xml:space="preserve">The system runs on external platforms. For each one, the organisation remains responsible for</w:t>
      </w:r>
      <w:r>
        <w:t xml:space="preserve"> </w:t>
      </w:r>
      <w:r>
        <w:t xml:space="preserve">its data. The assessment records what each provider does, the risk, and how the organisation</w:t>
      </w:r>
      <w:r>
        <w:t xml:space="preserve"> </w:t>
      </w:r>
      <w:r>
        <w:t xml:space="preserve">satisfies itself. The facts marked</w:t>
      </w:r>
      <w:r>
        <w:t xml:space="preserve"> </w:t>
      </w:r>
      <w:r>
        <w:rPr>
          <w:iCs/>
          <w:i/>
        </w:rPr>
        <w:t xml:space="preserve">to be recorded</w:t>
      </w:r>
      <w:r>
        <w:t xml:space="preserve"> </w:t>
      </w:r>
      <w:r>
        <w:t xml:space="preserve">are confirmed from the provider accounts</w:t>
      </w:r>
      <w:r>
        <w:t xml:space="preserve"> </w:t>
      </w:r>
      <w:r>
        <w:t xml:space="preserve">at installation qualification (IQ-07) and reviewed at each periodic review.</w:t>
      </w:r>
    </w:p>
    <w:tbl>
      <w:tblPr>
        <w:tblStyle w:val="Table"/>
        <w:tblW w:type="dxa" w:w="1456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1618"/>
        <w:gridCol w:w="2266"/>
        <w:gridCol w:w="1780"/>
        <w:gridCol w:w="3399"/>
        <w:gridCol w:w="3561"/>
        <w:gridCol w:w="1942"/>
      </w:tblGrid>
      <w:tr>
        <w:trPr>
          <w:cantSplit/>
          <w:tblHeader w:val="true"/>
        </w:trPr>
        <w:tc>
          <w:tcPr>
            <w:tcW w:type="dxa" w:w="1618"/>
            <w:shd w:val="clear" w:color="auto" w:fill="DCE4EE"/>
          </w:tcPr>
          <w:p>
            <w:pPr>
              <w:pStyle w:val="Compact"/>
              <w:jc w:val="left"/>
            </w:pPr>
            <w:r>
              <w:t xml:space="preserve">Provider</w:t>
            </w:r>
          </w:p>
        </w:tc>
        <w:tc>
          <w:tcPr>
            <w:tcW w:type="dxa" w:w="2266"/>
            <w:shd w:val="clear" w:color="auto" w:fill="DCE4EE"/>
          </w:tcPr>
          <w:p>
            <w:pPr>
              <w:pStyle w:val="Compact"/>
              <w:jc w:val="left"/>
            </w:pPr>
            <w:r>
              <w:t xml:space="preserve">Service used</w:t>
            </w:r>
          </w:p>
        </w:tc>
        <w:tc>
          <w:tcPr>
            <w:tcW w:type="dxa" w:w="1780"/>
            <w:shd w:val="clear" w:color="auto" w:fill="DCE4EE"/>
          </w:tcPr>
          <w:p>
            <w:pPr>
              <w:pStyle w:val="Compact"/>
              <w:jc w:val="left"/>
            </w:pPr>
            <w:r>
              <w:t xml:space="preserve">Data held</w:t>
            </w:r>
          </w:p>
        </w:tc>
        <w:tc>
          <w:tcPr>
            <w:tcW w:type="dxa" w:w="3399"/>
            <w:shd w:val="clear" w:color="auto" w:fill="DCE4EE"/>
          </w:tcPr>
          <w:p>
            <w:pPr>
              <w:pStyle w:val="Compact"/>
              <w:jc w:val="left"/>
            </w:pPr>
            <w:r>
              <w:t xml:space="preserve">Basis of assessment</w:t>
            </w:r>
          </w:p>
        </w:tc>
        <w:tc>
          <w:tcPr>
            <w:tcW w:type="dxa" w:w="3561"/>
            <w:shd w:val="clear" w:color="auto" w:fill="DCE4EE"/>
          </w:tcPr>
          <w:p>
            <w:pPr>
              <w:pStyle w:val="Compact"/>
              <w:jc w:val="left"/>
            </w:pPr>
            <w:r>
              <w:t xml:space="preserve">Facts to be recorded at IQ-07</w:t>
            </w:r>
          </w:p>
        </w:tc>
        <w:tc>
          <w:tcPr>
            <w:tcW w:type="dxa" w:w="1942"/>
            <w:shd w:val="clear" w:color="auto" w:fill="DCE4EE"/>
          </w:tcPr>
          <w:p>
            <w:pPr>
              <w:pStyle w:val="Compact"/>
              <w:jc w:val="left"/>
            </w:pPr>
            <w:r>
              <w:t xml:space="preserve">Conclusion</w:t>
            </w:r>
          </w:p>
        </w:tc>
      </w:tr>
      <w:tr>
        <w:trPr>
          <w:cantSplit/>
        </w:trPr>
        <w:tc>
          <w:tcPr>
            <w:tcW w:type="dxa" w:w="1618"/>
          </w:tcPr>
          <w:p>
            <w:pPr>
              <w:pStyle w:val="Compact"/>
              <w:jc w:val="left"/>
            </w:pPr>
            <w:r>
              <w:rPr>
                <w:bCs/>
                <w:b/>
              </w:rPr>
              <w:t xml:space="preserve">Supabase</w:t>
            </w:r>
            <w:r>
              <w:t xml:space="preserve"> </w:t>
            </w:r>
            <w:r>
              <w:t xml:space="preserve">(managed PostgreSQL, authentication, file storage and server functions)</w:t>
            </w:r>
          </w:p>
        </w:tc>
        <w:tc>
          <w:tcPr>
            <w:tcW w:type="dxa" w:w="2266"/>
          </w:tcPr>
          <w:p>
            <w:pPr>
              <w:pStyle w:val="Compact"/>
              <w:jc w:val="left"/>
            </w:pPr>
            <w:r>
              <w:t xml:space="preserve">Production database, user authentication, survey package storage, server functions app-login, app-sync and project-data-feed</w:t>
            </w:r>
          </w:p>
        </w:tc>
        <w:tc>
          <w:tcPr>
            <w:tcW w:type="dxa" w:w="1780"/>
          </w:tcPr>
          <w:p>
            <w:pPr>
              <w:pStyle w:val="Compact"/>
              <w:jc w:val="left"/>
            </w:pPr>
            <w:r>
              <w:t xml:space="preserve">All collected study data, audit trails, user accounts</w:t>
            </w:r>
          </w:p>
        </w:tc>
        <w:tc>
          <w:tcPr>
            <w:tcW w:type="dxa" w:w="3399"/>
          </w:tcPr>
          <w:p>
            <w:pPr>
              <w:pStyle w:val="Compact"/>
              <w:jc w:val="left"/>
            </w:pPr>
            <w:r>
              <w:t xml:space="preserve">Published security documentation and independent security attestation (for example a SOC 2 report). Encryption at rest and in transit. Database access governed by row-level security defined in the organisation’s own migrations. Data export at any time with the organisation’s own backup tools (URS-801–803).</w:t>
            </w:r>
          </w:p>
        </w:tc>
        <w:tc>
          <w:tcPr>
            <w:tcW w:type="dxa" w:w="3561"/>
          </w:tcPr>
          <w:p>
            <w:pPr>
              <w:pStyle w:val="Compact"/>
              <w:jc w:val="left"/>
            </w:pPr>
            <w:r>
              <w:t xml:space="preserve">Organisation and project; region; plan; backup frequency, retention, and whether point-in-time recovery is enabled; administrators and MFA status; current attestation report date</w:t>
            </w:r>
          </w:p>
        </w:tc>
        <w:tc>
          <w:tcPr>
            <w:tcW w:type="dxa" w:w="1942"/>
          </w:tcPr>
          <w:p>
            <w:pPr>
              <w:pStyle w:val="Compact"/>
              <w:jc w:val="left"/>
            </w:pPr>
            <w:r>
              <w:t xml:space="preserve">Acceptable, subject to IQ-07 confirmation and the organisation’s own backups</w:t>
            </w:r>
          </w:p>
        </w:tc>
      </w:tr>
      <w:tr>
        <w:trPr>
          <w:cantSplit/>
        </w:trPr>
        <w:tc>
          <w:tcPr>
            <w:tcW w:type="dxa" w:w="1618"/>
          </w:tcPr>
          <w:p>
            <w:pPr>
              <w:pStyle w:val="Compact"/>
              <w:jc w:val="left"/>
            </w:pPr>
            <w:r>
              <w:rPr>
                <w:bCs/>
                <w:b/>
              </w:rPr>
              <w:t xml:space="preserve">Vercel</w:t>
            </w:r>
            <w:r>
              <w:t xml:space="preserve"> </w:t>
            </w:r>
            <w:r>
              <w:t xml:space="preserve">(static web hosting)</w:t>
            </w:r>
          </w:p>
        </w:tc>
        <w:tc>
          <w:tcPr>
            <w:tcW w:type="dxa" w:w="2266"/>
          </w:tcPr>
          <w:p>
            <w:pPr>
              <w:pStyle w:val="Compact"/>
              <w:jc w:val="left"/>
            </w:pPr>
            <w:r>
              <w:t xml:space="preserve">Hosts the portal’s web application files</w:t>
            </w:r>
          </w:p>
        </w:tc>
        <w:tc>
          <w:tcPr>
            <w:tcW w:type="dxa" w:w="1780"/>
          </w:tcPr>
          <w:p>
            <w:pPr>
              <w:pStyle w:val="Compact"/>
              <w:jc w:val="left"/>
            </w:pPr>
            <w:r>
              <w:t xml:space="preserve">None. The portal is a static application; data goes directly between the browser and Supabase.</w:t>
            </w:r>
          </w:p>
        </w:tc>
        <w:tc>
          <w:tcPr>
            <w:tcW w:type="dxa" w:w="3399"/>
          </w:tcPr>
          <w:p>
            <w:pPr>
              <w:pStyle w:val="Compact"/>
              <w:jc w:val="left"/>
            </w:pPr>
            <w:r>
              <w:t xml:space="preserve">Published security documentation. Deployment only from the organisation’s code repository.</w:t>
            </w:r>
          </w:p>
        </w:tc>
        <w:tc>
          <w:tcPr>
            <w:tcW w:type="dxa" w:w="3561"/>
          </w:tcPr>
          <w:p>
            <w:pPr>
              <w:pStyle w:val="Compact"/>
              <w:jc w:val="left"/>
            </w:pPr>
            <w:r>
              <w:t xml:space="preserve">Project; production domain; deployment source branch; administrators and MFA status</w:t>
            </w:r>
          </w:p>
        </w:tc>
        <w:tc>
          <w:tcPr>
            <w:tcW w:type="dxa" w:w="1942"/>
          </w:tcPr>
          <w:p>
            <w:pPr>
              <w:pStyle w:val="Compact"/>
              <w:jc w:val="left"/>
            </w:pPr>
            <w:r>
              <w:t xml:space="preserve">Acceptable; low risk because no study data is stored</w:t>
            </w:r>
          </w:p>
        </w:tc>
      </w:tr>
      <w:tr>
        <w:trPr>
          <w:cantSplit/>
        </w:trPr>
        <w:tc>
          <w:tcPr>
            <w:tcW w:type="dxa" w:w="1618"/>
          </w:tcPr>
          <w:p>
            <w:pPr>
              <w:pStyle w:val="Compact"/>
              <w:jc w:val="left"/>
            </w:pPr>
            <w:r>
              <w:rPr>
                <w:bCs/>
                <w:b/>
              </w:rPr>
              <w:t xml:space="preserve">GitHub</w:t>
            </w:r>
            <w:r>
              <w:t xml:space="preserve"> </w:t>
            </w:r>
            <w:r>
              <w:t xml:space="preserve">(code hosting)</w:t>
            </w:r>
          </w:p>
        </w:tc>
        <w:tc>
          <w:tcPr>
            <w:tcW w:type="dxa" w:w="2266"/>
          </w:tcPr>
          <w:p>
            <w:pPr>
              <w:pStyle w:val="Compact"/>
              <w:jc w:val="left"/>
            </w:pPr>
            <w:r>
              <w:t xml:space="preserve">Source code, change history, release tags</w:t>
            </w:r>
          </w:p>
        </w:tc>
        <w:tc>
          <w:tcPr>
            <w:tcW w:type="dxa" w:w="1780"/>
          </w:tcPr>
          <w:p>
            <w:pPr>
              <w:pStyle w:val="Compact"/>
              <w:jc w:val="left"/>
            </w:pPr>
            <w:r>
              <w:t xml:space="preserve">None (no study data)</w:t>
            </w:r>
          </w:p>
        </w:tc>
        <w:tc>
          <w:tcPr>
            <w:tcW w:type="dxa" w:w="3399"/>
          </w:tcPr>
          <w:p>
            <w:pPr>
              <w:pStyle w:val="Compact"/>
              <w:jc w:val="left"/>
            </w:pPr>
            <w:r>
              <w:t xml:space="preserve">Version control is the evidence of change control (DK-SOP-001 §4)</w:t>
            </w:r>
          </w:p>
        </w:tc>
        <w:tc>
          <w:tcPr>
            <w:tcW w:type="dxa" w:w="3561"/>
          </w:tcPr>
          <w:p>
            <w:pPr>
              <w:pStyle w:val="Compact"/>
              <w:jc w:val="left"/>
            </w:pPr>
            <w:r>
              <w:t xml:space="preserve">Repository list; administrators and MFA status; branch protection</w:t>
            </w:r>
          </w:p>
        </w:tc>
        <w:tc>
          <w:tcPr>
            <w:tcW w:type="dxa" w:w="1942"/>
          </w:tcPr>
          <w:p>
            <w:pPr>
              <w:pStyle w:val="Compact"/>
              <w:jc w:val="left"/>
            </w:pPr>
            <w:r>
              <w:t xml:space="preserve">Acceptable</w:t>
            </w:r>
          </w:p>
        </w:tc>
      </w:tr>
      <w:tr>
        <w:trPr>
          <w:cantSplit/>
        </w:trPr>
        <w:tc>
          <w:tcPr>
            <w:tcW w:type="dxa" w:w="1618"/>
          </w:tcPr>
          <w:p>
            <w:pPr>
              <w:pStyle w:val="Compact"/>
              <w:jc w:val="left"/>
            </w:pPr>
            <w:r>
              <w:rPr>
                <w:bCs/>
                <w:b/>
              </w:rPr>
              <w:t xml:space="preserve">Application distribution</w:t>
            </w:r>
            <w:r>
              <w:t xml:space="preserve"> </w:t>
            </w:r>
            <w:r>
              <w:t xml:space="preserve">(Android package files, Windows installer)</w:t>
            </w:r>
          </w:p>
        </w:tc>
        <w:tc>
          <w:tcPr>
            <w:tcW w:type="dxa" w:w="2266"/>
          </w:tcPr>
          <w:p>
            <w:pPr>
              <w:pStyle w:val="Compact"/>
              <w:jc w:val="left"/>
            </w:pPr>
            <w:r>
              <w:t xml:space="preserve">Installation of the field application</w:t>
            </w:r>
          </w:p>
        </w:tc>
        <w:tc>
          <w:tcPr>
            <w:tcW w:type="dxa" w:w="1780"/>
          </w:tcPr>
          <w:p>
            <w:pPr>
              <w:pStyle w:val="Compact"/>
              <w:jc w:val="left"/>
            </w:pPr>
            <w:r>
              <w:t xml:space="preserve">None</w:t>
            </w:r>
          </w:p>
        </w:tc>
        <w:tc>
          <w:tcPr>
            <w:tcW w:type="dxa" w:w="3399"/>
          </w:tcPr>
          <w:p>
            <w:pPr>
              <w:pStyle w:val="Compact"/>
              <w:jc w:val="left"/>
            </w:pPr>
            <w:r>
              <w:t xml:space="preserve">Packages are built from tagged sources and signed with the organisation’s own keys; checksums are recorded at IQ-02</w:t>
            </w:r>
          </w:p>
        </w:tc>
        <w:tc>
          <w:tcPr>
            <w:tcW w:type="dxa" w:w="3561"/>
          </w:tcPr>
          <w:p>
            <w:pPr>
              <w:pStyle w:val="Compact"/>
              <w:jc w:val="left"/>
            </w:pPr>
            <w:r>
              <w:t xml:space="preserve">Signing certificate fingerprint; distribution channel</w:t>
            </w:r>
          </w:p>
        </w:tc>
        <w:tc>
          <w:tcPr>
            <w:tcW w:type="dxa" w:w="1942"/>
          </w:tcPr>
          <w:p>
            <w:pPr>
              <w:pStyle w:val="Compact"/>
              <w:jc w:val="left"/>
            </w:pPr>
            <w:r>
              <w:t xml:space="preserve">Acceptable</w:t>
            </w:r>
          </w:p>
        </w:tc>
      </w:tr>
    </w:tbl>
    <w:p>
      <w:pPr>
        <w:pStyle w:val="BodyText"/>
      </w:pPr>
      <w:r>
        <w:t xml:space="preserve">Agreements: the organisation keeps the provider terms of service and data-processing terms in</w:t>
      </w:r>
      <w:r>
        <w:t xml:space="preserve"> </w:t>
      </w:r>
      <w:r>
        <w:t xml:space="preserve">force for the life of the system, and makes sure study data can be made available to auditors</w:t>
      </w:r>
      <w:r>
        <w:t xml:space="preserve"> </w:t>
      </w:r>
      <w:r>
        <w:t xml:space="preserve">and inspectors through the organisation’s own export and backup tools, independently of the</w:t>
      </w:r>
      <w:r>
        <w:t xml:space="preserve"> </w:t>
      </w:r>
      <w:r>
        <w:t xml:space="preserve">providers.</w:t>
      </w:r>
    </w:p>
    <w:bookmarkEnd w:id="36"/>
    <w:sectPr>
      <w:headerReference w:type="default" r:id="rId9"/>
      <w:footerReference w:type="default" r:id="rId10"/>
      <w:pgSz w:orient="landscape" w:w="16838" w:h="11906"/>
      <w:pgMar w:bottom="1134" w:left="1134" w:right="1134" w:top="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70" w:val="right"/>
      </w:tabs>
    </w:pPr>
    <w:r>
      <w:rPr>
        <w:sz w:val="16"/>
      </w:rPr>
    </w:r>
    <w:r>
      <w:rPr>
        <w:sz w:val="16"/>
      </w:rPr>
      <w:t>IDRC — controlled document. Printed copies are uncontrolled unless signed.</w:t>
      <w:tab/>
    </w:r>
    <w:r>
      <w:rPr>
        <w:sz w:val="16"/>
      </w:rPr>
      <w:t xml:space="preserve">Page </w:t>
    </w:r>
    <w:r>
      <w:rPr>
        <w:sz w:val="16"/>
      </w:rPr>
      <w:fldChar w:fldCharType="begin"/>
      <w:instrText xml:space="preserve">PAGE</w:instrText>
      <w:fldChar w:fldCharType="separate"/>
      <w:t>1</w:t>
      <w:fldChar w:fldCharType="end"/>
    </w:r>
    <w:r>
      <w:rPr>
        <w:sz w:val="16"/>
      </w:rPr>
      <w:t xml:space="preserve"> of </w:t>
    </w:r>
    <w:r>
      <w:rPr>
        <w:sz w:val="16"/>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570" w:val="right"/>
      </w:tabs>
    </w:pPr>
    <w:r/>
    <w:r>
      <w:rPr>
        <w:color w:val="1F3A5F"/>
        <w:sz w:val="17"/>
      </w:rPr>
      <w:t>DataKollecta — User Requirements Specification and Risk Assessment</w:t>
    </w:r>
    <w:r>
      <w:tab/>
    </w:r>
    <w:r>
      <w:rPr>
        <w:color w:val="1F3A5F"/>
        <w:sz w:val="17"/>
      </w:rPr>
      <w:t>DK-VAL-002  ·  Version 1.0</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0"/>
    </w:pPr>
    <w:qFormat/>
    <w:rPr>
      <w:rFonts w:ascii="Calibri" w:cs="Calibri" w:eastAsia="Calibri" w:hAnsi="Calibri"/>
      <w:sz w:val="21"/>
    </w:rPr>
  </w:style>
  <w:style w:customStyle="1" w:styleId="FirstParagraph" w:type="paragraph">
    <w:name w:val="First Paragraph"/>
    <w:basedOn w:val="BodyText"/>
    <w:next w:val="BodyText"/>
    <w:qFormat/>
    <w:pPr>
      <w:spacing w:after="120" w:before="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18"/>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F3A5F"/>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2026-10-08T13:19:43Z</dcterms:created>
  <dcterms:modified xsi:type="dcterms:W3CDTF">2026-10-08T13:19:43Z</dcterms:modified>
</cp:coreProperties>
</file>

<file path=docProps/custom.xml><?xml version="1.0" encoding="utf-8"?>
<Properties xmlns="http://schemas.openxmlformats.org/officeDocument/2006/custom-properties" xmlns:vt="http://schemas.openxmlformats.org/officeDocument/2006/docPropsVTypes"/>
</file>