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inuta-de-termo-de-referência"/>
    <w:p>
      <w:pPr>
        <w:pStyle w:val="Heading1"/>
      </w:pPr>
      <w:r>
        <w:t xml:space="preserve">MINUTA DE TERMO DE REFERÊNCIA</w:t>
      </w:r>
    </w:p>
    <w:bookmarkStart w:id="20" w:name="Xd0fbc8d4ea4ef7f894fdaca67bfa25748234337"/>
    <w:p>
      <w:pPr>
        <w:pStyle w:val="Heading2"/>
      </w:pPr>
      <w:r>
        <w:t xml:space="preserve">Contratação da Plataforma Municipal de Inteligência Climática, Ambiental, Sanitária e de Defesa Civil</w:t>
      </w:r>
    </w:p>
    <w:p>
      <w:pPr>
        <w:pStyle w:val="FirstParagraph"/>
      </w:pPr>
      <w:r>
        <w:rPr>
          <w:b/>
          <w:bCs/>
        </w:rPr>
        <w:t xml:space="preserve">Município:</w:t>
      </w:r>
      <w:r>
        <w:t xml:space="preserve"> </w:t>
      </w:r>
      <w:r>
        <w:t xml:space="preserve">Betim/MG</w:t>
      </w:r>
      <w:r>
        <w:br/>
      </w:r>
      <w:r>
        <w:rPr>
          <w:b/>
          <w:bCs/>
        </w:rPr>
        <w:t xml:space="preserve">Órgão requisitante:</w:t>
      </w:r>
      <w:r>
        <w:t xml:space="preserve"> </w:t>
      </w:r>
      <w:r>
        <w:t xml:space="preserve">[PREENCHER]</w:t>
      </w:r>
      <w:r>
        <w:br/>
      </w:r>
      <w:r>
        <w:rPr>
          <w:b/>
          <w:bCs/>
        </w:rPr>
        <w:t xml:space="preserve">Unidade técnica responsável:</w:t>
      </w:r>
      <w:r>
        <w:t xml:space="preserve"> </w:t>
      </w:r>
      <w:r>
        <w:t xml:space="preserve">[PREENCHER]</w:t>
      </w:r>
      <w:r>
        <w:br/>
      </w:r>
      <w:r>
        <w:rPr>
          <w:b/>
          <w:bCs/>
        </w:rPr>
        <w:t xml:space="preserve">Processo administrativo:</w:t>
      </w:r>
      <w:r>
        <w:t xml:space="preserve"> </w:t>
      </w:r>
      <w:r>
        <w:t xml:space="preserve">[PREENCHER]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0.1 — Minuta técnica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[PREENCHER]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ce039248debe8f0f81e219f177f794cf1645856"/>
    <w:p>
      <w:pPr>
        <w:pStyle w:val="Heading1"/>
      </w:pPr>
      <w:r>
        <w:t xml:space="preserve">1. Natureza e condições de utilização desta minuta</w:t>
      </w:r>
    </w:p>
    <w:p>
      <w:pPr>
        <w:pStyle w:val="FirstParagraph"/>
      </w:pPr>
      <w:r>
        <w:t xml:space="preserve">Este documento constitui uma</w:t>
      </w:r>
      <w:r>
        <w:t xml:space="preserve"> </w:t>
      </w:r>
      <w:r>
        <w:rPr>
          <w:b/>
          <w:bCs/>
        </w:rPr>
        <w:t xml:space="preserve">minuta técnica preliminar</w:t>
      </w:r>
      <w:r>
        <w:t xml:space="preserve"> </w:t>
      </w:r>
      <w:r>
        <w:t xml:space="preserve">para orientar o planejamento da contratação. Não substitui:</w:t>
      </w:r>
    </w:p>
    <w:p>
      <w:pPr>
        <w:pStyle w:val="Compact"/>
        <w:numPr>
          <w:ilvl w:val="0"/>
          <w:numId w:val="1001"/>
        </w:numPr>
      </w:pPr>
      <w:r>
        <w:t xml:space="preserve">Estudo Técnico Preliminar — ETP;</w:t>
      </w:r>
    </w:p>
    <w:p>
      <w:pPr>
        <w:pStyle w:val="Compact"/>
        <w:numPr>
          <w:ilvl w:val="0"/>
          <w:numId w:val="1001"/>
        </w:numPr>
      </w:pPr>
      <w:r>
        <w:t xml:space="preserve">Documento de Formalização da Demanda;</w:t>
      </w:r>
    </w:p>
    <w:p>
      <w:pPr>
        <w:pStyle w:val="Compact"/>
        <w:numPr>
          <w:ilvl w:val="0"/>
          <w:numId w:val="1001"/>
        </w:numPr>
      </w:pPr>
      <w:r>
        <w:t xml:space="preserve">pesquisa de preços;</w:t>
      </w:r>
    </w:p>
    <w:p>
      <w:pPr>
        <w:pStyle w:val="Compact"/>
        <w:numPr>
          <w:ilvl w:val="0"/>
          <w:numId w:val="1001"/>
        </w:numPr>
      </w:pPr>
      <w:r>
        <w:t xml:space="preserve">análise de riscos;</w:t>
      </w:r>
    </w:p>
    <w:p>
      <w:pPr>
        <w:pStyle w:val="Compact"/>
        <w:numPr>
          <w:ilvl w:val="0"/>
          <w:numId w:val="1001"/>
        </w:numPr>
      </w:pPr>
      <w:r>
        <w:t xml:space="preserve">parecer jurídico;</w:t>
      </w:r>
    </w:p>
    <w:p>
      <w:pPr>
        <w:pStyle w:val="Compact"/>
        <w:numPr>
          <w:ilvl w:val="0"/>
          <w:numId w:val="1001"/>
        </w:numPr>
      </w:pPr>
      <w:r>
        <w:t xml:space="preserve">avaliação de impacto orçamentário;</w:t>
      </w:r>
    </w:p>
    <w:p>
      <w:pPr>
        <w:pStyle w:val="Compact"/>
        <w:numPr>
          <w:ilvl w:val="0"/>
          <w:numId w:val="1001"/>
        </w:numPr>
      </w:pPr>
      <w:r>
        <w:t xml:space="preserve">manifestação do encarregado de proteção de dados;</w:t>
      </w:r>
    </w:p>
    <w:p>
      <w:pPr>
        <w:pStyle w:val="Compact"/>
        <w:numPr>
          <w:ilvl w:val="0"/>
          <w:numId w:val="1001"/>
        </w:numPr>
      </w:pPr>
      <w:r>
        <w:t xml:space="preserve">aprovação da autoridade competente;</w:t>
      </w:r>
    </w:p>
    <w:p>
      <w:pPr>
        <w:pStyle w:val="Compact"/>
        <w:numPr>
          <w:ilvl w:val="0"/>
          <w:numId w:val="1001"/>
        </w:numPr>
      </w:pPr>
      <w:r>
        <w:t xml:space="preserve">regulamentação municipal aplicável à Lei nº 14.133/2021.</w:t>
      </w:r>
    </w:p>
    <w:p>
      <w:pPr>
        <w:pStyle w:val="FirstParagraph"/>
      </w:pPr>
      <w:r>
        <w:t xml:space="preserve">A Lei nº 14.133/2021 estabelece os elementos essenciais do Termo de Referência. O TCU orienta que o TR seja fundamentado em ETP que tenha concluído pela viabilidade da contratação. A Instrução Normativa SEGES/ME nº 81/2022 pode ser utilizada como referência metodológica, mas sua incidência direta é sobre a Administração Pública Federal; sua adoção por Betim depende da regulamentação municipal pertinente.</w:t>
      </w:r>
    </w:p>
    <w:p>
      <w:r>
        <w:pict>
          <v:rect style="width:0;height:1.5pt" o:hralign="center" o:hrstd="t" o:hr="t"/>
        </w:pict>
      </w:r>
    </w:p>
    <w:bookmarkEnd w:id="22"/>
    <w:bookmarkStart w:id="31" w:name="X722fb52d37d8c0264132128199015124fd757bd"/>
    <w:p>
      <w:pPr>
        <w:pStyle w:val="Heading1"/>
      </w:pPr>
      <w:r>
        <w:t xml:space="preserve">2. Unidade requisitante e governança institucional</w:t>
      </w:r>
    </w:p>
    <w:bookmarkStart w:id="23" w:name="unidade-requisitante"/>
    <w:p>
      <w:pPr>
        <w:pStyle w:val="Heading2"/>
      </w:pPr>
      <w:r>
        <w:t xml:space="preserve">2.1 Unidade requisitante</w:t>
      </w:r>
    </w:p>
    <w:p>
      <w:pPr>
        <w:pStyle w:val="FirstParagraph"/>
      </w:pPr>
      <w:r>
        <w:t xml:space="preserve">A unidade requisitante deverá ser definida formalmente pelo Município, observando:</w:t>
      </w:r>
    </w:p>
    <w:p>
      <w:pPr>
        <w:pStyle w:val="Compact"/>
        <w:numPr>
          <w:ilvl w:val="0"/>
          <w:numId w:val="1002"/>
        </w:numPr>
      </w:pPr>
      <w:r>
        <w:t xml:space="preserve">competência legal;</w:t>
      </w:r>
    </w:p>
    <w:p>
      <w:pPr>
        <w:pStyle w:val="Compact"/>
        <w:numPr>
          <w:ilvl w:val="0"/>
          <w:numId w:val="1002"/>
        </w:numPr>
      </w:pPr>
      <w:r>
        <w:t xml:space="preserve">disponibilidade orçamentária;</w:t>
      </w:r>
    </w:p>
    <w:p>
      <w:pPr>
        <w:pStyle w:val="Compact"/>
        <w:numPr>
          <w:ilvl w:val="0"/>
          <w:numId w:val="1002"/>
        </w:numPr>
      </w:pPr>
      <w:r>
        <w:t xml:space="preserve">capacidade de gestão do contrato;</w:t>
      </w:r>
    </w:p>
    <w:p>
      <w:pPr>
        <w:pStyle w:val="Compact"/>
        <w:numPr>
          <w:ilvl w:val="0"/>
          <w:numId w:val="1002"/>
        </w:numPr>
      </w:pPr>
      <w:r>
        <w:t xml:space="preserve">integração com as áreas de tecnologia, Defesa Civil, Saúde, Meio Ambiente, Planejamento e Comunicação;</w:t>
      </w:r>
    </w:p>
    <w:p>
      <w:pPr>
        <w:pStyle w:val="Compact"/>
        <w:numPr>
          <w:ilvl w:val="0"/>
          <w:numId w:val="1002"/>
        </w:numPr>
      </w:pPr>
      <w:r>
        <w:t xml:space="preserve">responsabilidade sobre o produto após o encerramento da contratação.</w:t>
      </w:r>
    </w:p>
    <w:bookmarkEnd w:id="23"/>
    <w:bookmarkStart w:id="24" w:name="comitê-gestor-da-contratação"/>
    <w:p>
      <w:pPr>
        <w:pStyle w:val="Heading2"/>
      </w:pPr>
      <w:r>
        <w:t xml:space="preserve">2.2 Comitê gestor da contratação</w:t>
      </w:r>
    </w:p>
    <w:p>
      <w:pPr>
        <w:pStyle w:val="FirstParagraph"/>
      </w:pPr>
      <w:r>
        <w:t xml:space="preserve">Recomenda-se instituir um Comitê Gestor da Contratação com representantes de:</w:t>
      </w:r>
    </w:p>
    <w:p>
      <w:pPr>
        <w:pStyle w:val="Compact"/>
        <w:numPr>
          <w:ilvl w:val="0"/>
          <w:numId w:val="1003"/>
        </w:numPr>
      </w:pPr>
      <w:r>
        <w:t xml:space="preserve">Secretaria Municipal de Tecnologia da Informação;</w:t>
      </w:r>
    </w:p>
    <w:p>
      <w:pPr>
        <w:pStyle w:val="Compact"/>
        <w:numPr>
          <w:ilvl w:val="0"/>
          <w:numId w:val="1003"/>
        </w:numPr>
      </w:pPr>
      <w:r>
        <w:t xml:space="preserve">Defesa Civil;</w:t>
      </w:r>
    </w:p>
    <w:p>
      <w:pPr>
        <w:pStyle w:val="Compact"/>
        <w:numPr>
          <w:ilvl w:val="0"/>
          <w:numId w:val="1003"/>
        </w:numPr>
      </w:pPr>
      <w:r>
        <w:t xml:space="preserve">Secretaria Municipal de Saúde;</w:t>
      </w:r>
    </w:p>
    <w:p>
      <w:pPr>
        <w:pStyle w:val="Compact"/>
        <w:numPr>
          <w:ilvl w:val="0"/>
          <w:numId w:val="1003"/>
        </w:numPr>
      </w:pPr>
      <w:r>
        <w:t xml:space="preserve">Secretaria Municipal de Meio Ambiente e Desenvolvimento Sustentável;</w:t>
      </w:r>
    </w:p>
    <w:p>
      <w:pPr>
        <w:pStyle w:val="Compact"/>
        <w:numPr>
          <w:ilvl w:val="0"/>
          <w:numId w:val="1003"/>
        </w:numPr>
      </w:pPr>
      <w:r>
        <w:t xml:space="preserve">Secretaria Municipal de Planejamento;</w:t>
      </w:r>
    </w:p>
    <w:p>
      <w:pPr>
        <w:pStyle w:val="Compact"/>
        <w:numPr>
          <w:ilvl w:val="0"/>
          <w:numId w:val="1003"/>
        </w:numPr>
      </w:pPr>
      <w:r>
        <w:t xml:space="preserve">Secretaria Municipal de Comunicação;</w:t>
      </w:r>
    </w:p>
    <w:p>
      <w:pPr>
        <w:pStyle w:val="Compact"/>
        <w:numPr>
          <w:ilvl w:val="0"/>
          <w:numId w:val="1003"/>
        </w:numPr>
      </w:pPr>
      <w:r>
        <w:t xml:space="preserve">Assistência Social;</w:t>
      </w:r>
    </w:p>
    <w:p>
      <w:pPr>
        <w:pStyle w:val="Compact"/>
        <w:numPr>
          <w:ilvl w:val="0"/>
          <w:numId w:val="1003"/>
        </w:numPr>
      </w:pPr>
      <w:r>
        <w:t xml:space="preserve">Controladoria-Geral;</w:t>
      </w:r>
    </w:p>
    <w:p>
      <w:pPr>
        <w:pStyle w:val="Compact"/>
        <w:numPr>
          <w:ilvl w:val="0"/>
          <w:numId w:val="1003"/>
        </w:numPr>
      </w:pPr>
      <w:r>
        <w:t xml:space="preserve">Procuradoria-Geral;</w:t>
      </w:r>
    </w:p>
    <w:p>
      <w:pPr>
        <w:pStyle w:val="Compact"/>
        <w:numPr>
          <w:ilvl w:val="0"/>
          <w:numId w:val="1003"/>
        </w:numPr>
      </w:pPr>
      <w:r>
        <w:t xml:space="preserve">Fundação BETA, caso formalmente designada;</w:t>
      </w:r>
    </w:p>
    <w:p>
      <w:pPr>
        <w:pStyle w:val="Compact"/>
        <w:numPr>
          <w:ilvl w:val="0"/>
          <w:numId w:val="1003"/>
        </w:numPr>
      </w:pPr>
      <w:r>
        <w:t xml:space="preserve">demais unidades diretamente envolvidas.</w:t>
      </w:r>
    </w:p>
    <w:p>
      <w:pPr>
        <w:pStyle w:val="FirstParagraph"/>
      </w:pPr>
      <w:r>
        <w:t xml:space="preserve">O Decreto municipal nº 48.589/2025 atribui à Fundação BETA finalidades relacionadas a pesquisa, desenvolvimento tecnológico, modernização administrativa e inovação, mas sua participação concreta na contratação deverá ser formalmente definida pelo Município.</w:t>
      </w:r>
    </w:p>
    <w:bookmarkEnd w:id="24"/>
    <w:bookmarkStart w:id="30" w:name="papéis-mínimos"/>
    <w:p>
      <w:pPr>
        <w:pStyle w:val="Heading2"/>
      </w:pPr>
      <w:r>
        <w:t xml:space="preserve">2.3 Papéis mínimos</w:t>
      </w:r>
    </w:p>
    <w:bookmarkStart w:id="25" w:name="gestor-do-contrato"/>
    <w:p>
      <w:pPr>
        <w:pStyle w:val="Heading3"/>
      </w:pPr>
      <w:r>
        <w:t xml:space="preserve">Gestor do contrato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4"/>
        </w:numPr>
      </w:pPr>
      <w:r>
        <w:t xml:space="preserve">coordenação administrativa;</w:t>
      </w:r>
    </w:p>
    <w:p>
      <w:pPr>
        <w:pStyle w:val="Compact"/>
        <w:numPr>
          <w:ilvl w:val="0"/>
          <w:numId w:val="1004"/>
        </w:numPr>
      </w:pPr>
      <w:r>
        <w:t xml:space="preserve">comunicação com a contratada;</w:t>
      </w:r>
    </w:p>
    <w:p>
      <w:pPr>
        <w:pStyle w:val="Compact"/>
        <w:numPr>
          <w:ilvl w:val="0"/>
          <w:numId w:val="1004"/>
        </w:numPr>
      </w:pPr>
      <w:r>
        <w:t xml:space="preserve">acompanhamento de prazos;</w:t>
      </w:r>
    </w:p>
    <w:p>
      <w:pPr>
        <w:pStyle w:val="Compact"/>
        <w:numPr>
          <w:ilvl w:val="0"/>
          <w:numId w:val="1004"/>
        </w:numPr>
      </w:pPr>
      <w:r>
        <w:t xml:space="preserve">consolidação das medições;</w:t>
      </w:r>
    </w:p>
    <w:p>
      <w:pPr>
        <w:pStyle w:val="Compact"/>
        <w:numPr>
          <w:ilvl w:val="0"/>
          <w:numId w:val="1004"/>
        </w:numPr>
      </w:pPr>
      <w:r>
        <w:t xml:space="preserve">gestão de riscos;</w:t>
      </w:r>
    </w:p>
    <w:p>
      <w:pPr>
        <w:pStyle w:val="Compact"/>
        <w:numPr>
          <w:ilvl w:val="0"/>
          <w:numId w:val="1004"/>
        </w:numPr>
      </w:pPr>
      <w:r>
        <w:t xml:space="preserve">encaminhamento de descumprimentos.</w:t>
      </w:r>
    </w:p>
    <w:bookmarkEnd w:id="25"/>
    <w:bookmarkStart w:id="26" w:name="fiscal-técnico"/>
    <w:p>
      <w:pPr>
        <w:pStyle w:val="Heading3"/>
      </w:pPr>
      <w:r>
        <w:t xml:space="preserve">Fiscal técnico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5"/>
        </w:numPr>
      </w:pPr>
      <w:r>
        <w:t xml:space="preserve">verificação da arquitetura;</w:t>
      </w:r>
    </w:p>
    <w:p>
      <w:pPr>
        <w:pStyle w:val="Compact"/>
        <w:numPr>
          <w:ilvl w:val="0"/>
          <w:numId w:val="1005"/>
        </w:numPr>
      </w:pPr>
      <w:r>
        <w:t xml:space="preserve">análise do código;</w:t>
      </w:r>
    </w:p>
    <w:p>
      <w:pPr>
        <w:pStyle w:val="Compact"/>
        <w:numPr>
          <w:ilvl w:val="0"/>
          <w:numId w:val="1005"/>
        </w:numPr>
      </w:pPr>
      <w:r>
        <w:t xml:space="preserve">testes técnicos;</w:t>
      </w:r>
    </w:p>
    <w:p>
      <w:pPr>
        <w:pStyle w:val="Compact"/>
        <w:numPr>
          <w:ilvl w:val="0"/>
          <w:numId w:val="1005"/>
        </w:numPr>
      </w:pPr>
      <w:r>
        <w:t xml:space="preserve">segurança;</w:t>
      </w:r>
    </w:p>
    <w:p>
      <w:pPr>
        <w:pStyle w:val="Compact"/>
        <w:numPr>
          <w:ilvl w:val="0"/>
          <w:numId w:val="1005"/>
        </w:numPr>
      </w:pPr>
      <w:r>
        <w:t xml:space="preserve">infraestrutura;</w:t>
      </w:r>
    </w:p>
    <w:p>
      <w:pPr>
        <w:pStyle w:val="Compact"/>
        <w:numPr>
          <w:ilvl w:val="0"/>
          <w:numId w:val="1005"/>
        </w:numPr>
      </w:pPr>
      <w:r>
        <w:t xml:space="preserve">integração;</w:t>
      </w:r>
    </w:p>
    <w:p>
      <w:pPr>
        <w:pStyle w:val="Compact"/>
        <w:numPr>
          <w:ilvl w:val="0"/>
          <w:numId w:val="1005"/>
        </w:numPr>
      </w:pPr>
      <w:r>
        <w:t xml:space="preserve">documentação.</w:t>
      </w:r>
    </w:p>
    <w:bookmarkEnd w:id="26"/>
    <w:bookmarkStart w:id="27" w:name="fiscais-requisitantes-ou-setoriais"/>
    <w:p>
      <w:pPr>
        <w:pStyle w:val="Heading3"/>
      </w:pPr>
      <w:r>
        <w:t xml:space="preserve">Fiscais requisitantes ou setoriais</w:t>
      </w:r>
    </w:p>
    <w:p>
      <w:pPr>
        <w:pStyle w:val="FirstParagraph"/>
      </w:pPr>
      <w:r>
        <w:t xml:space="preserve">Responsáveis por validar entregas relacionadas a:</w:t>
      </w:r>
    </w:p>
    <w:p>
      <w:pPr>
        <w:pStyle w:val="Compact"/>
        <w:numPr>
          <w:ilvl w:val="0"/>
          <w:numId w:val="1006"/>
        </w:numPr>
      </w:pPr>
      <w:r>
        <w:t xml:space="preserve">meteorologia;</w:t>
      </w:r>
    </w:p>
    <w:p>
      <w:pPr>
        <w:pStyle w:val="Compact"/>
        <w:numPr>
          <w:ilvl w:val="0"/>
          <w:numId w:val="1006"/>
        </w:numPr>
      </w:pPr>
      <w:r>
        <w:t xml:space="preserve">qualidade do ar;</w:t>
      </w:r>
    </w:p>
    <w:p>
      <w:pPr>
        <w:pStyle w:val="Compact"/>
        <w:numPr>
          <w:ilvl w:val="0"/>
          <w:numId w:val="1006"/>
        </w:numPr>
      </w:pPr>
      <w:r>
        <w:t xml:space="preserve">saúde;</w:t>
      </w:r>
    </w:p>
    <w:p>
      <w:pPr>
        <w:pStyle w:val="Compact"/>
        <w:numPr>
          <w:ilvl w:val="0"/>
          <w:numId w:val="1006"/>
        </w:numPr>
      </w:pPr>
      <w:r>
        <w:t xml:space="preserve">Meio Ambiente;</w:t>
      </w:r>
    </w:p>
    <w:p>
      <w:pPr>
        <w:pStyle w:val="Compact"/>
        <w:numPr>
          <w:ilvl w:val="0"/>
          <w:numId w:val="1006"/>
        </w:numPr>
      </w:pPr>
      <w:r>
        <w:t xml:space="preserve">Defesa Civil;</w:t>
      </w:r>
    </w:p>
    <w:p>
      <w:pPr>
        <w:pStyle w:val="Compact"/>
        <w:numPr>
          <w:ilvl w:val="0"/>
          <w:numId w:val="1006"/>
        </w:numPr>
      </w:pPr>
      <w:r>
        <w:t xml:space="preserve">comunicação pública;</w:t>
      </w:r>
    </w:p>
    <w:p>
      <w:pPr>
        <w:pStyle w:val="Compact"/>
        <w:numPr>
          <w:ilvl w:val="0"/>
          <w:numId w:val="1006"/>
        </w:numPr>
      </w:pPr>
      <w:r>
        <w:t xml:space="preserve">planejamento;</w:t>
      </w:r>
    </w:p>
    <w:p>
      <w:pPr>
        <w:pStyle w:val="Compact"/>
        <w:numPr>
          <w:ilvl w:val="0"/>
          <w:numId w:val="1006"/>
        </w:numPr>
      </w:pPr>
      <w:r>
        <w:t xml:space="preserve">dados geoespaciais.</w:t>
      </w:r>
    </w:p>
    <w:bookmarkEnd w:id="27"/>
    <w:bookmarkStart w:id="28" w:name="Xb2017e105dba0ef605ce362d615037ce51986a6"/>
    <w:p>
      <w:pPr>
        <w:pStyle w:val="Heading3"/>
      </w:pPr>
      <w:r>
        <w:t xml:space="preserve">Encarregado de dados ou representante indicado</w:t>
      </w:r>
    </w:p>
    <w:p>
      <w:pPr>
        <w:pStyle w:val="FirstParagraph"/>
      </w:pPr>
      <w:r>
        <w:t xml:space="preserve">Responsável por acompanhar:</w:t>
      </w:r>
    </w:p>
    <w:p>
      <w:pPr>
        <w:pStyle w:val="Compact"/>
        <w:numPr>
          <w:ilvl w:val="0"/>
          <w:numId w:val="1007"/>
        </w:numPr>
      </w:pPr>
      <w:r>
        <w:t xml:space="preserve">inventário de dados pessoais;</w:t>
      </w:r>
    </w:p>
    <w:p>
      <w:pPr>
        <w:pStyle w:val="Compact"/>
        <w:numPr>
          <w:ilvl w:val="0"/>
          <w:numId w:val="1007"/>
        </w:numPr>
      </w:pPr>
      <w:r>
        <w:t xml:space="preserve">bases legais;</w:t>
      </w:r>
    </w:p>
    <w:p>
      <w:pPr>
        <w:pStyle w:val="Compact"/>
        <w:numPr>
          <w:ilvl w:val="0"/>
          <w:numId w:val="1007"/>
        </w:numPr>
      </w:pPr>
      <w:r>
        <w:t xml:space="preserve">compartilhamento;</w:t>
      </w:r>
    </w:p>
    <w:p>
      <w:pPr>
        <w:pStyle w:val="Compact"/>
        <w:numPr>
          <w:ilvl w:val="0"/>
          <w:numId w:val="1007"/>
        </w:numPr>
      </w:pPr>
      <w:r>
        <w:t xml:space="preserve">segurança;</w:t>
      </w:r>
    </w:p>
    <w:p>
      <w:pPr>
        <w:pStyle w:val="Compact"/>
        <w:numPr>
          <w:ilvl w:val="0"/>
          <w:numId w:val="1007"/>
        </w:numPr>
      </w:pPr>
      <w:r>
        <w:t xml:space="preserve">retenção;</w:t>
      </w:r>
    </w:p>
    <w:p>
      <w:pPr>
        <w:pStyle w:val="Compact"/>
        <w:numPr>
          <w:ilvl w:val="0"/>
          <w:numId w:val="1007"/>
        </w:numPr>
      </w:pPr>
      <w:r>
        <w:t xml:space="preserve">anonimização;</w:t>
      </w:r>
    </w:p>
    <w:p>
      <w:pPr>
        <w:pStyle w:val="Compact"/>
        <w:numPr>
          <w:ilvl w:val="0"/>
          <w:numId w:val="1007"/>
        </w:numPr>
      </w:pPr>
      <w:r>
        <w:t xml:space="preserve">incidentes.</w:t>
      </w:r>
    </w:p>
    <w:bookmarkEnd w:id="28"/>
    <w:bookmarkStart w:id="29" w:name="product-owner-municipal"/>
    <w:p>
      <w:pPr>
        <w:pStyle w:val="Heading3"/>
      </w:pPr>
      <w:r>
        <w:t xml:space="preserve">Product Owner municipal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8"/>
        </w:numPr>
      </w:pPr>
      <w:r>
        <w:t xml:space="preserve">priorização do backlog;</w:t>
      </w:r>
    </w:p>
    <w:p>
      <w:pPr>
        <w:pStyle w:val="Compact"/>
        <w:numPr>
          <w:ilvl w:val="0"/>
          <w:numId w:val="1008"/>
        </w:numPr>
      </w:pPr>
      <w:r>
        <w:t xml:space="preserve">esclarecimento de requisitos;</w:t>
      </w:r>
    </w:p>
    <w:p>
      <w:pPr>
        <w:pStyle w:val="Compact"/>
        <w:numPr>
          <w:ilvl w:val="0"/>
          <w:numId w:val="1008"/>
        </w:numPr>
      </w:pPr>
      <w:r>
        <w:t xml:space="preserve">aceite funcional preliminar;</w:t>
      </w:r>
    </w:p>
    <w:p>
      <w:pPr>
        <w:pStyle w:val="Compact"/>
        <w:numPr>
          <w:ilvl w:val="0"/>
          <w:numId w:val="1008"/>
        </w:numPr>
      </w:pPr>
      <w:r>
        <w:t xml:space="preserve">articulação com os usuários;</w:t>
      </w:r>
    </w:p>
    <w:p>
      <w:pPr>
        <w:pStyle w:val="Compact"/>
        <w:numPr>
          <w:ilvl w:val="0"/>
          <w:numId w:val="1008"/>
        </w:numPr>
      </w:pPr>
      <w:r>
        <w:t xml:space="preserve">impedimento de alterações informais de escopo.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fundamentação-da-contratação"/>
    <w:p>
      <w:pPr>
        <w:pStyle w:val="Heading1"/>
      </w:pPr>
      <w:r>
        <w:t xml:space="preserve">3. Fundamentação da contratação</w:t>
      </w:r>
    </w:p>
    <w:bookmarkStart w:id="32" w:name="problema-público"/>
    <w:p>
      <w:pPr>
        <w:pStyle w:val="Heading2"/>
      </w:pPr>
      <w:r>
        <w:t xml:space="preserve">3.1 Problema público</w:t>
      </w:r>
    </w:p>
    <w:p>
      <w:pPr>
        <w:pStyle w:val="FirstParagraph"/>
      </w:pPr>
      <w:r>
        <w:t xml:space="preserve">O Município necessita integrar dados atualmente dispersos entre fontes meteorológicas, ambientais, sanitárias e operacionais para:</w:t>
      </w:r>
    </w:p>
    <w:p>
      <w:pPr>
        <w:pStyle w:val="Compact"/>
        <w:numPr>
          <w:ilvl w:val="0"/>
          <w:numId w:val="1009"/>
        </w:numPr>
      </w:pPr>
      <w:r>
        <w:t xml:space="preserve">identificar perigos observados ou previstos;</w:t>
      </w:r>
    </w:p>
    <w:p>
      <w:pPr>
        <w:pStyle w:val="Compact"/>
        <w:numPr>
          <w:ilvl w:val="0"/>
          <w:numId w:val="1009"/>
        </w:numPr>
      </w:pPr>
      <w:r>
        <w:t xml:space="preserve">avaliar disponibilidade e qualidade dos dados;</w:t>
      </w:r>
    </w:p>
    <w:p>
      <w:pPr>
        <w:pStyle w:val="Compact"/>
        <w:numPr>
          <w:ilvl w:val="0"/>
          <w:numId w:val="1009"/>
        </w:numPr>
      </w:pPr>
      <w:r>
        <w:t xml:space="preserve">registrar ocorrências confirmadas;</w:t>
      </w:r>
    </w:p>
    <w:p>
      <w:pPr>
        <w:pStyle w:val="Compact"/>
        <w:numPr>
          <w:ilvl w:val="0"/>
          <w:numId w:val="1009"/>
        </w:numPr>
      </w:pPr>
      <w:r>
        <w:t xml:space="preserve">distinguir relatos de evidências verificadas;</w:t>
      </w:r>
    </w:p>
    <w:p>
      <w:pPr>
        <w:pStyle w:val="Compact"/>
        <w:numPr>
          <w:ilvl w:val="0"/>
          <w:numId w:val="1009"/>
        </w:numPr>
      </w:pPr>
      <w:r>
        <w:t xml:space="preserve">coordenar ações municipais;</w:t>
      </w:r>
    </w:p>
    <w:p>
      <w:pPr>
        <w:pStyle w:val="Compact"/>
        <w:numPr>
          <w:ilvl w:val="0"/>
          <w:numId w:val="1009"/>
        </w:numPr>
      </w:pPr>
      <w:r>
        <w:t xml:space="preserve">comunicar riscos;</w:t>
      </w:r>
    </w:p>
    <w:p>
      <w:pPr>
        <w:pStyle w:val="Compact"/>
        <w:numPr>
          <w:ilvl w:val="0"/>
          <w:numId w:val="1009"/>
        </w:numPr>
      </w:pPr>
      <w:r>
        <w:t xml:space="preserve">apoiar políticas públicas;</w:t>
      </w:r>
    </w:p>
    <w:p>
      <w:pPr>
        <w:pStyle w:val="Compact"/>
        <w:numPr>
          <w:ilvl w:val="0"/>
          <w:numId w:val="1009"/>
        </w:numPr>
      </w:pPr>
      <w:r>
        <w:t xml:space="preserve">avaliar resultados;</w:t>
      </w:r>
    </w:p>
    <w:p>
      <w:pPr>
        <w:pStyle w:val="Compact"/>
        <w:numPr>
          <w:ilvl w:val="0"/>
          <w:numId w:val="1009"/>
        </w:numPr>
      </w:pPr>
      <w:r>
        <w:t xml:space="preserve">produzir dados públicos rastreáveis.</w:t>
      </w:r>
    </w:p>
    <w:p>
      <w:pPr>
        <w:pStyle w:val="FirstParagraph"/>
      </w:pPr>
      <w:r>
        <w:t xml:space="preserve">A contratação não deve ser justificada pela existência isolada de El Niño, por uma notícia específica ou por um evento episódico. A necessidade decorre da ausência de um fluxo municipal integrado e auditável entre:</w:t>
      </w:r>
    </w:p>
    <w:p>
      <w:pPr>
        <w:pStyle w:val="Compact"/>
        <w:numPr>
          <w:ilvl w:val="0"/>
          <w:numId w:val="1010"/>
        </w:numPr>
      </w:pPr>
      <w:r>
        <w:t xml:space="preserve">fontes oficiais;</w:t>
      </w:r>
    </w:p>
    <w:p>
      <w:pPr>
        <w:pStyle w:val="Compact"/>
        <w:numPr>
          <w:ilvl w:val="0"/>
          <w:numId w:val="1010"/>
        </w:numPr>
      </w:pPr>
      <w:r>
        <w:t xml:space="preserve">estações;</w:t>
      </w:r>
    </w:p>
    <w:p>
      <w:pPr>
        <w:pStyle w:val="Compact"/>
        <w:numPr>
          <w:ilvl w:val="0"/>
          <w:numId w:val="1010"/>
        </w:numPr>
      </w:pPr>
      <w:r>
        <w:t xml:space="preserve">ocorrências;</w:t>
      </w:r>
    </w:p>
    <w:p>
      <w:pPr>
        <w:pStyle w:val="Compact"/>
        <w:numPr>
          <w:ilvl w:val="0"/>
          <w:numId w:val="1010"/>
        </w:numPr>
      </w:pPr>
      <w:r>
        <w:t xml:space="preserve">alertas;</w:t>
      </w:r>
    </w:p>
    <w:p>
      <w:pPr>
        <w:pStyle w:val="Compact"/>
        <w:numPr>
          <w:ilvl w:val="0"/>
          <w:numId w:val="1010"/>
        </w:numPr>
      </w:pPr>
      <w:r>
        <w:t xml:space="preserve">protocolos;</w:t>
      </w:r>
    </w:p>
    <w:p>
      <w:pPr>
        <w:pStyle w:val="Compact"/>
        <w:numPr>
          <w:ilvl w:val="0"/>
          <w:numId w:val="1010"/>
        </w:numPr>
      </w:pPr>
      <w:r>
        <w:t xml:space="preserve">recomendações;</w:t>
      </w:r>
    </w:p>
    <w:p>
      <w:pPr>
        <w:pStyle w:val="Compact"/>
        <w:numPr>
          <w:ilvl w:val="0"/>
          <w:numId w:val="1010"/>
        </w:numPr>
      </w:pPr>
      <w:r>
        <w:t xml:space="preserve">ações;</w:t>
      </w:r>
    </w:p>
    <w:p>
      <w:pPr>
        <w:pStyle w:val="Compact"/>
        <w:numPr>
          <w:ilvl w:val="0"/>
          <w:numId w:val="1010"/>
        </w:numPr>
      </w:pPr>
      <w:r>
        <w:t xml:space="preserve">indicadores;</w:t>
      </w:r>
    </w:p>
    <w:p>
      <w:pPr>
        <w:pStyle w:val="Compact"/>
        <w:numPr>
          <w:ilvl w:val="0"/>
          <w:numId w:val="1010"/>
        </w:numPr>
      </w:pPr>
      <w:r>
        <w:t xml:space="preserve">decisões administrativas.</w:t>
      </w:r>
    </w:p>
    <w:bookmarkEnd w:id="32"/>
    <w:bookmarkStart w:id="33" w:name="problemas-a-serem-enfrentados"/>
    <w:p>
      <w:pPr>
        <w:pStyle w:val="Heading2"/>
      </w:pPr>
      <w:r>
        <w:t xml:space="preserve">3.2 Problemas a serem enfrentados</w:t>
      </w:r>
    </w:p>
    <w:p>
      <w:pPr>
        <w:pStyle w:val="Compact"/>
        <w:numPr>
          <w:ilvl w:val="0"/>
          <w:numId w:val="1011"/>
        </w:numPr>
      </w:pPr>
      <w:r>
        <w:t xml:space="preserve">Fragmentação de dados entre órgãos e fontes externas.</w:t>
      </w:r>
    </w:p>
    <w:p>
      <w:pPr>
        <w:pStyle w:val="Compact"/>
        <w:numPr>
          <w:ilvl w:val="0"/>
          <w:numId w:val="1011"/>
        </w:numPr>
      </w:pPr>
      <w:r>
        <w:t xml:space="preserve">Ausência de catálogo institucional de fontes.</w:t>
      </w:r>
    </w:p>
    <w:p>
      <w:pPr>
        <w:pStyle w:val="Compact"/>
        <w:numPr>
          <w:ilvl w:val="0"/>
          <w:numId w:val="1011"/>
        </w:numPr>
      </w:pPr>
      <w:r>
        <w:t xml:space="preserve">Dificuldade para verificar se as estações estão operacionais.</w:t>
      </w:r>
    </w:p>
    <w:p>
      <w:pPr>
        <w:pStyle w:val="Compact"/>
        <w:numPr>
          <w:ilvl w:val="0"/>
          <w:numId w:val="1011"/>
        </w:numPr>
      </w:pPr>
      <w:r>
        <w:t xml:space="preserve">Confusão entre dado ausente e valor zero.</w:t>
      </w:r>
    </w:p>
    <w:p>
      <w:pPr>
        <w:pStyle w:val="Compact"/>
        <w:numPr>
          <w:ilvl w:val="0"/>
          <w:numId w:val="1011"/>
        </w:numPr>
      </w:pPr>
      <w:r>
        <w:t xml:space="preserve">Mistura entre observação, previsão, inferência e notícia.</w:t>
      </w:r>
    </w:p>
    <w:p>
      <w:pPr>
        <w:pStyle w:val="Compact"/>
        <w:numPr>
          <w:ilvl w:val="0"/>
          <w:numId w:val="1011"/>
        </w:numPr>
      </w:pPr>
      <w:r>
        <w:t xml:space="preserve">Falta de trilha completa entre evidência e decisão.</w:t>
      </w:r>
    </w:p>
    <w:p>
      <w:pPr>
        <w:pStyle w:val="Compact"/>
        <w:numPr>
          <w:ilvl w:val="0"/>
          <w:numId w:val="1011"/>
        </w:numPr>
      </w:pPr>
      <w:r>
        <w:t xml:space="preserve">Dificuldade para espacializar denúncias e ocorrências por bairro.</w:t>
      </w:r>
    </w:p>
    <w:p>
      <w:pPr>
        <w:pStyle w:val="Compact"/>
        <w:numPr>
          <w:ilvl w:val="0"/>
          <w:numId w:val="1011"/>
        </w:numPr>
      </w:pPr>
      <w:r>
        <w:t xml:space="preserve">Ausência de protocolo digital versionado.</w:t>
      </w:r>
    </w:p>
    <w:p>
      <w:pPr>
        <w:pStyle w:val="Compact"/>
        <w:numPr>
          <w:ilvl w:val="0"/>
          <w:numId w:val="1011"/>
        </w:numPr>
      </w:pPr>
      <w:r>
        <w:t xml:space="preserve">Dependência de planilhas e processos manuais.</w:t>
      </w:r>
    </w:p>
    <w:p>
      <w:pPr>
        <w:pStyle w:val="Compact"/>
        <w:numPr>
          <w:ilvl w:val="0"/>
          <w:numId w:val="1011"/>
        </w:numPr>
      </w:pPr>
      <w:r>
        <w:t xml:space="preserve">Insuficiência de mecanismos para avaliar políticas e investimentos.</w:t>
      </w:r>
    </w:p>
    <w:p>
      <w:pPr>
        <w:pStyle w:val="Compact"/>
        <w:numPr>
          <w:ilvl w:val="0"/>
          <w:numId w:val="1011"/>
        </w:numPr>
      </w:pPr>
      <w:r>
        <w:t xml:space="preserve">Risco de dependência tecnológica de fornecedor.</w:t>
      </w:r>
    </w:p>
    <w:p>
      <w:pPr>
        <w:pStyle w:val="Compact"/>
        <w:numPr>
          <w:ilvl w:val="0"/>
          <w:numId w:val="1011"/>
        </w:numPr>
      </w:pPr>
      <w:r>
        <w:t xml:space="preserve">Ausência de ambiente comum para diferentes secretarias.</w:t>
      </w:r>
    </w:p>
    <w:bookmarkEnd w:id="33"/>
    <w:bookmarkStart w:id="34" w:name="Xec4bed5f5c55761dd20ad7fe0ceb4478c0c9b6f"/>
    <w:p>
      <w:pPr>
        <w:pStyle w:val="Heading2"/>
      </w:pPr>
      <w:r>
        <w:t xml:space="preserve">3.3 Alternativas que deverão ser examinadas no ETP</w:t>
      </w:r>
    </w:p>
    <w:p>
      <w:pPr>
        <w:pStyle w:val="FirstParagraph"/>
      </w:pPr>
      <w:r>
        <w:t xml:space="preserve">O ETP deverá comparar, pelo menos:</w:t>
      </w:r>
    </w:p>
    <w:p>
      <w:pPr>
        <w:pStyle w:val="Compact"/>
        <w:numPr>
          <w:ilvl w:val="0"/>
          <w:numId w:val="1012"/>
        </w:numPr>
      </w:pPr>
      <w:r>
        <w:t xml:space="preserve">desenvolvimento interno;</w:t>
      </w:r>
    </w:p>
    <w:p>
      <w:pPr>
        <w:pStyle w:val="Compact"/>
        <w:numPr>
          <w:ilvl w:val="0"/>
          <w:numId w:val="1012"/>
        </w:numPr>
      </w:pPr>
      <w:r>
        <w:t xml:space="preserve">contratação integral;</w:t>
      </w:r>
    </w:p>
    <w:p>
      <w:pPr>
        <w:pStyle w:val="Compact"/>
        <w:numPr>
          <w:ilvl w:val="0"/>
          <w:numId w:val="1012"/>
        </w:numPr>
      </w:pPr>
      <w:r>
        <w:t xml:space="preserve">contratação por módulos;</w:t>
      </w:r>
    </w:p>
    <w:p>
      <w:pPr>
        <w:pStyle w:val="Compact"/>
        <w:numPr>
          <w:ilvl w:val="0"/>
          <w:numId w:val="1012"/>
        </w:numPr>
      </w:pPr>
      <w:r>
        <w:t xml:space="preserve">aquisição de produto existente com customização;</w:t>
      </w:r>
    </w:p>
    <w:p>
      <w:pPr>
        <w:pStyle w:val="Compact"/>
        <w:numPr>
          <w:ilvl w:val="0"/>
          <w:numId w:val="1012"/>
        </w:numPr>
      </w:pPr>
      <w:r>
        <w:t xml:space="preserve">software como serviço;</w:t>
      </w:r>
    </w:p>
    <w:p>
      <w:pPr>
        <w:pStyle w:val="Compact"/>
        <w:numPr>
          <w:ilvl w:val="0"/>
          <w:numId w:val="1012"/>
        </w:numPr>
      </w:pPr>
      <w:r>
        <w:t xml:space="preserve">combinação entre software existente e desenvolvimento próprio;</w:t>
      </w:r>
    </w:p>
    <w:p>
      <w:pPr>
        <w:pStyle w:val="Compact"/>
        <w:numPr>
          <w:ilvl w:val="0"/>
          <w:numId w:val="1012"/>
        </w:numPr>
      </w:pPr>
      <w:r>
        <w:t xml:space="preserve">cooperação com universidades ou instituições públicas;</w:t>
      </w:r>
    </w:p>
    <w:p>
      <w:pPr>
        <w:pStyle w:val="Compact"/>
        <w:numPr>
          <w:ilvl w:val="0"/>
          <w:numId w:val="1012"/>
        </w:numPr>
      </w:pPr>
      <w:r>
        <w:t xml:space="preserve">utilização de infraestrutura municipal existente;</w:t>
      </w:r>
    </w:p>
    <w:p>
      <w:pPr>
        <w:pStyle w:val="Compact"/>
        <w:numPr>
          <w:ilvl w:val="0"/>
          <w:numId w:val="1012"/>
        </w:numPr>
      </w:pPr>
      <w:r>
        <w:t xml:space="preserve">contratação separada de infraestrutura;</w:t>
      </w:r>
    </w:p>
    <w:p>
      <w:pPr>
        <w:pStyle w:val="Compact"/>
        <w:numPr>
          <w:ilvl w:val="0"/>
          <w:numId w:val="1012"/>
        </w:numPr>
      </w:pPr>
      <w:r>
        <w:t xml:space="preserve">desenvolvimento por fundação pública ou instrumento de inovação, quando juridicamente cabível.</w:t>
      </w:r>
    </w:p>
    <w:p>
      <w:pPr>
        <w:pStyle w:val="FirstParagraph"/>
      </w:pPr>
      <w:r>
        <w:t xml:space="preserve">A escolha não deverá ser feita apenas pelo menor preço inicial. Deverão ser considerados:</w:t>
      </w:r>
    </w:p>
    <w:p>
      <w:pPr>
        <w:pStyle w:val="Compact"/>
        <w:numPr>
          <w:ilvl w:val="0"/>
          <w:numId w:val="1013"/>
        </w:numPr>
      </w:pPr>
      <w:r>
        <w:t xml:space="preserve">custo total de propriedade;</w:t>
      </w:r>
    </w:p>
    <w:p>
      <w:pPr>
        <w:pStyle w:val="Compact"/>
        <w:numPr>
          <w:ilvl w:val="0"/>
          <w:numId w:val="1013"/>
        </w:numPr>
      </w:pPr>
      <w:r>
        <w:t xml:space="preserve">manutenção;</w:t>
      </w:r>
    </w:p>
    <w:p>
      <w:pPr>
        <w:pStyle w:val="Compact"/>
        <w:numPr>
          <w:ilvl w:val="0"/>
          <w:numId w:val="1013"/>
        </w:numPr>
      </w:pPr>
      <w:r>
        <w:t xml:space="preserve">segurança;</w:t>
      </w:r>
    </w:p>
    <w:p>
      <w:pPr>
        <w:pStyle w:val="Compact"/>
        <w:numPr>
          <w:ilvl w:val="0"/>
          <w:numId w:val="1013"/>
        </w:numPr>
      </w:pPr>
      <w:r>
        <w:t xml:space="preserve">portabilidade;</w:t>
      </w:r>
    </w:p>
    <w:p>
      <w:pPr>
        <w:pStyle w:val="Compact"/>
        <w:numPr>
          <w:ilvl w:val="0"/>
          <w:numId w:val="1013"/>
        </w:numPr>
      </w:pPr>
      <w:r>
        <w:t xml:space="preserve">interoperabilidade;</w:t>
      </w:r>
    </w:p>
    <w:p>
      <w:pPr>
        <w:pStyle w:val="Compact"/>
        <w:numPr>
          <w:ilvl w:val="0"/>
          <w:numId w:val="1013"/>
        </w:numPr>
      </w:pPr>
      <w:r>
        <w:t xml:space="preserve">disponibilidade de pessoal;</w:t>
      </w:r>
    </w:p>
    <w:p>
      <w:pPr>
        <w:pStyle w:val="Compact"/>
        <w:numPr>
          <w:ilvl w:val="0"/>
          <w:numId w:val="1013"/>
        </w:numPr>
      </w:pPr>
      <w:r>
        <w:t xml:space="preserve">dependência de fornecedor;</w:t>
      </w:r>
    </w:p>
    <w:p>
      <w:pPr>
        <w:pStyle w:val="Compact"/>
        <w:numPr>
          <w:ilvl w:val="0"/>
          <w:numId w:val="1013"/>
        </w:numPr>
      </w:pPr>
      <w:r>
        <w:t xml:space="preserve">transferência de conhecimento;</w:t>
      </w:r>
    </w:p>
    <w:p>
      <w:pPr>
        <w:pStyle w:val="Compact"/>
        <w:numPr>
          <w:ilvl w:val="0"/>
          <w:numId w:val="1013"/>
        </w:numPr>
      </w:pPr>
      <w:r>
        <w:t xml:space="preserve">continuidade operacional;</w:t>
      </w:r>
    </w:p>
    <w:p>
      <w:pPr>
        <w:pStyle w:val="Compact"/>
        <w:numPr>
          <w:ilvl w:val="0"/>
          <w:numId w:val="1013"/>
        </w:numPr>
      </w:pPr>
      <w:r>
        <w:t xml:space="preserve">evolução futura.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objeto"/>
    <w:p>
      <w:pPr>
        <w:pStyle w:val="Heading1"/>
      </w:pPr>
      <w:r>
        <w:t xml:space="preserve">4. Objeto</w:t>
      </w:r>
    </w:p>
    <w:bookmarkStart w:id="36" w:name="definição-do-objeto"/>
    <w:p>
      <w:pPr>
        <w:pStyle w:val="Heading2"/>
      </w:pPr>
      <w:r>
        <w:t xml:space="preserve">4.1 Definição do objeto</w:t>
      </w:r>
    </w:p>
    <w:p>
      <w:pPr>
        <w:pStyle w:val="FirstParagraph"/>
      </w:pPr>
      <w:r>
        <w:t xml:space="preserve">Contratação de pessoa jurídica especializada para realizar:</w:t>
      </w:r>
    </w:p>
    <w:p>
      <w:pPr>
        <w:pStyle w:val="BlockText"/>
      </w:pPr>
      <w:r>
        <w:t xml:space="preserve">concepção detalhada, desenvolvimento, configuração, integração, implantação, testes, documentação, capacitação, operação assistida, sustentação inicial e transferência de conhecimento de uma Plataforma Municipal Modular de Inteligência Climática, Ambiental, Sanitária e de Defesa Civil, composta por portal operacional, portal público, APIs, banco de dados geoespacial, mecanismos de ingestão e controle de qualidade, cadastro de ocorrências, motor de protocolos, recomendações, auditoria e relatórios.</w:t>
      </w:r>
    </w:p>
    <w:bookmarkEnd w:id="36"/>
    <w:bookmarkStart w:id="37" w:name="natureza-da-contratação"/>
    <w:p>
      <w:pPr>
        <w:pStyle w:val="Heading2"/>
      </w:pPr>
      <w:r>
        <w:t xml:space="preserve">4.2 Natureza da contratação</w:t>
      </w:r>
    </w:p>
    <w:p>
      <w:pPr>
        <w:pStyle w:val="FirstParagraph"/>
      </w:pPr>
      <w:r>
        <w:t xml:space="preserve">A solução deverá ser contratada por</w:t>
      </w:r>
      <w:r>
        <w:t xml:space="preserve"> </w:t>
      </w:r>
      <w:r>
        <w:rPr>
          <w:b/>
          <w:bCs/>
        </w:rPr>
        <w:t xml:space="preserve">resultados e entregáveis verificáveis</w:t>
      </w:r>
      <w:r>
        <w:t xml:space="preserve">, não pela simples disponibilização de profissionais.</w:t>
      </w:r>
    </w:p>
    <w:p>
      <w:pPr>
        <w:pStyle w:val="BodyText"/>
      </w:pPr>
      <w:r>
        <w:t xml:space="preserve">A remuneração deverá estar vinculada a:</w:t>
      </w:r>
    </w:p>
    <w:p>
      <w:pPr>
        <w:pStyle w:val="Compact"/>
        <w:numPr>
          <w:ilvl w:val="0"/>
          <w:numId w:val="1014"/>
        </w:numPr>
      </w:pPr>
      <w:r>
        <w:t xml:space="preserve">produto entregue;</w:t>
      </w:r>
    </w:p>
    <w:p>
      <w:pPr>
        <w:pStyle w:val="Compact"/>
        <w:numPr>
          <w:ilvl w:val="0"/>
          <w:numId w:val="1014"/>
        </w:numPr>
      </w:pPr>
      <w:r>
        <w:t xml:space="preserve">evidências;</w:t>
      </w:r>
    </w:p>
    <w:p>
      <w:pPr>
        <w:pStyle w:val="Compact"/>
        <w:numPr>
          <w:ilvl w:val="0"/>
          <w:numId w:val="1014"/>
        </w:numPr>
      </w:pPr>
      <w:r>
        <w:t xml:space="preserve">testes aprovados;</w:t>
      </w:r>
    </w:p>
    <w:p>
      <w:pPr>
        <w:pStyle w:val="Compact"/>
        <w:numPr>
          <w:ilvl w:val="0"/>
          <w:numId w:val="1014"/>
        </w:numPr>
      </w:pPr>
      <w:r>
        <w:t xml:space="preserve">documentação;</w:t>
      </w:r>
    </w:p>
    <w:p>
      <w:pPr>
        <w:pStyle w:val="Compact"/>
        <w:numPr>
          <w:ilvl w:val="0"/>
          <w:numId w:val="1014"/>
        </w:numPr>
      </w:pPr>
      <w:r>
        <w:t xml:space="preserve">código armazenado em repositório municipal;</w:t>
      </w:r>
    </w:p>
    <w:p>
      <w:pPr>
        <w:pStyle w:val="Compact"/>
        <w:numPr>
          <w:ilvl w:val="0"/>
          <w:numId w:val="1014"/>
        </w:numPr>
      </w:pPr>
      <w:r>
        <w:t xml:space="preserve">transferência de conhecimento;</w:t>
      </w:r>
    </w:p>
    <w:p>
      <w:pPr>
        <w:pStyle w:val="Compact"/>
        <w:numPr>
          <w:ilvl w:val="0"/>
          <w:numId w:val="1014"/>
        </w:numPr>
      </w:pPr>
      <w:r>
        <w:t xml:space="preserve">critérios de qualidade.</w:t>
      </w:r>
    </w:p>
    <w:p>
      <w:pPr>
        <w:pStyle w:val="FirstParagraph"/>
      </w:pPr>
      <w:r>
        <w:t xml:space="preserve">Horas de profissionais poderão ser usadas internamente pela contratada para formação de preços, mas não deverão constituir, isoladamente, a unidade principal de medição.</w:t>
      </w:r>
    </w:p>
    <w:bookmarkEnd w:id="37"/>
    <w:bookmarkStart w:id="38" w:name="regime-sugerido"/>
    <w:p>
      <w:pPr>
        <w:pStyle w:val="Heading2"/>
      </w:pPr>
      <w:r>
        <w:t xml:space="preserve">4.3 Regime sugerido</w:t>
      </w:r>
    </w:p>
    <w:p>
      <w:pPr>
        <w:pStyle w:val="FirstParagraph"/>
      </w:pPr>
      <w:r>
        <w:t xml:space="preserve">A definição final dependerá do ETP. Como referência, recomenda-se:</w:t>
      </w:r>
    </w:p>
    <w:p>
      <w:pPr>
        <w:pStyle w:val="Compact"/>
        <w:numPr>
          <w:ilvl w:val="0"/>
          <w:numId w:val="1015"/>
        </w:numPr>
      </w:pPr>
      <w:r>
        <w:t xml:space="preserve">preço global por macroentregas do MVP;</w:t>
      </w:r>
    </w:p>
    <w:p>
      <w:pPr>
        <w:pStyle w:val="Compact"/>
        <w:numPr>
          <w:ilvl w:val="0"/>
          <w:numId w:val="1015"/>
        </w:numPr>
      </w:pPr>
      <w:r>
        <w:t xml:space="preserve">medição por produtos e critérios de aceite;</w:t>
      </w:r>
    </w:p>
    <w:p>
      <w:pPr>
        <w:pStyle w:val="Compact"/>
        <w:numPr>
          <w:ilvl w:val="0"/>
          <w:numId w:val="1015"/>
        </w:numPr>
      </w:pPr>
      <w:r>
        <w:t xml:space="preserve">item mensal separado para operação assistida;</w:t>
      </w:r>
    </w:p>
    <w:p>
      <w:pPr>
        <w:pStyle w:val="Compact"/>
        <w:numPr>
          <w:ilvl w:val="0"/>
          <w:numId w:val="1015"/>
        </w:numPr>
      </w:pPr>
      <w:r>
        <w:t xml:space="preserve">itens unitários apenas quando a demanda não puder ser definida previamente;</w:t>
      </w:r>
    </w:p>
    <w:p>
      <w:pPr>
        <w:pStyle w:val="Compact"/>
        <w:numPr>
          <w:ilvl w:val="0"/>
          <w:numId w:val="1015"/>
        </w:numPr>
      </w:pPr>
      <w:r>
        <w:t xml:space="preserve">infraestrutura em nuvem separada quando já houver contrato corporativo municipal.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sultados-pretendidos"/>
    <w:p>
      <w:pPr>
        <w:pStyle w:val="Heading1"/>
      </w:pPr>
      <w:r>
        <w:t xml:space="preserve">5. Resultados pretendidos</w:t>
      </w:r>
    </w:p>
    <w:p>
      <w:pPr>
        <w:pStyle w:val="FirstParagraph"/>
      </w:pPr>
      <w:r>
        <w:t xml:space="preserve">A contratação deverá produzir, no mínimo, os seguintes resultados:</w:t>
      </w:r>
    </w:p>
    <w:p>
      <w:pPr>
        <w:pStyle w:val="Compact"/>
        <w:numPr>
          <w:ilvl w:val="0"/>
          <w:numId w:val="1016"/>
        </w:numPr>
      </w:pPr>
      <w:r>
        <w:t xml:space="preserve">Fontes públicas e municipais catalogadas.</w:t>
      </w:r>
    </w:p>
    <w:p>
      <w:pPr>
        <w:pStyle w:val="Compact"/>
        <w:numPr>
          <w:ilvl w:val="0"/>
          <w:numId w:val="1016"/>
        </w:numPr>
      </w:pPr>
      <w:r>
        <w:t xml:space="preserve">Conectores monitorados.</w:t>
      </w:r>
    </w:p>
    <w:p>
      <w:pPr>
        <w:pStyle w:val="Compact"/>
        <w:numPr>
          <w:ilvl w:val="0"/>
          <w:numId w:val="1016"/>
        </w:numPr>
      </w:pPr>
      <w:r>
        <w:t xml:space="preserve">Dados originais preservados.</w:t>
      </w:r>
    </w:p>
    <w:p>
      <w:pPr>
        <w:pStyle w:val="Compact"/>
        <w:numPr>
          <w:ilvl w:val="0"/>
          <w:numId w:val="1016"/>
        </w:numPr>
      </w:pPr>
      <w:r>
        <w:t xml:space="preserve">Séries temporais padronizadas.</w:t>
      </w:r>
    </w:p>
    <w:p>
      <w:pPr>
        <w:pStyle w:val="Compact"/>
        <w:numPr>
          <w:ilvl w:val="0"/>
          <w:numId w:val="1016"/>
        </w:numPr>
      </w:pPr>
      <w:r>
        <w:t xml:space="preserve">Qualidade dos dados identificada.</w:t>
      </w:r>
    </w:p>
    <w:p>
      <w:pPr>
        <w:pStyle w:val="Compact"/>
        <w:numPr>
          <w:ilvl w:val="0"/>
          <w:numId w:val="1016"/>
        </w:numPr>
      </w:pPr>
      <w:r>
        <w:t xml:space="preserve">Situação operacional das estações auditável.</w:t>
      </w:r>
    </w:p>
    <w:p>
      <w:pPr>
        <w:pStyle w:val="Compact"/>
        <w:numPr>
          <w:ilvl w:val="0"/>
          <w:numId w:val="1016"/>
        </w:numPr>
      </w:pPr>
      <w:r>
        <w:t xml:space="preserve">Alertas oficiais integrados.</w:t>
      </w:r>
    </w:p>
    <w:p>
      <w:pPr>
        <w:pStyle w:val="Compact"/>
        <w:numPr>
          <w:ilvl w:val="0"/>
          <w:numId w:val="1016"/>
        </w:numPr>
      </w:pPr>
      <w:r>
        <w:t xml:space="preserve">Ocorrências registradas e verificadas.</w:t>
      </w:r>
    </w:p>
    <w:p>
      <w:pPr>
        <w:pStyle w:val="Compact"/>
        <w:numPr>
          <w:ilvl w:val="0"/>
          <w:numId w:val="1016"/>
        </w:numPr>
      </w:pPr>
      <w:r>
        <w:t xml:space="preserve">Protocolos municipais versionados.</w:t>
      </w:r>
    </w:p>
    <w:p>
      <w:pPr>
        <w:pStyle w:val="Compact"/>
        <w:numPr>
          <w:ilvl w:val="0"/>
          <w:numId w:val="1016"/>
        </w:numPr>
      </w:pPr>
      <w:r>
        <w:t xml:space="preserve">Recomendações aprovadas e publicáveis.</w:t>
      </w:r>
    </w:p>
    <w:p>
      <w:pPr>
        <w:pStyle w:val="Compact"/>
        <w:numPr>
          <w:ilvl w:val="0"/>
          <w:numId w:val="1016"/>
        </w:numPr>
      </w:pPr>
      <w:r>
        <w:t xml:space="preserve">Portal público acessível.</w:t>
      </w:r>
    </w:p>
    <w:p>
      <w:pPr>
        <w:pStyle w:val="Compact"/>
        <w:numPr>
          <w:ilvl w:val="0"/>
          <w:numId w:val="1016"/>
        </w:numPr>
      </w:pPr>
      <w:r>
        <w:t xml:space="preserve">Ambiente interno segregado por perfil.</w:t>
      </w:r>
    </w:p>
    <w:p>
      <w:pPr>
        <w:pStyle w:val="Compact"/>
        <w:numPr>
          <w:ilvl w:val="0"/>
          <w:numId w:val="1016"/>
        </w:numPr>
      </w:pPr>
      <w:r>
        <w:t xml:space="preserve">APIs documentadas.</w:t>
      </w:r>
    </w:p>
    <w:p>
      <w:pPr>
        <w:pStyle w:val="Compact"/>
        <w:numPr>
          <w:ilvl w:val="0"/>
          <w:numId w:val="1016"/>
        </w:numPr>
      </w:pPr>
      <w:r>
        <w:t xml:space="preserve">Dados públicos exportáveis.</w:t>
      </w:r>
    </w:p>
    <w:p>
      <w:pPr>
        <w:pStyle w:val="Compact"/>
        <w:numPr>
          <w:ilvl w:val="0"/>
          <w:numId w:val="1016"/>
        </w:numPr>
      </w:pPr>
      <w:r>
        <w:t xml:space="preserve">Código-fonte e documentação sob controle municipal.</w:t>
      </w:r>
    </w:p>
    <w:p>
      <w:pPr>
        <w:pStyle w:val="Compact"/>
        <w:numPr>
          <w:ilvl w:val="0"/>
          <w:numId w:val="1016"/>
        </w:numPr>
      </w:pPr>
      <w:r>
        <w:t xml:space="preserve">Equipe municipal capacitada.</w:t>
      </w:r>
    </w:p>
    <w:p>
      <w:pPr>
        <w:pStyle w:val="Compact"/>
        <w:numPr>
          <w:ilvl w:val="0"/>
          <w:numId w:val="1016"/>
        </w:numPr>
      </w:pPr>
      <w:r>
        <w:t xml:space="preserve">Operação possível sem dependência de ML.</w:t>
      </w:r>
    </w:p>
    <w:p>
      <w:pPr>
        <w:pStyle w:val="Compact"/>
        <w:numPr>
          <w:ilvl w:val="0"/>
          <w:numId w:val="1016"/>
        </w:numPr>
      </w:pPr>
      <w:r>
        <w:t xml:space="preserve">Registro de todas as decisões relevantes.</w:t>
      </w:r>
    </w:p>
    <w:p>
      <w:r>
        <w:pict>
          <v:rect style="width:0;height:1.5pt" o:hralign="center" o:hrstd="t" o:hr="t"/>
        </w:pict>
      </w:r>
    </w:p>
    <w:bookmarkEnd w:id="40"/>
    <w:bookmarkStart w:id="57" w:name="escopo-do-mvp"/>
    <w:p>
      <w:pPr>
        <w:pStyle w:val="Heading1"/>
      </w:pPr>
      <w:r>
        <w:t xml:space="preserve">6. Escopo do MVP</w:t>
      </w:r>
    </w:p>
    <w:bookmarkStart w:id="56" w:name="componentes-obrigatórios"/>
    <w:p>
      <w:pPr>
        <w:pStyle w:val="Heading2"/>
      </w:pPr>
      <w:r>
        <w:t xml:space="preserve">6.1 Componentes obrigatórios</w:t>
      </w:r>
    </w:p>
    <w:bookmarkStart w:id="41" w:name="módulo-1-identidade-e-controle-de-acesso"/>
    <w:p>
      <w:pPr>
        <w:pStyle w:val="Heading3"/>
      </w:pPr>
      <w:r>
        <w:t xml:space="preserve">Módulo 1 — Identidade e controle de acesso</w:t>
      </w:r>
    </w:p>
    <w:p>
      <w:pPr>
        <w:pStyle w:val="Compact"/>
        <w:numPr>
          <w:ilvl w:val="0"/>
          <w:numId w:val="1017"/>
        </w:numPr>
      </w:pPr>
      <w:r>
        <w:t xml:space="preserve">autenticação;</w:t>
      </w:r>
    </w:p>
    <w:p>
      <w:pPr>
        <w:pStyle w:val="Compact"/>
        <w:numPr>
          <w:ilvl w:val="0"/>
          <w:numId w:val="1017"/>
        </w:numPr>
      </w:pPr>
      <w:r>
        <w:t xml:space="preserve">autorização por função;</w:t>
      </w:r>
    </w:p>
    <w:p>
      <w:pPr>
        <w:pStyle w:val="Compact"/>
        <w:numPr>
          <w:ilvl w:val="0"/>
          <w:numId w:val="1017"/>
        </w:numPr>
      </w:pPr>
      <w:r>
        <w:t xml:space="preserve">autenticação multifator para perfis críticos;</w:t>
      </w:r>
    </w:p>
    <w:p>
      <w:pPr>
        <w:pStyle w:val="Compact"/>
        <w:numPr>
          <w:ilvl w:val="0"/>
          <w:numId w:val="1017"/>
        </w:numPr>
      </w:pPr>
      <w:r>
        <w:t xml:space="preserve">organizações;</w:t>
      </w:r>
    </w:p>
    <w:p>
      <w:pPr>
        <w:pStyle w:val="Compact"/>
        <w:numPr>
          <w:ilvl w:val="0"/>
          <w:numId w:val="1017"/>
        </w:numPr>
      </w:pPr>
      <w:r>
        <w:t xml:space="preserve">equipes;</w:t>
      </w:r>
    </w:p>
    <w:p>
      <w:pPr>
        <w:pStyle w:val="Compact"/>
        <w:numPr>
          <w:ilvl w:val="0"/>
          <w:numId w:val="1017"/>
        </w:numPr>
      </w:pPr>
      <w:r>
        <w:t xml:space="preserve">segregação de acesso;</w:t>
      </w:r>
    </w:p>
    <w:p>
      <w:pPr>
        <w:pStyle w:val="Compact"/>
        <w:numPr>
          <w:ilvl w:val="0"/>
          <w:numId w:val="1017"/>
        </w:numPr>
      </w:pPr>
      <w:r>
        <w:t xml:space="preserve">gestão de sessões;</w:t>
      </w:r>
    </w:p>
    <w:p>
      <w:pPr>
        <w:pStyle w:val="Compact"/>
        <w:numPr>
          <w:ilvl w:val="0"/>
          <w:numId w:val="1017"/>
        </w:numPr>
      </w:pPr>
      <w:r>
        <w:t xml:space="preserve">trilha de login.</w:t>
      </w:r>
    </w:p>
    <w:bookmarkEnd w:id="41"/>
    <w:bookmarkStart w:id="42" w:name="módulo-2-catálogo-de-fontes"/>
    <w:p>
      <w:pPr>
        <w:pStyle w:val="Heading3"/>
      </w:pPr>
      <w:r>
        <w:t xml:space="preserve">Módulo 2 — Catálogo de fontes</w:t>
      </w:r>
    </w:p>
    <w:p>
      <w:pPr>
        <w:pStyle w:val="Compact"/>
        <w:numPr>
          <w:ilvl w:val="0"/>
          <w:numId w:val="1018"/>
        </w:numPr>
      </w:pPr>
      <w:r>
        <w:t xml:space="preserve">instituições;</w:t>
      </w:r>
    </w:p>
    <w:p>
      <w:pPr>
        <w:pStyle w:val="Compact"/>
        <w:numPr>
          <w:ilvl w:val="0"/>
          <w:numId w:val="1018"/>
        </w:numPr>
      </w:pPr>
      <w:r>
        <w:t xml:space="preserve">produtos;</w:t>
      </w:r>
    </w:p>
    <w:p>
      <w:pPr>
        <w:pStyle w:val="Compact"/>
        <w:numPr>
          <w:ilvl w:val="0"/>
          <w:numId w:val="1018"/>
        </w:numPr>
      </w:pPr>
      <w:r>
        <w:t xml:space="preserve">endpoints;</w:t>
      </w:r>
    </w:p>
    <w:p>
      <w:pPr>
        <w:pStyle w:val="Compact"/>
        <w:numPr>
          <w:ilvl w:val="0"/>
          <w:numId w:val="1018"/>
        </w:numPr>
      </w:pPr>
      <w:r>
        <w:t xml:space="preserve">frequência;</w:t>
      </w:r>
    </w:p>
    <w:p>
      <w:pPr>
        <w:pStyle w:val="Compact"/>
        <w:numPr>
          <w:ilvl w:val="0"/>
          <w:numId w:val="1018"/>
        </w:numPr>
      </w:pPr>
      <w:r>
        <w:t xml:space="preserve">licença;</w:t>
      </w:r>
    </w:p>
    <w:p>
      <w:pPr>
        <w:pStyle w:val="Compact"/>
        <w:numPr>
          <w:ilvl w:val="0"/>
          <w:numId w:val="1018"/>
        </w:numPr>
      </w:pPr>
      <w:r>
        <w:t xml:space="preserve">criticidade;</w:t>
      </w:r>
    </w:p>
    <w:p>
      <w:pPr>
        <w:pStyle w:val="Compact"/>
        <w:numPr>
          <w:ilvl w:val="0"/>
          <w:numId w:val="1018"/>
        </w:numPr>
      </w:pPr>
      <w:r>
        <w:t xml:space="preserve">responsável;</w:t>
      </w:r>
    </w:p>
    <w:p>
      <w:pPr>
        <w:pStyle w:val="Compact"/>
        <w:numPr>
          <w:ilvl w:val="0"/>
          <w:numId w:val="1018"/>
        </w:numPr>
      </w:pPr>
      <w:r>
        <w:t xml:space="preserve">disponibilidade;</w:t>
      </w:r>
    </w:p>
    <w:p>
      <w:pPr>
        <w:pStyle w:val="Compact"/>
        <w:numPr>
          <w:ilvl w:val="0"/>
          <w:numId w:val="1018"/>
        </w:numPr>
      </w:pPr>
      <w:r>
        <w:t xml:space="preserve">histórico operacional.</w:t>
      </w:r>
    </w:p>
    <w:bookmarkEnd w:id="42"/>
    <w:bookmarkStart w:id="43" w:name="módulo-3-ingestão"/>
    <w:p>
      <w:pPr>
        <w:pStyle w:val="Heading3"/>
      </w:pPr>
      <w:r>
        <w:t xml:space="preserve">Módulo 3 — Ingestão</w:t>
      </w:r>
    </w:p>
    <w:p>
      <w:pPr>
        <w:pStyle w:val="Compact"/>
        <w:numPr>
          <w:ilvl w:val="0"/>
          <w:numId w:val="1019"/>
        </w:numPr>
      </w:pPr>
      <w:r>
        <w:t xml:space="preserve">APIs;</w:t>
      </w:r>
    </w:p>
    <w:p>
      <w:pPr>
        <w:pStyle w:val="Compact"/>
        <w:numPr>
          <w:ilvl w:val="0"/>
          <w:numId w:val="1019"/>
        </w:numPr>
      </w:pPr>
      <w:r>
        <w:t xml:space="preserve">arquivos;</w:t>
      </w:r>
    </w:p>
    <w:p>
      <w:pPr>
        <w:pStyle w:val="Compact"/>
        <w:numPr>
          <w:ilvl w:val="0"/>
          <w:numId w:val="1019"/>
        </w:numPr>
      </w:pPr>
      <w:r>
        <w:t xml:space="preserve">JSON;</w:t>
      </w:r>
    </w:p>
    <w:p>
      <w:pPr>
        <w:pStyle w:val="Compact"/>
        <w:numPr>
          <w:ilvl w:val="0"/>
          <w:numId w:val="1019"/>
        </w:numPr>
      </w:pPr>
      <w:r>
        <w:t xml:space="preserve">XML;</w:t>
      </w:r>
    </w:p>
    <w:p>
      <w:pPr>
        <w:pStyle w:val="Compact"/>
        <w:numPr>
          <w:ilvl w:val="0"/>
          <w:numId w:val="1019"/>
        </w:numPr>
      </w:pPr>
      <w:r>
        <w:t xml:space="preserve">CSV;</w:t>
      </w:r>
    </w:p>
    <w:p>
      <w:pPr>
        <w:pStyle w:val="Compact"/>
        <w:numPr>
          <w:ilvl w:val="0"/>
          <w:numId w:val="1019"/>
        </w:numPr>
      </w:pPr>
      <w:r>
        <w:t xml:space="preserve">GeoJSON;</w:t>
      </w:r>
    </w:p>
    <w:p>
      <w:pPr>
        <w:pStyle w:val="Compact"/>
        <w:numPr>
          <w:ilvl w:val="0"/>
          <w:numId w:val="1019"/>
        </w:numPr>
      </w:pPr>
      <w:r>
        <w:t xml:space="preserve">imagens;</w:t>
      </w:r>
    </w:p>
    <w:p>
      <w:pPr>
        <w:pStyle w:val="Compact"/>
        <w:numPr>
          <w:ilvl w:val="0"/>
          <w:numId w:val="1019"/>
        </w:numPr>
      </w:pPr>
      <w:r>
        <w:t xml:space="preserve">serviços geoespaciais;</w:t>
      </w:r>
    </w:p>
    <w:p>
      <w:pPr>
        <w:pStyle w:val="Compact"/>
        <w:numPr>
          <w:ilvl w:val="0"/>
          <w:numId w:val="1019"/>
        </w:numPr>
      </w:pPr>
      <w:r>
        <w:t xml:space="preserve">reprocessamento;</w:t>
      </w:r>
    </w:p>
    <w:p>
      <w:pPr>
        <w:pStyle w:val="Compact"/>
        <w:numPr>
          <w:ilvl w:val="0"/>
          <w:numId w:val="1019"/>
        </w:numPr>
      </w:pPr>
      <w:r>
        <w:t xml:space="preserve">idempotência;</w:t>
      </w:r>
    </w:p>
    <w:p>
      <w:pPr>
        <w:pStyle w:val="Compact"/>
        <w:numPr>
          <w:ilvl w:val="0"/>
          <w:numId w:val="1019"/>
        </w:numPr>
      </w:pPr>
      <w:r>
        <w:t xml:space="preserve">monitoramento de falhas.</w:t>
      </w:r>
    </w:p>
    <w:bookmarkEnd w:id="43"/>
    <w:bookmarkStart w:id="44" w:name="módulo-4-armazenamento-bruto"/>
    <w:p>
      <w:pPr>
        <w:pStyle w:val="Heading3"/>
      </w:pPr>
      <w:r>
        <w:t xml:space="preserve">Módulo 4 — Armazenamento bruto</w:t>
      </w:r>
    </w:p>
    <w:p>
      <w:pPr>
        <w:pStyle w:val="Compact"/>
        <w:numPr>
          <w:ilvl w:val="0"/>
          <w:numId w:val="1020"/>
        </w:numPr>
      </w:pPr>
      <w:r>
        <w:t xml:space="preserve">preservação do conteúdo original;</w:t>
      </w:r>
    </w:p>
    <w:p>
      <w:pPr>
        <w:pStyle w:val="Compact"/>
        <w:numPr>
          <w:ilvl w:val="0"/>
          <w:numId w:val="1020"/>
        </w:numPr>
      </w:pPr>
      <w:r>
        <w:t xml:space="preserve">hash;</w:t>
      </w:r>
    </w:p>
    <w:p>
      <w:pPr>
        <w:pStyle w:val="Compact"/>
        <w:numPr>
          <w:ilvl w:val="0"/>
          <w:numId w:val="1020"/>
        </w:numPr>
      </w:pPr>
      <w:r>
        <w:t xml:space="preserve">horário da coleta;</w:t>
      </w:r>
    </w:p>
    <w:p>
      <w:pPr>
        <w:pStyle w:val="Compact"/>
        <w:numPr>
          <w:ilvl w:val="0"/>
          <w:numId w:val="1020"/>
        </w:numPr>
      </w:pPr>
      <w:r>
        <w:t xml:space="preserve">origem;</w:t>
      </w:r>
    </w:p>
    <w:p>
      <w:pPr>
        <w:pStyle w:val="Compact"/>
        <w:numPr>
          <w:ilvl w:val="0"/>
          <w:numId w:val="1020"/>
        </w:numPr>
      </w:pPr>
      <w:r>
        <w:t xml:space="preserve">versão do conector;</w:t>
      </w:r>
    </w:p>
    <w:p>
      <w:pPr>
        <w:pStyle w:val="Compact"/>
        <w:numPr>
          <w:ilvl w:val="0"/>
          <w:numId w:val="1020"/>
        </w:numPr>
      </w:pPr>
      <w:r>
        <w:t xml:space="preserve">metadados;</w:t>
      </w:r>
    </w:p>
    <w:p>
      <w:pPr>
        <w:pStyle w:val="Compact"/>
        <w:numPr>
          <w:ilvl w:val="0"/>
          <w:numId w:val="1020"/>
        </w:numPr>
      </w:pPr>
      <w:r>
        <w:t xml:space="preserve">retenção configurável.</w:t>
      </w:r>
    </w:p>
    <w:bookmarkEnd w:id="44"/>
    <w:bookmarkStart w:id="45" w:name="módulo-5-estações-e-sensores"/>
    <w:p>
      <w:pPr>
        <w:pStyle w:val="Heading3"/>
      </w:pPr>
      <w:r>
        <w:t xml:space="preserve">Módulo 5 — Estações e sensores</w:t>
      </w:r>
    </w:p>
    <w:p>
      <w:pPr>
        <w:pStyle w:val="Compact"/>
        <w:numPr>
          <w:ilvl w:val="0"/>
          <w:numId w:val="1021"/>
        </w:numPr>
      </w:pPr>
      <w:r>
        <w:t xml:space="preserve">cadastro;</w:t>
      </w:r>
    </w:p>
    <w:p>
      <w:pPr>
        <w:pStyle w:val="Compact"/>
        <w:numPr>
          <w:ilvl w:val="0"/>
          <w:numId w:val="1021"/>
        </w:numPr>
      </w:pPr>
      <w:r>
        <w:t xml:space="preserve">localização;</w:t>
      </w:r>
    </w:p>
    <w:p>
      <w:pPr>
        <w:pStyle w:val="Compact"/>
        <w:numPr>
          <w:ilvl w:val="0"/>
          <w:numId w:val="1021"/>
        </w:numPr>
      </w:pPr>
      <w:r>
        <w:t xml:space="preserve">proprietário;</w:t>
      </w:r>
    </w:p>
    <w:p>
      <w:pPr>
        <w:pStyle w:val="Compact"/>
        <w:numPr>
          <w:ilvl w:val="0"/>
          <w:numId w:val="1021"/>
        </w:numPr>
      </w:pPr>
      <w:r>
        <w:t xml:space="preserve">operador;</w:t>
      </w:r>
    </w:p>
    <w:p>
      <w:pPr>
        <w:pStyle w:val="Compact"/>
        <w:numPr>
          <w:ilvl w:val="0"/>
          <w:numId w:val="1021"/>
        </w:numPr>
      </w:pPr>
      <w:r>
        <w:t xml:space="preserve">variáveis;</w:t>
      </w:r>
    </w:p>
    <w:p>
      <w:pPr>
        <w:pStyle w:val="Compact"/>
        <w:numPr>
          <w:ilvl w:val="0"/>
          <w:numId w:val="1021"/>
        </w:numPr>
      </w:pPr>
      <w:r>
        <w:t xml:space="preserve">sensores;</w:t>
      </w:r>
    </w:p>
    <w:p>
      <w:pPr>
        <w:pStyle w:val="Compact"/>
        <w:numPr>
          <w:ilvl w:val="0"/>
          <w:numId w:val="1021"/>
        </w:numPr>
      </w:pPr>
      <w:r>
        <w:t xml:space="preserve">calibração;</w:t>
      </w:r>
    </w:p>
    <w:p>
      <w:pPr>
        <w:pStyle w:val="Compact"/>
        <w:numPr>
          <w:ilvl w:val="0"/>
          <w:numId w:val="1021"/>
        </w:numPr>
      </w:pPr>
      <w:r>
        <w:t xml:space="preserve">estado operacional;</w:t>
      </w:r>
    </w:p>
    <w:p>
      <w:pPr>
        <w:pStyle w:val="Compact"/>
        <w:numPr>
          <w:ilvl w:val="0"/>
          <w:numId w:val="1021"/>
        </w:numPr>
      </w:pPr>
      <w:r>
        <w:t xml:space="preserve">histórico de alteração.</w:t>
      </w:r>
    </w:p>
    <w:bookmarkEnd w:id="45"/>
    <w:bookmarkStart w:id="46" w:name="módulo-6-séries-temporais"/>
    <w:p>
      <w:pPr>
        <w:pStyle w:val="Heading3"/>
      </w:pPr>
      <w:r>
        <w:t xml:space="preserve">Módulo 6 — Séries temporais</w:t>
      </w:r>
    </w:p>
    <w:p>
      <w:pPr>
        <w:pStyle w:val="Compact"/>
        <w:numPr>
          <w:ilvl w:val="0"/>
          <w:numId w:val="1022"/>
        </w:numPr>
      </w:pPr>
      <w:r>
        <w:t xml:space="preserve">observações;</w:t>
      </w:r>
    </w:p>
    <w:p>
      <w:pPr>
        <w:pStyle w:val="Compact"/>
        <w:numPr>
          <w:ilvl w:val="0"/>
          <w:numId w:val="1022"/>
        </w:numPr>
      </w:pPr>
      <w:r>
        <w:t xml:space="preserve">previsões;</w:t>
      </w:r>
    </w:p>
    <w:p>
      <w:pPr>
        <w:pStyle w:val="Compact"/>
        <w:numPr>
          <w:ilvl w:val="0"/>
          <w:numId w:val="1022"/>
        </w:numPr>
      </w:pPr>
      <w:r>
        <w:t xml:space="preserve">unidades;</w:t>
      </w:r>
    </w:p>
    <w:p>
      <w:pPr>
        <w:pStyle w:val="Compact"/>
        <w:numPr>
          <w:ilvl w:val="0"/>
          <w:numId w:val="1022"/>
        </w:numPr>
      </w:pPr>
      <w:r>
        <w:t xml:space="preserve">horários;</w:t>
      </w:r>
    </w:p>
    <w:p>
      <w:pPr>
        <w:pStyle w:val="Compact"/>
        <w:numPr>
          <w:ilvl w:val="0"/>
          <w:numId w:val="1022"/>
        </w:numPr>
      </w:pPr>
      <w:r>
        <w:t xml:space="preserve">valores;</w:t>
      </w:r>
    </w:p>
    <w:p>
      <w:pPr>
        <w:pStyle w:val="Compact"/>
        <w:numPr>
          <w:ilvl w:val="0"/>
          <w:numId w:val="1022"/>
        </w:numPr>
      </w:pPr>
      <w:r>
        <w:t xml:space="preserve">lacunas;</w:t>
      </w:r>
    </w:p>
    <w:p>
      <w:pPr>
        <w:pStyle w:val="Compact"/>
        <w:numPr>
          <w:ilvl w:val="0"/>
          <w:numId w:val="1022"/>
        </w:numPr>
      </w:pPr>
      <w:r>
        <w:t xml:space="preserve">status de qualidade;</w:t>
      </w:r>
    </w:p>
    <w:p>
      <w:pPr>
        <w:pStyle w:val="Compact"/>
        <w:numPr>
          <w:ilvl w:val="0"/>
          <w:numId w:val="1022"/>
        </w:numPr>
      </w:pPr>
      <w:r>
        <w:t xml:space="preserve">exportação.</w:t>
      </w:r>
    </w:p>
    <w:bookmarkEnd w:id="46"/>
    <w:bookmarkStart w:id="47" w:name="módulo-7-controle-de-qualidade"/>
    <w:p>
      <w:pPr>
        <w:pStyle w:val="Heading3"/>
      </w:pPr>
      <w:r>
        <w:t xml:space="preserve">Módulo 7 — Controle de qualidade</w:t>
      </w:r>
    </w:p>
    <w:p>
      <w:pPr>
        <w:pStyle w:val="Compact"/>
        <w:numPr>
          <w:ilvl w:val="0"/>
          <w:numId w:val="1023"/>
        </w:numPr>
      </w:pPr>
      <w:r>
        <w:t xml:space="preserve">plausibilidade física;</w:t>
      </w:r>
    </w:p>
    <w:p>
      <w:pPr>
        <w:pStyle w:val="Compact"/>
        <w:numPr>
          <w:ilvl w:val="0"/>
          <w:numId w:val="1023"/>
        </w:numPr>
      </w:pPr>
      <w:r>
        <w:t xml:space="preserve">atraso;</w:t>
      </w:r>
    </w:p>
    <w:p>
      <w:pPr>
        <w:pStyle w:val="Compact"/>
        <w:numPr>
          <w:ilvl w:val="0"/>
          <w:numId w:val="1023"/>
        </w:numPr>
      </w:pPr>
      <w:r>
        <w:t xml:space="preserve">completude;</w:t>
      </w:r>
    </w:p>
    <w:p>
      <w:pPr>
        <w:pStyle w:val="Compact"/>
        <w:numPr>
          <w:ilvl w:val="0"/>
          <w:numId w:val="1023"/>
        </w:numPr>
      </w:pPr>
      <w:r>
        <w:t xml:space="preserve">duplicidade;</w:t>
      </w:r>
    </w:p>
    <w:p>
      <w:pPr>
        <w:pStyle w:val="Compact"/>
        <w:numPr>
          <w:ilvl w:val="0"/>
          <w:numId w:val="1023"/>
        </w:numPr>
      </w:pPr>
      <w:r>
        <w:t xml:space="preserve">consistência;</w:t>
      </w:r>
    </w:p>
    <w:p>
      <w:pPr>
        <w:pStyle w:val="Compact"/>
        <w:numPr>
          <w:ilvl w:val="0"/>
          <w:numId w:val="1023"/>
        </w:numPr>
      </w:pPr>
      <w:r>
        <w:t xml:space="preserve">sensor travado;</w:t>
      </w:r>
    </w:p>
    <w:p>
      <w:pPr>
        <w:pStyle w:val="Compact"/>
        <w:numPr>
          <w:ilvl w:val="0"/>
          <w:numId w:val="1023"/>
        </w:numPr>
      </w:pPr>
      <w:r>
        <w:t xml:space="preserve">revisão humana;</w:t>
      </w:r>
    </w:p>
    <w:p>
      <w:pPr>
        <w:pStyle w:val="Compact"/>
        <w:numPr>
          <w:ilvl w:val="0"/>
          <w:numId w:val="1023"/>
        </w:numPr>
      </w:pPr>
      <w:r>
        <w:t xml:space="preserve">regras versionadas.</w:t>
      </w:r>
    </w:p>
    <w:bookmarkEnd w:id="47"/>
    <w:bookmarkStart w:id="48" w:name="módulo-8-alertas-oficiais"/>
    <w:p>
      <w:pPr>
        <w:pStyle w:val="Heading3"/>
      </w:pPr>
      <w:r>
        <w:t xml:space="preserve">Módulo 8 — Alertas oficiais</w:t>
      </w:r>
    </w:p>
    <w:p>
      <w:pPr>
        <w:pStyle w:val="Compact"/>
        <w:numPr>
          <w:ilvl w:val="0"/>
          <w:numId w:val="1024"/>
        </w:numPr>
      </w:pPr>
      <w:r>
        <w:t xml:space="preserve">ingestão;</w:t>
      </w:r>
    </w:p>
    <w:p>
      <w:pPr>
        <w:pStyle w:val="Compact"/>
        <w:numPr>
          <w:ilvl w:val="0"/>
          <w:numId w:val="1024"/>
        </w:numPr>
      </w:pPr>
      <w:r>
        <w:t xml:space="preserve">vigência;</w:t>
      </w:r>
    </w:p>
    <w:p>
      <w:pPr>
        <w:pStyle w:val="Compact"/>
        <w:numPr>
          <w:ilvl w:val="0"/>
          <w:numId w:val="1024"/>
        </w:numPr>
      </w:pPr>
      <w:r>
        <w:t xml:space="preserve">severidade;</w:t>
      </w:r>
    </w:p>
    <w:p>
      <w:pPr>
        <w:pStyle w:val="Compact"/>
        <w:numPr>
          <w:ilvl w:val="0"/>
          <w:numId w:val="1024"/>
        </w:numPr>
      </w:pPr>
      <w:r>
        <w:t xml:space="preserve">território;</w:t>
      </w:r>
    </w:p>
    <w:p>
      <w:pPr>
        <w:pStyle w:val="Compact"/>
        <w:numPr>
          <w:ilvl w:val="0"/>
          <w:numId w:val="1024"/>
        </w:numPr>
      </w:pPr>
      <w:r>
        <w:t xml:space="preserve">fonte;</w:t>
      </w:r>
    </w:p>
    <w:p>
      <w:pPr>
        <w:pStyle w:val="Compact"/>
        <w:numPr>
          <w:ilvl w:val="0"/>
          <w:numId w:val="1024"/>
        </w:numPr>
      </w:pPr>
      <w:r>
        <w:t xml:space="preserve">texto original;</w:t>
      </w:r>
    </w:p>
    <w:p>
      <w:pPr>
        <w:pStyle w:val="Compact"/>
        <w:numPr>
          <w:ilvl w:val="0"/>
          <w:numId w:val="1024"/>
        </w:numPr>
      </w:pPr>
      <w:r>
        <w:t xml:space="preserve">status;</w:t>
      </w:r>
    </w:p>
    <w:p>
      <w:pPr>
        <w:pStyle w:val="Compact"/>
        <w:numPr>
          <w:ilvl w:val="0"/>
          <w:numId w:val="1024"/>
        </w:numPr>
      </w:pPr>
      <w:r>
        <w:t xml:space="preserve">histórico.</w:t>
      </w:r>
    </w:p>
    <w:bookmarkEnd w:id="48"/>
    <w:bookmarkStart w:id="49" w:name="módulo-9-ocorrências-e-incidentes"/>
    <w:p>
      <w:pPr>
        <w:pStyle w:val="Heading3"/>
      </w:pPr>
      <w:r>
        <w:t xml:space="preserve">Módulo 9 — Ocorrências e incidentes</w:t>
      </w:r>
    </w:p>
    <w:p>
      <w:pPr>
        <w:pStyle w:val="Compact"/>
        <w:numPr>
          <w:ilvl w:val="0"/>
          <w:numId w:val="1025"/>
        </w:numPr>
      </w:pPr>
      <w:r>
        <w:t xml:space="preserve">registro;</w:t>
      </w:r>
    </w:p>
    <w:p>
      <w:pPr>
        <w:pStyle w:val="Compact"/>
        <w:numPr>
          <w:ilvl w:val="0"/>
          <w:numId w:val="1025"/>
        </w:numPr>
      </w:pPr>
      <w:r>
        <w:t xml:space="preserve">localização;</w:t>
      </w:r>
    </w:p>
    <w:p>
      <w:pPr>
        <w:pStyle w:val="Compact"/>
        <w:numPr>
          <w:ilvl w:val="0"/>
          <w:numId w:val="1025"/>
        </w:numPr>
      </w:pPr>
      <w:r>
        <w:t xml:space="preserve">confirmação;</w:t>
      </w:r>
    </w:p>
    <w:p>
      <w:pPr>
        <w:pStyle w:val="Compact"/>
        <w:numPr>
          <w:ilvl w:val="0"/>
          <w:numId w:val="1025"/>
        </w:numPr>
      </w:pPr>
      <w:r>
        <w:t xml:space="preserve">evidências;</w:t>
      </w:r>
    </w:p>
    <w:p>
      <w:pPr>
        <w:pStyle w:val="Compact"/>
        <w:numPr>
          <w:ilvl w:val="0"/>
          <w:numId w:val="1025"/>
        </w:numPr>
      </w:pPr>
      <w:r>
        <w:t xml:space="preserve">anexos;</w:t>
      </w:r>
    </w:p>
    <w:p>
      <w:pPr>
        <w:pStyle w:val="Compact"/>
        <w:numPr>
          <w:ilvl w:val="0"/>
          <w:numId w:val="1025"/>
        </w:numPr>
      </w:pPr>
      <w:r>
        <w:t xml:space="preserve">deduplicação assistida;</w:t>
      </w:r>
    </w:p>
    <w:p>
      <w:pPr>
        <w:pStyle w:val="Compact"/>
        <w:numPr>
          <w:ilvl w:val="0"/>
          <w:numId w:val="1025"/>
        </w:numPr>
      </w:pPr>
      <w:r>
        <w:t xml:space="preserve">conversão em incidente;</w:t>
      </w:r>
    </w:p>
    <w:p>
      <w:pPr>
        <w:pStyle w:val="Compact"/>
        <w:numPr>
          <w:ilvl w:val="0"/>
          <w:numId w:val="1025"/>
        </w:numPr>
      </w:pPr>
      <w:r>
        <w:t xml:space="preserve">ações;</w:t>
      </w:r>
    </w:p>
    <w:p>
      <w:pPr>
        <w:pStyle w:val="Compact"/>
        <w:numPr>
          <w:ilvl w:val="0"/>
          <w:numId w:val="1025"/>
        </w:numPr>
      </w:pPr>
      <w:r>
        <w:t xml:space="preserve">responsáveis;</w:t>
      </w:r>
    </w:p>
    <w:p>
      <w:pPr>
        <w:pStyle w:val="Compact"/>
        <w:numPr>
          <w:ilvl w:val="0"/>
          <w:numId w:val="1025"/>
        </w:numPr>
      </w:pPr>
      <w:r>
        <w:t xml:space="preserve">encerramento.</w:t>
      </w:r>
    </w:p>
    <w:bookmarkEnd w:id="49"/>
    <w:bookmarkStart w:id="50" w:name="módulo-10-protocolos"/>
    <w:p>
      <w:pPr>
        <w:pStyle w:val="Heading3"/>
      </w:pPr>
      <w:r>
        <w:t xml:space="preserve">Módulo 10 — Protocolos</w:t>
      </w:r>
    </w:p>
    <w:p>
      <w:pPr>
        <w:pStyle w:val="Compact"/>
        <w:numPr>
          <w:ilvl w:val="0"/>
          <w:numId w:val="1026"/>
        </w:numPr>
      </w:pPr>
      <w:r>
        <w:t xml:space="preserve">cadastro;</w:t>
      </w:r>
    </w:p>
    <w:p>
      <w:pPr>
        <w:pStyle w:val="Compact"/>
        <w:numPr>
          <w:ilvl w:val="0"/>
          <w:numId w:val="1026"/>
        </w:numPr>
      </w:pPr>
      <w:r>
        <w:t xml:space="preserve">versões;</w:t>
      </w:r>
    </w:p>
    <w:p>
      <w:pPr>
        <w:pStyle w:val="Compact"/>
        <w:numPr>
          <w:ilvl w:val="0"/>
          <w:numId w:val="1026"/>
        </w:numPr>
      </w:pPr>
      <w:r>
        <w:t xml:space="preserve">gatilhos;</w:t>
      </w:r>
    </w:p>
    <w:p>
      <w:pPr>
        <w:pStyle w:val="Compact"/>
        <w:numPr>
          <w:ilvl w:val="0"/>
          <w:numId w:val="1026"/>
        </w:numPr>
      </w:pPr>
      <w:r>
        <w:t xml:space="preserve">evidências;</w:t>
      </w:r>
    </w:p>
    <w:p>
      <w:pPr>
        <w:pStyle w:val="Compact"/>
        <w:numPr>
          <w:ilvl w:val="0"/>
          <w:numId w:val="1026"/>
        </w:numPr>
      </w:pPr>
      <w:r>
        <w:t xml:space="preserve">aprovação;</w:t>
      </w:r>
    </w:p>
    <w:p>
      <w:pPr>
        <w:pStyle w:val="Compact"/>
        <w:numPr>
          <w:ilvl w:val="0"/>
          <w:numId w:val="1026"/>
        </w:numPr>
      </w:pPr>
      <w:r>
        <w:t xml:space="preserve">ativação;</w:t>
      </w:r>
    </w:p>
    <w:p>
      <w:pPr>
        <w:pStyle w:val="Compact"/>
        <w:numPr>
          <w:ilvl w:val="0"/>
          <w:numId w:val="1026"/>
        </w:numPr>
      </w:pPr>
      <w:r>
        <w:t xml:space="preserve">encerramento;</w:t>
      </w:r>
    </w:p>
    <w:p>
      <w:pPr>
        <w:pStyle w:val="Compact"/>
        <w:numPr>
          <w:ilvl w:val="0"/>
          <w:numId w:val="1026"/>
        </w:numPr>
      </w:pPr>
      <w:r>
        <w:t xml:space="preserve">ações geradas;</w:t>
      </w:r>
    </w:p>
    <w:p>
      <w:pPr>
        <w:pStyle w:val="Compact"/>
        <w:numPr>
          <w:ilvl w:val="0"/>
          <w:numId w:val="1026"/>
        </w:numPr>
      </w:pPr>
      <w:r>
        <w:t xml:space="preserve">histórico.</w:t>
      </w:r>
    </w:p>
    <w:bookmarkEnd w:id="50"/>
    <w:bookmarkStart w:id="51" w:name="módulo-11-recomendações"/>
    <w:p>
      <w:pPr>
        <w:pStyle w:val="Heading3"/>
      </w:pPr>
      <w:r>
        <w:t xml:space="preserve">Módulo 11 — Recomendações</w:t>
      </w:r>
    </w:p>
    <w:p>
      <w:pPr>
        <w:pStyle w:val="Compact"/>
        <w:numPr>
          <w:ilvl w:val="0"/>
          <w:numId w:val="1027"/>
        </w:numPr>
      </w:pPr>
      <w:r>
        <w:t xml:space="preserve">conteúdo técnico;</w:t>
      </w:r>
    </w:p>
    <w:p>
      <w:pPr>
        <w:pStyle w:val="Compact"/>
        <w:numPr>
          <w:ilvl w:val="0"/>
          <w:numId w:val="1027"/>
        </w:numPr>
      </w:pPr>
      <w:r>
        <w:t xml:space="preserve">conteúdo cidadão;</w:t>
      </w:r>
    </w:p>
    <w:p>
      <w:pPr>
        <w:pStyle w:val="Compact"/>
        <w:numPr>
          <w:ilvl w:val="0"/>
          <w:numId w:val="1027"/>
        </w:numPr>
      </w:pPr>
      <w:r>
        <w:t xml:space="preserve">público;</w:t>
      </w:r>
    </w:p>
    <w:p>
      <w:pPr>
        <w:pStyle w:val="Compact"/>
        <w:numPr>
          <w:ilvl w:val="0"/>
          <w:numId w:val="1027"/>
        </w:numPr>
      </w:pPr>
      <w:r>
        <w:t xml:space="preserve">perigo;</w:t>
      </w:r>
    </w:p>
    <w:p>
      <w:pPr>
        <w:pStyle w:val="Compact"/>
        <w:numPr>
          <w:ilvl w:val="0"/>
          <w:numId w:val="1027"/>
        </w:numPr>
      </w:pPr>
      <w:r>
        <w:t xml:space="preserve">validade;</w:t>
      </w:r>
    </w:p>
    <w:p>
      <w:pPr>
        <w:pStyle w:val="Compact"/>
        <w:numPr>
          <w:ilvl w:val="0"/>
          <w:numId w:val="1027"/>
        </w:numPr>
      </w:pPr>
      <w:r>
        <w:t xml:space="preserve">fontes;</w:t>
      </w:r>
    </w:p>
    <w:p>
      <w:pPr>
        <w:pStyle w:val="Compact"/>
        <w:numPr>
          <w:ilvl w:val="0"/>
          <w:numId w:val="1027"/>
        </w:numPr>
      </w:pPr>
      <w:r>
        <w:t xml:space="preserve">autoria;</w:t>
      </w:r>
    </w:p>
    <w:p>
      <w:pPr>
        <w:pStyle w:val="Compact"/>
        <w:numPr>
          <w:ilvl w:val="0"/>
          <w:numId w:val="1027"/>
        </w:numPr>
      </w:pPr>
      <w:r>
        <w:t xml:space="preserve">revisão;</w:t>
      </w:r>
    </w:p>
    <w:p>
      <w:pPr>
        <w:pStyle w:val="Compact"/>
        <w:numPr>
          <w:ilvl w:val="0"/>
          <w:numId w:val="1027"/>
        </w:numPr>
      </w:pPr>
      <w:r>
        <w:t xml:space="preserve">aprovação;</w:t>
      </w:r>
    </w:p>
    <w:p>
      <w:pPr>
        <w:pStyle w:val="Compact"/>
        <w:numPr>
          <w:ilvl w:val="0"/>
          <w:numId w:val="1027"/>
        </w:numPr>
      </w:pPr>
      <w:r>
        <w:t xml:space="preserve">publicação.</w:t>
      </w:r>
    </w:p>
    <w:bookmarkEnd w:id="51"/>
    <w:bookmarkStart w:id="52" w:name="módulo-12-portal-operacional"/>
    <w:p>
      <w:pPr>
        <w:pStyle w:val="Heading3"/>
      </w:pPr>
      <w:r>
        <w:t xml:space="preserve">Módulo 12 — Portal operacional</w:t>
      </w:r>
    </w:p>
    <w:p>
      <w:pPr>
        <w:pStyle w:val="Compact"/>
        <w:numPr>
          <w:ilvl w:val="0"/>
          <w:numId w:val="1028"/>
        </w:numPr>
      </w:pPr>
      <w:r>
        <w:t xml:space="preserve">situação geral;</w:t>
      </w:r>
    </w:p>
    <w:p>
      <w:pPr>
        <w:pStyle w:val="Compact"/>
        <w:numPr>
          <w:ilvl w:val="0"/>
          <w:numId w:val="1028"/>
        </w:numPr>
      </w:pPr>
      <w:r>
        <w:t xml:space="preserve">mapa;</w:t>
      </w:r>
    </w:p>
    <w:p>
      <w:pPr>
        <w:pStyle w:val="Compact"/>
        <w:numPr>
          <w:ilvl w:val="0"/>
          <w:numId w:val="1028"/>
        </w:numPr>
      </w:pPr>
      <w:r>
        <w:t xml:space="preserve">estações;</w:t>
      </w:r>
    </w:p>
    <w:p>
      <w:pPr>
        <w:pStyle w:val="Compact"/>
        <w:numPr>
          <w:ilvl w:val="0"/>
          <w:numId w:val="1028"/>
        </w:numPr>
      </w:pPr>
      <w:r>
        <w:t xml:space="preserve">alertas;</w:t>
      </w:r>
    </w:p>
    <w:p>
      <w:pPr>
        <w:pStyle w:val="Compact"/>
        <w:numPr>
          <w:ilvl w:val="0"/>
          <w:numId w:val="1028"/>
        </w:numPr>
      </w:pPr>
      <w:r>
        <w:t xml:space="preserve">ocorrências;</w:t>
      </w:r>
    </w:p>
    <w:p>
      <w:pPr>
        <w:pStyle w:val="Compact"/>
        <w:numPr>
          <w:ilvl w:val="0"/>
          <w:numId w:val="1028"/>
        </w:numPr>
      </w:pPr>
      <w:r>
        <w:t xml:space="preserve">protocolos;</w:t>
      </w:r>
    </w:p>
    <w:p>
      <w:pPr>
        <w:pStyle w:val="Compact"/>
        <w:numPr>
          <w:ilvl w:val="0"/>
          <w:numId w:val="1028"/>
        </w:numPr>
      </w:pPr>
      <w:r>
        <w:t xml:space="preserve">recomendações;</w:t>
      </w:r>
    </w:p>
    <w:p>
      <w:pPr>
        <w:pStyle w:val="Compact"/>
        <w:numPr>
          <w:ilvl w:val="0"/>
          <w:numId w:val="1028"/>
        </w:numPr>
      </w:pPr>
      <w:r>
        <w:t xml:space="preserve">tarefas;</w:t>
      </w:r>
    </w:p>
    <w:p>
      <w:pPr>
        <w:pStyle w:val="Compact"/>
        <w:numPr>
          <w:ilvl w:val="0"/>
          <w:numId w:val="1028"/>
        </w:numPr>
      </w:pPr>
      <w:r>
        <w:t xml:space="preserve">qualidade;</w:t>
      </w:r>
    </w:p>
    <w:p>
      <w:pPr>
        <w:pStyle w:val="Compact"/>
        <w:numPr>
          <w:ilvl w:val="0"/>
          <w:numId w:val="1028"/>
        </w:numPr>
      </w:pPr>
      <w:r>
        <w:t xml:space="preserve">auditoria.</w:t>
      </w:r>
    </w:p>
    <w:bookmarkEnd w:id="52"/>
    <w:bookmarkStart w:id="53" w:name="módulo-13-site-público"/>
    <w:p>
      <w:pPr>
        <w:pStyle w:val="Heading3"/>
      </w:pPr>
      <w:r>
        <w:t xml:space="preserve">Módulo 13 — Site público</w:t>
      </w:r>
    </w:p>
    <w:p>
      <w:pPr>
        <w:pStyle w:val="Compact"/>
        <w:numPr>
          <w:ilvl w:val="0"/>
          <w:numId w:val="1029"/>
        </w:numPr>
      </w:pPr>
      <w:r>
        <w:t xml:space="preserve">alertas;</w:t>
      </w:r>
    </w:p>
    <w:p>
      <w:pPr>
        <w:pStyle w:val="Compact"/>
        <w:numPr>
          <w:ilvl w:val="0"/>
          <w:numId w:val="1029"/>
        </w:numPr>
      </w:pPr>
      <w:r>
        <w:t xml:space="preserve">situação observada;</w:t>
      </w:r>
    </w:p>
    <w:p>
      <w:pPr>
        <w:pStyle w:val="Compact"/>
        <w:numPr>
          <w:ilvl w:val="0"/>
          <w:numId w:val="1029"/>
        </w:numPr>
      </w:pPr>
      <w:r>
        <w:t xml:space="preserve">recomendações;</w:t>
      </w:r>
    </w:p>
    <w:p>
      <w:pPr>
        <w:pStyle w:val="Compact"/>
        <w:numPr>
          <w:ilvl w:val="0"/>
          <w:numId w:val="1029"/>
        </w:numPr>
      </w:pPr>
      <w:r>
        <w:t xml:space="preserve">fontes;</w:t>
      </w:r>
    </w:p>
    <w:p>
      <w:pPr>
        <w:pStyle w:val="Compact"/>
        <w:numPr>
          <w:ilvl w:val="0"/>
          <w:numId w:val="1029"/>
        </w:numPr>
      </w:pPr>
      <w:r>
        <w:t xml:space="preserve">disponibilidade;</w:t>
      </w:r>
    </w:p>
    <w:p>
      <w:pPr>
        <w:pStyle w:val="Compact"/>
        <w:numPr>
          <w:ilvl w:val="0"/>
          <w:numId w:val="1029"/>
        </w:numPr>
      </w:pPr>
      <w:r>
        <w:t xml:space="preserve">boletins;</w:t>
      </w:r>
    </w:p>
    <w:p>
      <w:pPr>
        <w:pStyle w:val="Compact"/>
        <w:numPr>
          <w:ilvl w:val="0"/>
          <w:numId w:val="1029"/>
        </w:numPr>
      </w:pPr>
      <w:r>
        <w:t xml:space="preserve">metodologia;</w:t>
      </w:r>
    </w:p>
    <w:p>
      <w:pPr>
        <w:pStyle w:val="Compact"/>
        <w:numPr>
          <w:ilvl w:val="0"/>
          <w:numId w:val="1029"/>
        </w:numPr>
      </w:pPr>
      <w:r>
        <w:t xml:space="preserve">dados abertos;</w:t>
      </w:r>
    </w:p>
    <w:p>
      <w:pPr>
        <w:pStyle w:val="Compact"/>
        <w:numPr>
          <w:ilvl w:val="0"/>
          <w:numId w:val="1029"/>
        </w:numPr>
      </w:pPr>
      <w:r>
        <w:t xml:space="preserve">transparência.</w:t>
      </w:r>
    </w:p>
    <w:bookmarkEnd w:id="53"/>
    <w:bookmarkStart w:id="54" w:name="módulo-14-relatórios"/>
    <w:p>
      <w:pPr>
        <w:pStyle w:val="Heading3"/>
      </w:pPr>
      <w:r>
        <w:t xml:space="preserve">Módulo 14 — Relatórios</w:t>
      </w:r>
    </w:p>
    <w:p>
      <w:pPr>
        <w:pStyle w:val="Compact"/>
        <w:numPr>
          <w:ilvl w:val="0"/>
          <w:numId w:val="1030"/>
        </w:numPr>
      </w:pPr>
      <w:r>
        <w:t xml:space="preserve">boletim diário;</w:t>
      </w:r>
    </w:p>
    <w:p>
      <w:pPr>
        <w:pStyle w:val="Compact"/>
        <w:numPr>
          <w:ilvl w:val="0"/>
          <w:numId w:val="1030"/>
        </w:numPr>
      </w:pPr>
      <w:r>
        <w:t xml:space="preserve">disponibilidade de estações;</w:t>
      </w:r>
    </w:p>
    <w:p>
      <w:pPr>
        <w:pStyle w:val="Compact"/>
        <w:numPr>
          <w:ilvl w:val="0"/>
          <w:numId w:val="1030"/>
        </w:numPr>
      </w:pPr>
      <w:r>
        <w:t xml:space="preserve">ocorrências;</w:t>
      </w:r>
    </w:p>
    <w:p>
      <w:pPr>
        <w:pStyle w:val="Compact"/>
        <w:numPr>
          <w:ilvl w:val="0"/>
          <w:numId w:val="1030"/>
        </w:numPr>
      </w:pPr>
      <w:r>
        <w:t xml:space="preserve">protocolos;</w:t>
      </w:r>
    </w:p>
    <w:p>
      <w:pPr>
        <w:pStyle w:val="Compact"/>
        <w:numPr>
          <w:ilvl w:val="0"/>
          <w:numId w:val="1030"/>
        </w:numPr>
      </w:pPr>
      <w:r>
        <w:t xml:space="preserve">histórico;</w:t>
      </w:r>
    </w:p>
    <w:p>
      <w:pPr>
        <w:pStyle w:val="Compact"/>
        <w:numPr>
          <w:ilvl w:val="0"/>
          <w:numId w:val="1030"/>
        </w:numPr>
      </w:pPr>
      <w:r>
        <w:t xml:space="preserve">exportação CSV;</w:t>
      </w:r>
    </w:p>
    <w:p>
      <w:pPr>
        <w:pStyle w:val="Compact"/>
        <w:numPr>
          <w:ilvl w:val="0"/>
          <w:numId w:val="1030"/>
        </w:numPr>
      </w:pPr>
      <w:r>
        <w:t xml:space="preserve">exportação PDF.</w:t>
      </w:r>
    </w:p>
    <w:bookmarkEnd w:id="54"/>
    <w:bookmarkStart w:id="55" w:name="módulo-15-administração"/>
    <w:p>
      <w:pPr>
        <w:pStyle w:val="Heading3"/>
      </w:pPr>
      <w:r>
        <w:t xml:space="preserve">Módulo 15 — Administração</w:t>
      </w:r>
    </w:p>
    <w:p>
      <w:pPr>
        <w:pStyle w:val="Compact"/>
        <w:numPr>
          <w:ilvl w:val="0"/>
          <w:numId w:val="1031"/>
        </w:numPr>
      </w:pPr>
      <w:r>
        <w:t xml:space="preserve">usuários;</w:t>
      </w:r>
    </w:p>
    <w:p>
      <w:pPr>
        <w:pStyle w:val="Compact"/>
        <w:numPr>
          <w:ilvl w:val="0"/>
          <w:numId w:val="1031"/>
        </w:numPr>
      </w:pPr>
      <w:r>
        <w:t xml:space="preserve">perfis;</w:t>
      </w:r>
    </w:p>
    <w:p>
      <w:pPr>
        <w:pStyle w:val="Compact"/>
        <w:numPr>
          <w:ilvl w:val="0"/>
          <w:numId w:val="1031"/>
        </w:numPr>
      </w:pPr>
      <w:r>
        <w:t xml:space="preserve">fontes;</w:t>
      </w:r>
    </w:p>
    <w:p>
      <w:pPr>
        <w:pStyle w:val="Compact"/>
        <w:numPr>
          <w:ilvl w:val="0"/>
          <w:numId w:val="1031"/>
        </w:numPr>
      </w:pPr>
      <w:r>
        <w:t xml:space="preserve">estações;</w:t>
      </w:r>
    </w:p>
    <w:p>
      <w:pPr>
        <w:pStyle w:val="Compact"/>
        <w:numPr>
          <w:ilvl w:val="0"/>
          <w:numId w:val="1031"/>
        </w:numPr>
      </w:pPr>
      <w:r>
        <w:t xml:space="preserve">conectores;</w:t>
      </w:r>
    </w:p>
    <w:p>
      <w:pPr>
        <w:pStyle w:val="Compact"/>
        <w:numPr>
          <w:ilvl w:val="0"/>
          <w:numId w:val="1031"/>
        </w:numPr>
      </w:pPr>
      <w:r>
        <w:t xml:space="preserve">protocolos;</w:t>
      </w:r>
    </w:p>
    <w:p>
      <w:pPr>
        <w:pStyle w:val="Compact"/>
        <w:numPr>
          <w:ilvl w:val="0"/>
          <w:numId w:val="1031"/>
        </w:numPr>
      </w:pPr>
      <w:r>
        <w:t xml:space="preserve">recomendações;</w:t>
      </w:r>
    </w:p>
    <w:p>
      <w:pPr>
        <w:pStyle w:val="Compact"/>
        <w:numPr>
          <w:ilvl w:val="0"/>
          <w:numId w:val="1031"/>
        </w:numPr>
      </w:pPr>
      <w:r>
        <w:t xml:space="preserve">configurações;</w:t>
      </w:r>
    </w:p>
    <w:p>
      <w:pPr>
        <w:pStyle w:val="Compact"/>
        <w:numPr>
          <w:ilvl w:val="0"/>
          <w:numId w:val="1031"/>
        </w:numPr>
      </w:pPr>
      <w:r>
        <w:t xml:space="preserve">logs;</w:t>
      </w:r>
    </w:p>
    <w:p>
      <w:pPr>
        <w:pStyle w:val="Compact"/>
        <w:numPr>
          <w:ilvl w:val="0"/>
          <w:numId w:val="1031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integrações-mínimas-do-mvp"/>
    <w:p>
      <w:pPr>
        <w:pStyle w:val="Heading1"/>
      </w:pPr>
      <w:r>
        <w:t xml:space="preserve">7. Integrações mínimas do MVP</w:t>
      </w:r>
    </w:p>
    <w:p>
      <w:pPr>
        <w:pStyle w:val="FirstParagraph"/>
      </w:pPr>
      <w:r>
        <w:t xml:space="preserve">A relação final deverá ser confirmada no ETP e durante a fase de descoberta.</w:t>
      </w:r>
    </w:p>
    <w:bookmarkStart w:id="58" w:name="fontes-externas-prioritárias"/>
    <w:p>
      <w:pPr>
        <w:pStyle w:val="Heading2"/>
      </w:pPr>
      <w:r>
        <w:t xml:space="preserve">7.1 Fontes externas prioritárias</w:t>
      </w:r>
    </w:p>
    <w:p>
      <w:pPr>
        <w:pStyle w:val="Compact"/>
        <w:numPr>
          <w:ilvl w:val="0"/>
          <w:numId w:val="1032"/>
        </w:numPr>
      </w:pPr>
      <w:r>
        <w:t xml:space="preserve">INMET;</w:t>
      </w:r>
    </w:p>
    <w:p>
      <w:pPr>
        <w:pStyle w:val="Compact"/>
        <w:numPr>
          <w:ilvl w:val="0"/>
          <w:numId w:val="1032"/>
        </w:numPr>
      </w:pPr>
      <w:r>
        <w:t xml:space="preserve">REDEMET/DECEA;</w:t>
      </w:r>
    </w:p>
    <w:p>
      <w:pPr>
        <w:pStyle w:val="Compact"/>
        <w:numPr>
          <w:ilvl w:val="0"/>
          <w:numId w:val="1032"/>
        </w:numPr>
      </w:pPr>
      <w:r>
        <w:t xml:space="preserve">Semad/Feam;</w:t>
      </w:r>
    </w:p>
    <w:p>
      <w:pPr>
        <w:pStyle w:val="Compact"/>
        <w:numPr>
          <w:ilvl w:val="0"/>
          <w:numId w:val="1032"/>
        </w:numPr>
      </w:pPr>
      <w:r>
        <w:t xml:space="preserve">MonitorAr;</w:t>
      </w:r>
    </w:p>
    <w:p>
      <w:pPr>
        <w:pStyle w:val="Compact"/>
        <w:numPr>
          <w:ilvl w:val="0"/>
          <w:numId w:val="1032"/>
        </w:numPr>
      </w:pPr>
      <w:r>
        <w:t xml:space="preserve">INPE — Programa Queimadas;</w:t>
      </w:r>
    </w:p>
    <w:p>
      <w:pPr>
        <w:pStyle w:val="Compact"/>
        <w:numPr>
          <w:ilvl w:val="0"/>
          <w:numId w:val="1032"/>
        </w:numPr>
      </w:pPr>
      <w:r>
        <w:t xml:space="preserve">Cemaden;</w:t>
      </w:r>
    </w:p>
    <w:p>
      <w:pPr>
        <w:pStyle w:val="Compact"/>
        <w:numPr>
          <w:ilvl w:val="0"/>
          <w:numId w:val="1032"/>
        </w:numPr>
      </w:pPr>
      <w:r>
        <w:t xml:space="preserve">fontes geográficas oficiais;</w:t>
      </w:r>
    </w:p>
    <w:p>
      <w:pPr>
        <w:pStyle w:val="Compact"/>
        <w:numPr>
          <w:ilvl w:val="0"/>
          <w:numId w:val="1032"/>
        </w:numPr>
      </w:pPr>
      <w:r>
        <w:t xml:space="preserve">sistemas municipais existentes.</w:t>
      </w:r>
    </w:p>
    <w:bookmarkEnd w:id="58"/>
    <w:bookmarkStart w:id="59" w:name="produtos-aeronáuticos-iniciais"/>
    <w:p>
      <w:pPr>
        <w:pStyle w:val="Heading2"/>
      </w:pPr>
      <w:r>
        <w:t xml:space="preserve">7.2 Produtos aeronáuticos iniciais</w:t>
      </w:r>
    </w:p>
    <w:p>
      <w:pPr>
        <w:pStyle w:val="Compact"/>
        <w:numPr>
          <w:ilvl w:val="0"/>
          <w:numId w:val="1033"/>
        </w:numPr>
      </w:pPr>
      <w:r>
        <w:t xml:space="preserve">METAR/SPECI de SBBH;</w:t>
      </w:r>
    </w:p>
    <w:p>
      <w:pPr>
        <w:pStyle w:val="Compact"/>
        <w:numPr>
          <w:ilvl w:val="0"/>
          <w:numId w:val="1033"/>
        </w:numPr>
      </w:pPr>
      <w:r>
        <w:t xml:space="preserve">METAR/SPECI de SNDV;</w:t>
      </w:r>
    </w:p>
    <w:p>
      <w:pPr>
        <w:pStyle w:val="Compact"/>
        <w:numPr>
          <w:ilvl w:val="0"/>
          <w:numId w:val="1033"/>
        </w:numPr>
      </w:pPr>
      <w:r>
        <w:t xml:space="preserve">TAF, quando aplicável;</w:t>
      </w:r>
    </w:p>
    <w:p>
      <w:pPr>
        <w:pStyle w:val="Compact"/>
        <w:numPr>
          <w:ilvl w:val="0"/>
          <w:numId w:val="1033"/>
        </w:numPr>
      </w:pPr>
      <w:r>
        <w:t xml:space="preserve">estado de disponibilidade da fonte.</w:t>
      </w:r>
    </w:p>
    <w:bookmarkEnd w:id="59"/>
    <w:bookmarkStart w:id="60" w:name="requisitos-dos-conectores"/>
    <w:p>
      <w:pPr>
        <w:pStyle w:val="Heading2"/>
      </w:pPr>
      <w:r>
        <w:t xml:space="preserve">7.3 Requisitos dos conectores</w:t>
      </w:r>
    </w:p>
    <w:p>
      <w:pPr>
        <w:pStyle w:val="FirstParagraph"/>
      </w:pPr>
      <w:r>
        <w:t xml:space="preserve">Cada conector deverá:</w:t>
      </w:r>
    </w:p>
    <w:p>
      <w:pPr>
        <w:pStyle w:val="Compact"/>
        <w:numPr>
          <w:ilvl w:val="0"/>
          <w:numId w:val="1034"/>
        </w:numPr>
      </w:pPr>
      <w:r>
        <w:t xml:space="preserve">respeitar termos de uso;</w:t>
      </w:r>
    </w:p>
    <w:p>
      <w:pPr>
        <w:pStyle w:val="Compact"/>
        <w:numPr>
          <w:ilvl w:val="0"/>
          <w:numId w:val="1034"/>
        </w:numPr>
      </w:pPr>
      <w:r>
        <w:t xml:space="preserve">registrar a origem;</w:t>
      </w:r>
    </w:p>
    <w:p>
      <w:pPr>
        <w:pStyle w:val="Compact"/>
        <w:numPr>
          <w:ilvl w:val="0"/>
          <w:numId w:val="1034"/>
        </w:numPr>
      </w:pPr>
      <w:r>
        <w:t xml:space="preserve">preservar resposta original;</w:t>
      </w:r>
    </w:p>
    <w:p>
      <w:pPr>
        <w:pStyle w:val="Compact"/>
        <w:numPr>
          <w:ilvl w:val="0"/>
          <w:numId w:val="1034"/>
        </w:numPr>
      </w:pPr>
      <w:r>
        <w:t xml:space="preserve">aplicar retentativas controladas;</w:t>
      </w:r>
    </w:p>
    <w:p>
      <w:pPr>
        <w:pStyle w:val="Compact"/>
        <w:numPr>
          <w:ilvl w:val="0"/>
          <w:numId w:val="1034"/>
        </w:numPr>
      </w:pPr>
      <w:r>
        <w:t xml:space="preserve">detectar alteração de estrutura;</w:t>
      </w:r>
    </w:p>
    <w:p>
      <w:pPr>
        <w:pStyle w:val="Compact"/>
        <w:numPr>
          <w:ilvl w:val="0"/>
          <w:numId w:val="1034"/>
        </w:numPr>
      </w:pPr>
      <w:r>
        <w:t xml:space="preserve">apresentar última coleta;</w:t>
      </w:r>
    </w:p>
    <w:p>
      <w:pPr>
        <w:pStyle w:val="Compact"/>
        <w:numPr>
          <w:ilvl w:val="0"/>
          <w:numId w:val="1034"/>
        </w:numPr>
      </w:pPr>
      <w:r>
        <w:t xml:space="preserve">apresentar última observação;</w:t>
      </w:r>
    </w:p>
    <w:p>
      <w:pPr>
        <w:pStyle w:val="Compact"/>
        <w:numPr>
          <w:ilvl w:val="0"/>
          <w:numId w:val="1034"/>
        </w:numPr>
      </w:pPr>
      <w:r>
        <w:t xml:space="preserve">diferenciar falha externa de falha interna;</w:t>
      </w:r>
    </w:p>
    <w:p>
      <w:pPr>
        <w:pStyle w:val="Compact"/>
        <w:numPr>
          <w:ilvl w:val="0"/>
          <w:numId w:val="1034"/>
        </w:numPr>
      </w:pPr>
      <w:r>
        <w:t xml:space="preserve">permitir reprocessamento;</w:t>
      </w:r>
    </w:p>
    <w:p>
      <w:pPr>
        <w:pStyle w:val="Compact"/>
        <w:numPr>
          <w:ilvl w:val="0"/>
          <w:numId w:val="1034"/>
        </w:numPr>
      </w:pPr>
      <w:r>
        <w:t xml:space="preserve">documentar limitações.</w:t>
      </w:r>
    </w:p>
    <w:bookmarkEnd w:id="60"/>
    <w:bookmarkStart w:id="61" w:name="indisponibilidade-externa"/>
    <w:p>
      <w:pPr>
        <w:pStyle w:val="Heading2"/>
      </w:pPr>
      <w:r>
        <w:t xml:space="preserve">7.4 Indisponibilidade externa</w:t>
      </w:r>
    </w:p>
    <w:p>
      <w:pPr>
        <w:pStyle w:val="FirstParagraph"/>
      </w:pPr>
      <w:r>
        <w:t xml:space="preserve">A indisponibilidade de uma fonte externa:</w:t>
      </w:r>
    </w:p>
    <w:p>
      <w:pPr>
        <w:pStyle w:val="Compact"/>
        <w:numPr>
          <w:ilvl w:val="0"/>
          <w:numId w:val="1035"/>
        </w:numPr>
      </w:pPr>
      <w:r>
        <w:t xml:space="preserve">não deverá derrubar a plataforma;</w:t>
      </w:r>
    </w:p>
    <w:p>
      <w:pPr>
        <w:pStyle w:val="Compact"/>
        <w:numPr>
          <w:ilvl w:val="0"/>
          <w:numId w:val="1035"/>
        </w:numPr>
      </w:pPr>
      <w:r>
        <w:t xml:space="preserve">não deverá gerar valor zero;</w:t>
      </w:r>
    </w:p>
    <w:p>
      <w:pPr>
        <w:pStyle w:val="Compact"/>
        <w:numPr>
          <w:ilvl w:val="0"/>
          <w:numId w:val="1035"/>
        </w:numPr>
      </w:pPr>
      <w:r>
        <w:t xml:space="preserve">deverá ser informada;</w:t>
      </w:r>
    </w:p>
    <w:p>
      <w:pPr>
        <w:pStyle w:val="Compact"/>
        <w:numPr>
          <w:ilvl w:val="0"/>
          <w:numId w:val="1035"/>
        </w:numPr>
      </w:pPr>
      <w:r>
        <w:t xml:space="preserve">deverá abrir alerta técnico;</w:t>
      </w:r>
    </w:p>
    <w:p>
      <w:pPr>
        <w:pStyle w:val="Compact"/>
        <w:numPr>
          <w:ilvl w:val="0"/>
          <w:numId w:val="1035"/>
        </w:numPr>
      </w:pPr>
      <w:r>
        <w:t xml:space="preserve">deverá manter o último dado com identificação de desatualização;</w:t>
      </w:r>
    </w:p>
    <w:p>
      <w:pPr>
        <w:pStyle w:val="Compact"/>
        <w:numPr>
          <w:ilvl w:val="0"/>
          <w:numId w:val="1035"/>
        </w:numPr>
      </w:pPr>
      <w:r>
        <w:t xml:space="preserve">deverá registrar início e término da falha.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itens-fora-do-escopo-do-mvp"/>
    <w:p>
      <w:pPr>
        <w:pStyle w:val="Heading1"/>
      </w:pPr>
      <w:r>
        <w:t xml:space="preserve">8. Itens fora do escopo do MVP</w:t>
      </w:r>
    </w:p>
    <w:p>
      <w:pPr>
        <w:pStyle w:val="FirstParagraph"/>
      </w:pPr>
      <w:r>
        <w:t xml:space="preserve">Não fazem parte da primeira contratação, salvo justificativa expressa do ETP:</w:t>
      </w:r>
    </w:p>
    <w:p>
      <w:pPr>
        <w:pStyle w:val="Compact"/>
        <w:numPr>
          <w:ilvl w:val="0"/>
          <w:numId w:val="1036"/>
        </w:numPr>
      </w:pPr>
      <w:r>
        <w:t xml:space="preserve">aplicativo móvel nativo;</w:t>
      </w:r>
    </w:p>
    <w:p>
      <w:pPr>
        <w:pStyle w:val="Compact"/>
        <w:numPr>
          <w:ilvl w:val="0"/>
          <w:numId w:val="1036"/>
        </w:numPr>
      </w:pPr>
      <w:r>
        <w:t xml:space="preserve">WhatsApp em produção;</w:t>
      </w:r>
    </w:p>
    <w:p>
      <w:pPr>
        <w:pStyle w:val="Compact"/>
        <w:numPr>
          <w:ilvl w:val="0"/>
          <w:numId w:val="1036"/>
        </w:numPr>
      </w:pPr>
      <w:r>
        <w:t xml:space="preserve">Telegram em produção;</w:t>
      </w:r>
    </w:p>
    <w:p>
      <w:pPr>
        <w:pStyle w:val="Compact"/>
        <w:numPr>
          <w:ilvl w:val="0"/>
          <w:numId w:val="1036"/>
        </w:numPr>
      </w:pPr>
      <w:r>
        <w:t xml:space="preserve">faturamento de assinaturas;</w:t>
      </w:r>
    </w:p>
    <w:p>
      <w:pPr>
        <w:pStyle w:val="Compact"/>
        <w:numPr>
          <w:ilvl w:val="0"/>
          <w:numId w:val="1036"/>
        </w:numPr>
      </w:pPr>
      <w:r>
        <w:t xml:space="preserve">marketplace;</w:t>
      </w:r>
    </w:p>
    <w:p>
      <w:pPr>
        <w:pStyle w:val="Compact"/>
        <w:numPr>
          <w:ilvl w:val="0"/>
          <w:numId w:val="1036"/>
        </w:numPr>
      </w:pPr>
      <w:r>
        <w:t xml:space="preserve">múltiplos municípios;</w:t>
      </w:r>
    </w:p>
    <w:p>
      <w:pPr>
        <w:pStyle w:val="Compact"/>
        <w:numPr>
          <w:ilvl w:val="0"/>
          <w:numId w:val="1036"/>
        </w:numPr>
      </w:pPr>
      <w:r>
        <w:t xml:space="preserve">infraestrutura própria de novas estações;</w:t>
      </w:r>
    </w:p>
    <w:p>
      <w:pPr>
        <w:pStyle w:val="Compact"/>
        <w:numPr>
          <w:ilvl w:val="0"/>
          <w:numId w:val="1036"/>
        </w:numPr>
      </w:pPr>
      <w:r>
        <w:t xml:space="preserve">compra de sensores;</w:t>
      </w:r>
    </w:p>
    <w:p>
      <w:pPr>
        <w:pStyle w:val="Compact"/>
        <w:numPr>
          <w:ilvl w:val="0"/>
          <w:numId w:val="1036"/>
        </w:numPr>
      </w:pPr>
      <w:r>
        <w:t xml:space="preserve">previsão municipal automática de emissão oficial;</w:t>
      </w:r>
    </w:p>
    <w:p>
      <w:pPr>
        <w:pStyle w:val="Compact"/>
        <w:numPr>
          <w:ilvl w:val="0"/>
          <w:numId w:val="1036"/>
        </w:numPr>
      </w:pPr>
      <w:r>
        <w:t xml:space="preserve">nowcasting proprietário;</w:t>
      </w:r>
    </w:p>
    <w:p>
      <w:pPr>
        <w:pStyle w:val="Compact"/>
        <w:numPr>
          <w:ilvl w:val="0"/>
          <w:numId w:val="1036"/>
        </w:numPr>
      </w:pPr>
      <w:r>
        <w:t xml:space="preserve">ML decidindo alertas públicos;</w:t>
      </w:r>
    </w:p>
    <w:p>
      <w:pPr>
        <w:pStyle w:val="Compact"/>
        <w:numPr>
          <w:ilvl w:val="0"/>
          <w:numId w:val="1036"/>
        </w:numPr>
      </w:pPr>
      <w:r>
        <w:t xml:space="preserve">prontuário;</w:t>
      </w:r>
    </w:p>
    <w:p>
      <w:pPr>
        <w:pStyle w:val="Compact"/>
        <w:numPr>
          <w:ilvl w:val="0"/>
          <w:numId w:val="1036"/>
        </w:numPr>
      </w:pPr>
      <w:r>
        <w:t xml:space="preserve">banco nominal centralizado de saúde;</w:t>
      </w:r>
    </w:p>
    <w:p>
      <w:pPr>
        <w:pStyle w:val="Compact"/>
        <w:numPr>
          <w:ilvl w:val="0"/>
          <w:numId w:val="1036"/>
        </w:numPr>
      </w:pPr>
      <w:r>
        <w:t xml:space="preserve">despacho de viaturas;</w:t>
      </w:r>
    </w:p>
    <w:p>
      <w:pPr>
        <w:pStyle w:val="Compact"/>
        <w:numPr>
          <w:ilvl w:val="0"/>
          <w:numId w:val="1036"/>
        </w:numPr>
      </w:pPr>
      <w:r>
        <w:t xml:space="preserve">substituição dos sistemas dos Bombeiros;</w:t>
      </w:r>
    </w:p>
    <w:p>
      <w:pPr>
        <w:pStyle w:val="Compact"/>
        <w:numPr>
          <w:ilvl w:val="0"/>
          <w:numId w:val="1036"/>
        </w:numPr>
      </w:pPr>
      <w:r>
        <w:t xml:space="preserve">substituição de sistemas de Ouvidoria;</w:t>
      </w:r>
    </w:p>
    <w:p>
      <w:pPr>
        <w:pStyle w:val="Compact"/>
        <w:numPr>
          <w:ilvl w:val="0"/>
          <w:numId w:val="1036"/>
        </w:numPr>
      </w:pPr>
      <w:r>
        <w:t xml:space="preserve">climatologia completa nacional;</w:t>
      </w:r>
    </w:p>
    <w:p>
      <w:pPr>
        <w:pStyle w:val="Compact"/>
        <w:numPr>
          <w:ilvl w:val="0"/>
          <w:numId w:val="1036"/>
        </w:numPr>
      </w:pPr>
      <w:r>
        <w:t xml:space="preserve">digital twin urbano;</w:t>
      </w:r>
    </w:p>
    <w:p>
      <w:pPr>
        <w:pStyle w:val="Compact"/>
        <w:numPr>
          <w:ilvl w:val="0"/>
          <w:numId w:val="1036"/>
        </w:numPr>
      </w:pPr>
      <w:r>
        <w:t xml:space="preserve">Kubernetes obrigatório;</w:t>
      </w:r>
    </w:p>
    <w:p>
      <w:pPr>
        <w:pStyle w:val="Compact"/>
        <w:numPr>
          <w:ilvl w:val="0"/>
          <w:numId w:val="1036"/>
        </w:numPr>
      </w:pPr>
      <w:r>
        <w:t xml:space="preserve">arquitetura integral de microserviços.</w:t>
      </w:r>
    </w:p>
    <w:p>
      <w:pPr>
        <w:pStyle w:val="FirstParagraph"/>
      </w:pPr>
      <w:r>
        <w:t xml:space="preserve">Esses itens poderão ser previstos no roadmap, mas não devem ampliar artificialmente a primeira contratação.</w:t>
      </w:r>
    </w:p>
    <w:p>
      <w:r>
        <w:pict>
          <v:rect style="width:0;height:1.5pt" o:hralign="center" o:hrstd="t" o:hr="t"/>
        </w:pict>
      </w:r>
    </w:p>
    <w:bookmarkEnd w:id="63"/>
    <w:bookmarkStart w:id="68" w:name="arquitetura-obrigatória"/>
    <w:p>
      <w:pPr>
        <w:pStyle w:val="Heading1"/>
      </w:pPr>
      <w:r>
        <w:t xml:space="preserve">9. Arquitetura obrigatória</w:t>
      </w:r>
    </w:p>
    <w:bookmarkStart w:id="64" w:name="estratégia"/>
    <w:p>
      <w:pPr>
        <w:pStyle w:val="Heading2"/>
      </w:pPr>
      <w:r>
        <w:t xml:space="preserve">9.1 Estratégia</w:t>
      </w:r>
    </w:p>
    <w:p>
      <w:pPr>
        <w:pStyle w:val="FirstParagraph"/>
      </w:pPr>
      <w:r>
        <w:t xml:space="preserve">A solução deverá adotar inicialmente:</w:t>
      </w:r>
    </w:p>
    <w:p>
      <w:pPr>
        <w:pStyle w:val="Compact"/>
        <w:numPr>
          <w:ilvl w:val="0"/>
          <w:numId w:val="1037"/>
        </w:numPr>
      </w:pPr>
      <w:r>
        <w:t xml:space="preserve">monólito modular;</w:t>
      </w:r>
    </w:p>
    <w:p>
      <w:pPr>
        <w:pStyle w:val="Compact"/>
        <w:numPr>
          <w:ilvl w:val="0"/>
          <w:numId w:val="1037"/>
        </w:numPr>
      </w:pPr>
      <w:r>
        <w:t xml:space="preserve">APIs internas bem definidas;</w:t>
      </w:r>
    </w:p>
    <w:p>
      <w:pPr>
        <w:pStyle w:val="Compact"/>
        <w:numPr>
          <w:ilvl w:val="0"/>
          <w:numId w:val="1037"/>
        </w:numPr>
      </w:pPr>
      <w:r>
        <w:t xml:space="preserve">processamento assíncrono;</w:t>
      </w:r>
    </w:p>
    <w:p>
      <w:pPr>
        <w:pStyle w:val="Compact"/>
        <w:numPr>
          <w:ilvl w:val="0"/>
          <w:numId w:val="1037"/>
        </w:numPr>
      </w:pPr>
      <w:r>
        <w:t xml:space="preserve">arquitetura preparada para eventos;</w:t>
      </w:r>
    </w:p>
    <w:p>
      <w:pPr>
        <w:pStyle w:val="Compact"/>
        <w:numPr>
          <w:ilvl w:val="0"/>
          <w:numId w:val="1037"/>
        </w:numPr>
      </w:pPr>
      <w:r>
        <w:t xml:space="preserve">módulos desacoplados logicamente;</w:t>
      </w:r>
    </w:p>
    <w:p>
      <w:pPr>
        <w:pStyle w:val="Compact"/>
        <w:numPr>
          <w:ilvl w:val="0"/>
          <w:numId w:val="1037"/>
        </w:numPr>
      </w:pPr>
      <w:r>
        <w:t xml:space="preserve">banco geoespacial;</w:t>
      </w:r>
    </w:p>
    <w:p>
      <w:pPr>
        <w:pStyle w:val="Compact"/>
        <w:numPr>
          <w:ilvl w:val="0"/>
          <w:numId w:val="1037"/>
        </w:numPr>
      </w:pPr>
      <w:r>
        <w:t xml:space="preserve">armazenamento de objetos;</w:t>
      </w:r>
    </w:p>
    <w:p>
      <w:pPr>
        <w:pStyle w:val="Compact"/>
        <w:numPr>
          <w:ilvl w:val="0"/>
          <w:numId w:val="1037"/>
        </w:numPr>
      </w:pPr>
      <w:r>
        <w:t xml:space="preserve">observabilidade centralizada.</w:t>
      </w:r>
    </w:p>
    <w:bookmarkEnd w:id="64"/>
    <w:bookmarkStart w:id="65" w:name="componentes-mínimos"/>
    <w:p>
      <w:pPr>
        <w:pStyle w:val="Heading2"/>
      </w:pPr>
      <w:r>
        <w:t xml:space="preserve">9.2 Componentes mínimos</w:t>
      </w:r>
    </w:p>
    <w:p>
      <w:pPr>
        <w:pStyle w:val="Compact"/>
        <w:numPr>
          <w:ilvl w:val="0"/>
          <w:numId w:val="1038"/>
        </w:numPr>
      </w:pPr>
      <w:r>
        <w:t xml:space="preserve">frontend web responsivo;</w:t>
      </w:r>
    </w:p>
    <w:p>
      <w:pPr>
        <w:pStyle w:val="Compact"/>
        <w:numPr>
          <w:ilvl w:val="0"/>
          <w:numId w:val="1038"/>
        </w:numPr>
      </w:pPr>
      <w:r>
        <w:t xml:space="preserve">backend modular;</w:t>
      </w:r>
    </w:p>
    <w:p>
      <w:pPr>
        <w:pStyle w:val="Compact"/>
        <w:numPr>
          <w:ilvl w:val="0"/>
          <w:numId w:val="1038"/>
        </w:numPr>
      </w:pPr>
      <w:r>
        <w:t xml:space="preserve">banco relacional;</w:t>
      </w:r>
    </w:p>
    <w:p>
      <w:pPr>
        <w:pStyle w:val="Compact"/>
        <w:numPr>
          <w:ilvl w:val="0"/>
          <w:numId w:val="1038"/>
        </w:numPr>
      </w:pPr>
      <w:r>
        <w:t xml:space="preserve">extensão geoespacial;</w:t>
      </w:r>
    </w:p>
    <w:p>
      <w:pPr>
        <w:pStyle w:val="Compact"/>
        <w:numPr>
          <w:ilvl w:val="0"/>
          <w:numId w:val="1038"/>
        </w:numPr>
      </w:pPr>
      <w:r>
        <w:t xml:space="preserve">mecanismo de séries temporais;</w:t>
      </w:r>
    </w:p>
    <w:p>
      <w:pPr>
        <w:pStyle w:val="Compact"/>
        <w:numPr>
          <w:ilvl w:val="0"/>
          <w:numId w:val="1038"/>
        </w:numPr>
      </w:pPr>
      <w:r>
        <w:t xml:space="preserve">armazenamento de arquivos;</w:t>
      </w:r>
    </w:p>
    <w:p>
      <w:pPr>
        <w:pStyle w:val="Compact"/>
        <w:numPr>
          <w:ilvl w:val="0"/>
          <w:numId w:val="1038"/>
        </w:numPr>
      </w:pPr>
      <w:r>
        <w:t xml:space="preserve">cache;</w:t>
      </w:r>
    </w:p>
    <w:p>
      <w:pPr>
        <w:pStyle w:val="Compact"/>
        <w:numPr>
          <w:ilvl w:val="0"/>
          <w:numId w:val="1038"/>
        </w:numPr>
      </w:pPr>
      <w:r>
        <w:t xml:space="preserve">orquestrador de ingestões;</w:t>
      </w:r>
    </w:p>
    <w:p>
      <w:pPr>
        <w:pStyle w:val="Compact"/>
        <w:numPr>
          <w:ilvl w:val="0"/>
          <w:numId w:val="1038"/>
        </w:numPr>
      </w:pPr>
      <w:r>
        <w:t xml:space="preserve">servidor de mapas;</w:t>
      </w:r>
    </w:p>
    <w:p>
      <w:pPr>
        <w:pStyle w:val="Compact"/>
        <w:numPr>
          <w:ilvl w:val="0"/>
          <w:numId w:val="1038"/>
        </w:numPr>
      </w:pPr>
      <w:r>
        <w:t xml:space="preserve">identidade;</w:t>
      </w:r>
    </w:p>
    <w:p>
      <w:pPr>
        <w:pStyle w:val="Compact"/>
        <w:numPr>
          <w:ilvl w:val="0"/>
          <w:numId w:val="1038"/>
        </w:numPr>
      </w:pPr>
      <w:r>
        <w:t xml:space="preserve">monitoramento;</w:t>
      </w:r>
    </w:p>
    <w:p>
      <w:pPr>
        <w:pStyle w:val="Compact"/>
        <w:numPr>
          <w:ilvl w:val="0"/>
          <w:numId w:val="1038"/>
        </w:numPr>
      </w:pPr>
      <w:r>
        <w:t xml:space="preserve">backup.</w:t>
      </w:r>
    </w:p>
    <w:bookmarkEnd w:id="65"/>
    <w:bookmarkStart w:id="66" w:name="neutralidade-tecnológica"/>
    <w:p>
      <w:pPr>
        <w:pStyle w:val="Heading2"/>
      </w:pPr>
      <w:r>
        <w:t xml:space="preserve">9.3 Neutralidade tecnológica</w:t>
      </w:r>
    </w:p>
    <w:p>
      <w:pPr>
        <w:pStyle w:val="FirstParagraph"/>
      </w:pPr>
      <w:r>
        <w:t xml:space="preserve">As tecnologias citadas na arquitetura de referência deverão ser entendidas como exemplos ou equivalentes, salvo se o ETP comprovar necessidade de padronização.</w:t>
      </w:r>
    </w:p>
    <w:p>
      <w:pPr>
        <w:pStyle w:val="BodyText"/>
      </w:pPr>
      <w:r>
        <w:t xml:space="preserve">Os requisitos deverão ser formulados por:</w:t>
      </w:r>
    </w:p>
    <w:p>
      <w:pPr>
        <w:pStyle w:val="Compact"/>
        <w:numPr>
          <w:ilvl w:val="0"/>
          <w:numId w:val="1039"/>
        </w:numPr>
      </w:pPr>
      <w:r>
        <w:t xml:space="preserve">capacidade;</w:t>
      </w:r>
    </w:p>
    <w:p>
      <w:pPr>
        <w:pStyle w:val="Compact"/>
        <w:numPr>
          <w:ilvl w:val="0"/>
          <w:numId w:val="1039"/>
        </w:numPr>
      </w:pPr>
      <w:r>
        <w:t xml:space="preserve">desempenho;</w:t>
      </w:r>
    </w:p>
    <w:p>
      <w:pPr>
        <w:pStyle w:val="Compact"/>
        <w:numPr>
          <w:ilvl w:val="0"/>
          <w:numId w:val="1039"/>
        </w:numPr>
      </w:pPr>
      <w:r>
        <w:t xml:space="preserve">interoperabilidade;</w:t>
      </w:r>
    </w:p>
    <w:p>
      <w:pPr>
        <w:pStyle w:val="Compact"/>
        <w:numPr>
          <w:ilvl w:val="0"/>
          <w:numId w:val="1039"/>
        </w:numPr>
      </w:pPr>
      <w:r>
        <w:t xml:space="preserve">segurança;</w:t>
      </w:r>
    </w:p>
    <w:p>
      <w:pPr>
        <w:pStyle w:val="Compact"/>
        <w:numPr>
          <w:ilvl w:val="0"/>
          <w:numId w:val="1039"/>
        </w:numPr>
      </w:pPr>
      <w:r>
        <w:t xml:space="preserve">manutenção;</w:t>
      </w:r>
    </w:p>
    <w:p>
      <w:pPr>
        <w:pStyle w:val="Compact"/>
        <w:numPr>
          <w:ilvl w:val="0"/>
          <w:numId w:val="1039"/>
        </w:numPr>
      </w:pPr>
      <w:r>
        <w:t xml:space="preserve">resultados.</w:t>
      </w:r>
    </w:p>
    <w:p>
      <w:pPr>
        <w:pStyle w:val="FirstParagraph"/>
      </w:pPr>
      <w:r>
        <w:t xml:space="preserve">O TCU recomenda que os requisitos não incluam exigências excessivas, desnecessárias ou irrelevantes; eventual indicação de marca exige justificativa técnica específica.</w:t>
      </w:r>
    </w:p>
    <w:bookmarkEnd w:id="66"/>
    <w:bookmarkStart w:id="67" w:name="padrões-abertos"/>
    <w:p>
      <w:pPr>
        <w:pStyle w:val="Heading2"/>
      </w:pPr>
      <w:r>
        <w:t xml:space="preserve">9.4 Padrões abertos</w:t>
      </w:r>
    </w:p>
    <w:p>
      <w:pPr>
        <w:pStyle w:val="FirstParagraph"/>
      </w:pPr>
      <w:r>
        <w:t xml:space="preserve">A solução deverá adotar, quando aplicável:</w:t>
      </w:r>
    </w:p>
    <w:p>
      <w:pPr>
        <w:pStyle w:val="Compact"/>
        <w:numPr>
          <w:ilvl w:val="0"/>
          <w:numId w:val="1040"/>
        </w:numPr>
      </w:pPr>
      <w:r>
        <w:t xml:space="preserve">REST;</w:t>
      </w:r>
    </w:p>
    <w:p>
      <w:pPr>
        <w:pStyle w:val="Compact"/>
        <w:numPr>
          <w:ilvl w:val="0"/>
          <w:numId w:val="1040"/>
        </w:numPr>
      </w:pPr>
      <w:r>
        <w:t xml:space="preserve">OpenAPI;</w:t>
      </w:r>
    </w:p>
    <w:p>
      <w:pPr>
        <w:pStyle w:val="Compact"/>
        <w:numPr>
          <w:ilvl w:val="0"/>
          <w:numId w:val="1040"/>
        </w:numPr>
      </w:pPr>
      <w:r>
        <w:t xml:space="preserve">JSON;</w:t>
      </w:r>
    </w:p>
    <w:p>
      <w:pPr>
        <w:pStyle w:val="Compact"/>
        <w:numPr>
          <w:ilvl w:val="0"/>
          <w:numId w:val="1040"/>
        </w:numPr>
      </w:pPr>
      <w:r>
        <w:t xml:space="preserve">CSV;</w:t>
      </w:r>
    </w:p>
    <w:p>
      <w:pPr>
        <w:pStyle w:val="Compact"/>
        <w:numPr>
          <w:ilvl w:val="0"/>
          <w:numId w:val="1040"/>
        </w:numPr>
      </w:pPr>
      <w:r>
        <w:t xml:space="preserve">GeoJSON;</w:t>
      </w:r>
    </w:p>
    <w:p>
      <w:pPr>
        <w:pStyle w:val="Compact"/>
        <w:numPr>
          <w:ilvl w:val="0"/>
          <w:numId w:val="1040"/>
        </w:numPr>
      </w:pPr>
      <w:r>
        <w:t xml:space="preserve">OGC API;</w:t>
      </w:r>
    </w:p>
    <w:p>
      <w:pPr>
        <w:pStyle w:val="Compact"/>
        <w:numPr>
          <w:ilvl w:val="0"/>
          <w:numId w:val="1040"/>
        </w:numPr>
      </w:pPr>
      <w:r>
        <w:t xml:space="preserve">WMS;</w:t>
      </w:r>
    </w:p>
    <w:p>
      <w:pPr>
        <w:pStyle w:val="Compact"/>
        <w:numPr>
          <w:ilvl w:val="0"/>
          <w:numId w:val="1040"/>
        </w:numPr>
      </w:pPr>
      <w:r>
        <w:t xml:space="preserve">WFS;</w:t>
      </w:r>
    </w:p>
    <w:p>
      <w:pPr>
        <w:pStyle w:val="Compact"/>
        <w:numPr>
          <w:ilvl w:val="0"/>
          <w:numId w:val="1040"/>
        </w:numPr>
      </w:pPr>
      <w:r>
        <w:t xml:space="preserve">formatos geoespaciais abertos;</w:t>
      </w:r>
    </w:p>
    <w:p>
      <w:pPr>
        <w:pStyle w:val="Compact"/>
        <w:numPr>
          <w:ilvl w:val="0"/>
          <w:numId w:val="1040"/>
        </w:numPr>
      </w:pPr>
      <w:r>
        <w:t xml:space="preserve">padrões públicos de autenticação;</w:t>
      </w:r>
    </w:p>
    <w:p>
      <w:pPr>
        <w:pStyle w:val="Compact"/>
        <w:numPr>
          <w:ilvl w:val="0"/>
          <w:numId w:val="1040"/>
        </w:numPr>
      </w:pPr>
      <w:r>
        <w:t xml:space="preserve">documentação legível por máquina.</w:t>
      </w:r>
    </w:p>
    <w:p>
      <w:pPr>
        <w:pStyle w:val="FirstParagraph"/>
      </w:pPr>
      <w:r>
        <w:t xml:space="preserve">A e-PING poderá ser utilizada como referência de interoperabilidade entre governo, sociedade e outros sistemas, observada sua adequação ao contexto municipal.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93" w:name="entregáveis"/>
    <w:p>
      <w:pPr>
        <w:pStyle w:val="Heading1"/>
      </w:pPr>
      <w:r>
        <w:t xml:space="preserve">10. Entregáveis</w:t>
      </w:r>
    </w:p>
    <w:bookmarkStart w:id="70" w:name="d01-plano-executivo-e-descoberta"/>
    <w:p>
      <w:pPr>
        <w:pStyle w:val="Heading2"/>
      </w:pPr>
      <w:r>
        <w:t xml:space="preserve">D01 — Plano executivo e descoberta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41"/>
        </w:numPr>
      </w:pPr>
      <w:r>
        <w:t xml:space="preserve">plano de trabalho;</w:t>
      </w:r>
    </w:p>
    <w:p>
      <w:pPr>
        <w:pStyle w:val="Compact"/>
        <w:numPr>
          <w:ilvl w:val="0"/>
          <w:numId w:val="1041"/>
        </w:numPr>
      </w:pPr>
      <w:r>
        <w:t xml:space="preserve">governança;</w:t>
      </w:r>
    </w:p>
    <w:p>
      <w:pPr>
        <w:pStyle w:val="Compact"/>
        <w:numPr>
          <w:ilvl w:val="0"/>
          <w:numId w:val="1041"/>
        </w:numPr>
      </w:pPr>
      <w:r>
        <w:t xml:space="preserve">cronograma;</w:t>
      </w:r>
    </w:p>
    <w:p>
      <w:pPr>
        <w:pStyle w:val="Compact"/>
        <w:numPr>
          <w:ilvl w:val="0"/>
          <w:numId w:val="1041"/>
        </w:numPr>
      </w:pPr>
      <w:r>
        <w:t xml:space="preserve">mapa de stakeholders;</w:t>
      </w:r>
    </w:p>
    <w:p>
      <w:pPr>
        <w:pStyle w:val="Compact"/>
        <w:numPr>
          <w:ilvl w:val="0"/>
          <w:numId w:val="1041"/>
        </w:numPr>
      </w:pPr>
      <w:r>
        <w:t xml:space="preserve">inventário inicial;</w:t>
      </w:r>
    </w:p>
    <w:p>
      <w:pPr>
        <w:pStyle w:val="Compact"/>
        <w:numPr>
          <w:ilvl w:val="0"/>
          <w:numId w:val="1041"/>
        </w:numPr>
      </w:pPr>
      <w:r>
        <w:t xml:space="preserve">riscos;</w:t>
      </w:r>
    </w:p>
    <w:p>
      <w:pPr>
        <w:pStyle w:val="Compact"/>
        <w:numPr>
          <w:ilvl w:val="0"/>
          <w:numId w:val="1041"/>
        </w:numPr>
      </w:pPr>
      <w:r>
        <w:t xml:space="preserve">ambientes;</w:t>
      </w:r>
    </w:p>
    <w:p>
      <w:pPr>
        <w:pStyle w:val="Compact"/>
        <w:numPr>
          <w:ilvl w:val="0"/>
          <w:numId w:val="1041"/>
        </w:numPr>
      </w:pPr>
      <w:r>
        <w:t xml:space="preserve">backlog;</w:t>
      </w:r>
    </w:p>
    <w:p>
      <w:pPr>
        <w:pStyle w:val="Compact"/>
        <w:numPr>
          <w:ilvl w:val="0"/>
          <w:numId w:val="1041"/>
        </w:numPr>
      </w:pPr>
      <w:r>
        <w:t xml:space="preserve">plano de comunicação;</w:t>
      </w:r>
    </w:p>
    <w:p>
      <w:pPr>
        <w:pStyle w:val="Compact"/>
        <w:numPr>
          <w:ilvl w:val="0"/>
          <w:numId w:val="1041"/>
        </w:numPr>
      </w:pPr>
      <w:r>
        <w:t xml:space="preserve">critérios de aceite detalhados.</w:t>
      </w:r>
    </w:p>
    <w:bookmarkStart w:id="69" w:name="evidências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42"/>
        </w:numPr>
      </w:pPr>
      <w:r>
        <w:t xml:space="preserve">documento aprovado;</w:t>
      </w:r>
    </w:p>
    <w:p>
      <w:pPr>
        <w:pStyle w:val="Compact"/>
        <w:numPr>
          <w:ilvl w:val="0"/>
          <w:numId w:val="1042"/>
        </w:numPr>
      </w:pPr>
      <w:r>
        <w:t xml:space="preserve">oficinas realizadas;</w:t>
      </w:r>
    </w:p>
    <w:p>
      <w:pPr>
        <w:pStyle w:val="Compact"/>
        <w:numPr>
          <w:ilvl w:val="0"/>
          <w:numId w:val="1042"/>
        </w:numPr>
      </w:pPr>
      <w:r>
        <w:t xml:space="preserve">atas;</w:t>
      </w:r>
    </w:p>
    <w:p>
      <w:pPr>
        <w:pStyle w:val="Compact"/>
        <w:numPr>
          <w:ilvl w:val="0"/>
          <w:numId w:val="1042"/>
        </w:numPr>
      </w:pPr>
      <w:r>
        <w:t xml:space="preserve">backlog priorizado;</w:t>
      </w:r>
    </w:p>
    <w:p>
      <w:pPr>
        <w:pStyle w:val="Compact"/>
        <w:numPr>
          <w:ilvl w:val="0"/>
          <w:numId w:val="1042"/>
        </w:numPr>
      </w:pPr>
      <w:r>
        <w:t xml:space="preserve">mapa de riscos;</w:t>
      </w:r>
    </w:p>
    <w:p>
      <w:pPr>
        <w:pStyle w:val="Compact"/>
        <w:numPr>
          <w:ilvl w:val="0"/>
          <w:numId w:val="1042"/>
        </w:numPr>
      </w:pPr>
      <w:r>
        <w:t xml:space="preserve">arquitetura inicial.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d02-arquitetura-e-fundação"/>
    <w:p>
      <w:pPr>
        <w:pStyle w:val="Heading2"/>
      </w:pPr>
      <w:r>
        <w:t xml:space="preserve">D02 — Arquitetura e fundação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43"/>
        </w:numPr>
      </w:pPr>
      <w:r>
        <w:t xml:space="preserve">arquitetura C4;</w:t>
      </w:r>
    </w:p>
    <w:p>
      <w:pPr>
        <w:pStyle w:val="Compact"/>
        <w:numPr>
          <w:ilvl w:val="0"/>
          <w:numId w:val="1043"/>
        </w:numPr>
      </w:pPr>
      <w:r>
        <w:t xml:space="preserve">modelo de dados;</w:t>
      </w:r>
    </w:p>
    <w:p>
      <w:pPr>
        <w:pStyle w:val="Compact"/>
        <w:numPr>
          <w:ilvl w:val="0"/>
          <w:numId w:val="1043"/>
        </w:numPr>
      </w:pPr>
      <w:r>
        <w:t xml:space="preserve">ambientes;</w:t>
      </w:r>
    </w:p>
    <w:p>
      <w:pPr>
        <w:pStyle w:val="Compact"/>
        <w:numPr>
          <w:ilvl w:val="0"/>
          <w:numId w:val="1043"/>
        </w:numPr>
      </w:pPr>
      <w:r>
        <w:t xml:space="preserve">CI/CD;</w:t>
      </w:r>
    </w:p>
    <w:p>
      <w:pPr>
        <w:pStyle w:val="Compact"/>
        <w:numPr>
          <w:ilvl w:val="0"/>
          <w:numId w:val="1043"/>
        </w:numPr>
      </w:pPr>
      <w:r>
        <w:t xml:space="preserve">identidade;</w:t>
      </w:r>
    </w:p>
    <w:p>
      <w:pPr>
        <w:pStyle w:val="Compact"/>
        <w:numPr>
          <w:ilvl w:val="0"/>
          <w:numId w:val="1043"/>
        </w:numPr>
      </w:pPr>
      <w:r>
        <w:t xml:space="preserve">repositórios;</w:t>
      </w:r>
    </w:p>
    <w:p>
      <w:pPr>
        <w:pStyle w:val="Compact"/>
        <w:numPr>
          <w:ilvl w:val="0"/>
          <w:numId w:val="1043"/>
        </w:numPr>
      </w:pPr>
      <w:r>
        <w:t xml:space="preserve">logs;</w:t>
      </w:r>
    </w:p>
    <w:p>
      <w:pPr>
        <w:pStyle w:val="Compact"/>
        <w:numPr>
          <w:ilvl w:val="0"/>
          <w:numId w:val="1043"/>
        </w:numPr>
      </w:pPr>
      <w:r>
        <w:t xml:space="preserve">backup;</w:t>
      </w:r>
    </w:p>
    <w:p>
      <w:pPr>
        <w:pStyle w:val="Compact"/>
        <w:numPr>
          <w:ilvl w:val="0"/>
          <w:numId w:val="1043"/>
        </w:numPr>
      </w:pPr>
      <w:r>
        <w:t xml:space="preserve">gestão de segredos.</w:t>
      </w:r>
    </w:p>
    <w:bookmarkStart w:id="71" w:name="evidências-1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44"/>
        </w:numPr>
      </w:pPr>
      <w:r>
        <w:t xml:space="preserve">ambientes acessíveis;</w:t>
      </w:r>
    </w:p>
    <w:p>
      <w:pPr>
        <w:pStyle w:val="Compact"/>
        <w:numPr>
          <w:ilvl w:val="0"/>
          <w:numId w:val="1044"/>
        </w:numPr>
      </w:pPr>
      <w:r>
        <w:t xml:space="preserve">pipelines executados;</w:t>
      </w:r>
    </w:p>
    <w:p>
      <w:pPr>
        <w:pStyle w:val="Compact"/>
        <w:numPr>
          <w:ilvl w:val="0"/>
          <w:numId w:val="1044"/>
        </w:numPr>
      </w:pPr>
      <w:r>
        <w:t xml:space="preserve">restauração testada;</w:t>
      </w:r>
    </w:p>
    <w:p>
      <w:pPr>
        <w:pStyle w:val="Compact"/>
        <w:numPr>
          <w:ilvl w:val="0"/>
          <w:numId w:val="1044"/>
        </w:numPr>
      </w:pPr>
      <w:r>
        <w:t xml:space="preserve">repositório municipal;</w:t>
      </w:r>
    </w:p>
    <w:p>
      <w:pPr>
        <w:pStyle w:val="Compact"/>
        <w:numPr>
          <w:ilvl w:val="0"/>
          <w:numId w:val="1044"/>
        </w:numPr>
      </w:pPr>
      <w:r>
        <w:t xml:space="preserve">documentação.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X6daa8904897a490796a8c6760ffc8a11fe06158"/>
    <w:p>
      <w:pPr>
        <w:pStyle w:val="Heading2"/>
      </w:pPr>
      <w:r>
        <w:t xml:space="preserve">D03 — Catálogo, ingestão e armazenamento bruto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45"/>
        </w:numPr>
      </w:pPr>
      <w:r>
        <w:t xml:space="preserve">catálogo;</w:t>
      </w:r>
    </w:p>
    <w:p>
      <w:pPr>
        <w:pStyle w:val="Compact"/>
        <w:numPr>
          <w:ilvl w:val="0"/>
          <w:numId w:val="1045"/>
        </w:numPr>
      </w:pPr>
      <w:r>
        <w:t xml:space="preserve">conectores iniciais;</w:t>
      </w:r>
    </w:p>
    <w:p>
      <w:pPr>
        <w:pStyle w:val="Compact"/>
        <w:numPr>
          <w:ilvl w:val="0"/>
          <w:numId w:val="1045"/>
        </w:numPr>
      </w:pPr>
      <w:r>
        <w:t xml:space="preserve">ingestão;</w:t>
      </w:r>
    </w:p>
    <w:p>
      <w:pPr>
        <w:pStyle w:val="Compact"/>
        <w:numPr>
          <w:ilvl w:val="0"/>
          <w:numId w:val="1045"/>
        </w:numPr>
      </w:pPr>
      <w:r>
        <w:t xml:space="preserve">preservação de payload;</w:t>
      </w:r>
    </w:p>
    <w:p>
      <w:pPr>
        <w:pStyle w:val="Compact"/>
        <w:numPr>
          <w:ilvl w:val="0"/>
          <w:numId w:val="1045"/>
        </w:numPr>
      </w:pPr>
      <w:r>
        <w:t xml:space="preserve">monitoramento;</w:t>
      </w:r>
    </w:p>
    <w:p>
      <w:pPr>
        <w:pStyle w:val="Compact"/>
        <w:numPr>
          <w:ilvl w:val="0"/>
          <w:numId w:val="1045"/>
        </w:numPr>
      </w:pPr>
      <w:r>
        <w:t xml:space="preserve">reprocessamento.</w:t>
      </w:r>
    </w:p>
    <w:bookmarkStart w:id="73" w:name="evidências-2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46"/>
        </w:numPr>
      </w:pPr>
      <w:r>
        <w:t xml:space="preserve">coleta real;</w:t>
      </w:r>
    </w:p>
    <w:p>
      <w:pPr>
        <w:pStyle w:val="Compact"/>
        <w:numPr>
          <w:ilvl w:val="0"/>
          <w:numId w:val="1046"/>
        </w:numPr>
      </w:pPr>
      <w:r>
        <w:t xml:space="preserve">hash;</w:t>
      </w:r>
    </w:p>
    <w:p>
      <w:pPr>
        <w:pStyle w:val="Compact"/>
        <w:numPr>
          <w:ilvl w:val="0"/>
          <w:numId w:val="1046"/>
        </w:numPr>
      </w:pPr>
      <w:r>
        <w:t xml:space="preserve">origem;</w:t>
      </w:r>
    </w:p>
    <w:p>
      <w:pPr>
        <w:pStyle w:val="Compact"/>
        <w:numPr>
          <w:ilvl w:val="0"/>
          <w:numId w:val="1046"/>
        </w:numPr>
      </w:pPr>
      <w:r>
        <w:t xml:space="preserve">registros;</w:t>
      </w:r>
    </w:p>
    <w:p>
      <w:pPr>
        <w:pStyle w:val="Compact"/>
        <w:numPr>
          <w:ilvl w:val="0"/>
          <w:numId w:val="1046"/>
        </w:numPr>
      </w:pPr>
      <w:r>
        <w:t xml:space="preserve">falha simulada;</w:t>
      </w:r>
    </w:p>
    <w:p>
      <w:pPr>
        <w:pStyle w:val="Compact"/>
        <w:numPr>
          <w:ilvl w:val="0"/>
          <w:numId w:val="1046"/>
        </w:numPr>
      </w:pPr>
      <w:r>
        <w:t xml:space="preserve">recuperação;</w:t>
      </w:r>
    </w:p>
    <w:p>
      <w:pPr>
        <w:pStyle w:val="Compact"/>
        <w:numPr>
          <w:ilvl w:val="0"/>
          <w:numId w:val="1046"/>
        </w:numPr>
      </w:pPr>
      <w:r>
        <w:t xml:space="preserve">ausência de duplicidade.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d04-estações-observações-e-qualidade"/>
    <w:p>
      <w:pPr>
        <w:pStyle w:val="Heading2"/>
      </w:pPr>
      <w:r>
        <w:t xml:space="preserve">D04 — Estações, observações e qualidade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47"/>
        </w:numPr>
      </w:pPr>
      <w:r>
        <w:t xml:space="preserve">cadastro de estações;</w:t>
      </w:r>
    </w:p>
    <w:p>
      <w:pPr>
        <w:pStyle w:val="Compact"/>
        <w:numPr>
          <w:ilvl w:val="0"/>
          <w:numId w:val="1047"/>
        </w:numPr>
      </w:pPr>
      <w:r>
        <w:t xml:space="preserve">sensores;</w:t>
      </w:r>
    </w:p>
    <w:p>
      <w:pPr>
        <w:pStyle w:val="Compact"/>
        <w:numPr>
          <w:ilvl w:val="0"/>
          <w:numId w:val="1047"/>
        </w:numPr>
      </w:pPr>
      <w:r>
        <w:t xml:space="preserve">séries;</w:t>
      </w:r>
    </w:p>
    <w:p>
      <w:pPr>
        <w:pStyle w:val="Compact"/>
        <w:numPr>
          <w:ilvl w:val="0"/>
          <w:numId w:val="1047"/>
        </w:numPr>
      </w:pPr>
      <w:r>
        <w:t xml:space="preserve">regras;</w:t>
      </w:r>
    </w:p>
    <w:p>
      <w:pPr>
        <w:pStyle w:val="Compact"/>
        <w:numPr>
          <w:ilvl w:val="0"/>
          <w:numId w:val="1047"/>
        </w:numPr>
      </w:pPr>
      <w:r>
        <w:t xml:space="preserve">revisão;</w:t>
      </w:r>
    </w:p>
    <w:p>
      <w:pPr>
        <w:pStyle w:val="Compact"/>
        <w:numPr>
          <w:ilvl w:val="0"/>
          <w:numId w:val="1047"/>
        </w:numPr>
      </w:pPr>
      <w:r>
        <w:t xml:space="preserve">completude;</w:t>
      </w:r>
    </w:p>
    <w:p>
      <w:pPr>
        <w:pStyle w:val="Compact"/>
        <w:numPr>
          <w:ilvl w:val="0"/>
          <w:numId w:val="1047"/>
        </w:numPr>
      </w:pPr>
      <w:r>
        <w:t xml:space="preserve">estado operacional.</w:t>
      </w:r>
    </w:p>
    <w:bookmarkStart w:id="75" w:name="evidências-3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48"/>
        </w:numPr>
      </w:pPr>
      <w:r>
        <w:t xml:space="preserve">dados reais;</w:t>
      </w:r>
    </w:p>
    <w:p>
      <w:pPr>
        <w:pStyle w:val="Compact"/>
        <w:numPr>
          <w:ilvl w:val="0"/>
          <w:numId w:val="1048"/>
        </w:numPr>
      </w:pPr>
      <w:r>
        <w:t xml:space="preserve">lacunas visíveis;</w:t>
      </w:r>
    </w:p>
    <w:p>
      <w:pPr>
        <w:pStyle w:val="Compact"/>
        <w:numPr>
          <w:ilvl w:val="0"/>
          <w:numId w:val="1048"/>
        </w:numPr>
      </w:pPr>
      <w:r>
        <w:t xml:space="preserve">dado zero corretamente tratado;</w:t>
      </w:r>
    </w:p>
    <w:p>
      <w:pPr>
        <w:pStyle w:val="Compact"/>
        <w:numPr>
          <w:ilvl w:val="0"/>
          <w:numId w:val="1048"/>
        </w:numPr>
      </w:pPr>
      <w:r>
        <w:t xml:space="preserve">sensor atrasado identificado;</w:t>
      </w:r>
    </w:p>
    <w:p>
      <w:pPr>
        <w:pStyle w:val="Compact"/>
        <w:numPr>
          <w:ilvl w:val="0"/>
          <w:numId w:val="1048"/>
        </w:numPr>
      </w:pPr>
      <w:r>
        <w:t xml:space="preserve">regra versionada;</w:t>
      </w:r>
    </w:p>
    <w:p>
      <w:pPr>
        <w:pStyle w:val="Compact"/>
        <w:numPr>
          <w:ilvl w:val="0"/>
          <w:numId w:val="1048"/>
        </w:numPr>
      </w:pPr>
      <w:r>
        <w:t xml:space="preserve">revisão registrada.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8" w:name="d05-alertas-ocorrências-e-protocolos"/>
    <w:p>
      <w:pPr>
        <w:pStyle w:val="Heading2"/>
      </w:pPr>
      <w:r>
        <w:t xml:space="preserve">D05 — Alertas, ocorrências e protocolos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49"/>
        </w:numPr>
      </w:pPr>
      <w:r>
        <w:t xml:space="preserve">alertas oficiais;</w:t>
      </w:r>
    </w:p>
    <w:p>
      <w:pPr>
        <w:pStyle w:val="Compact"/>
        <w:numPr>
          <w:ilvl w:val="0"/>
          <w:numId w:val="1049"/>
        </w:numPr>
      </w:pPr>
      <w:r>
        <w:t xml:space="preserve">ocorrências;</w:t>
      </w:r>
    </w:p>
    <w:p>
      <w:pPr>
        <w:pStyle w:val="Compact"/>
        <w:numPr>
          <w:ilvl w:val="0"/>
          <w:numId w:val="1049"/>
        </w:numPr>
      </w:pPr>
      <w:r>
        <w:t xml:space="preserve">confirmação;</w:t>
      </w:r>
    </w:p>
    <w:p>
      <w:pPr>
        <w:pStyle w:val="Compact"/>
        <w:numPr>
          <w:ilvl w:val="0"/>
          <w:numId w:val="1049"/>
        </w:numPr>
      </w:pPr>
      <w:r>
        <w:t xml:space="preserve">incidentes;</w:t>
      </w:r>
    </w:p>
    <w:p>
      <w:pPr>
        <w:pStyle w:val="Compact"/>
        <w:numPr>
          <w:ilvl w:val="0"/>
          <w:numId w:val="1049"/>
        </w:numPr>
      </w:pPr>
      <w:r>
        <w:t xml:space="preserve">ações;</w:t>
      </w:r>
    </w:p>
    <w:p>
      <w:pPr>
        <w:pStyle w:val="Compact"/>
        <w:numPr>
          <w:ilvl w:val="0"/>
          <w:numId w:val="1049"/>
        </w:numPr>
      </w:pPr>
      <w:r>
        <w:t xml:space="preserve">protocolos;</w:t>
      </w:r>
    </w:p>
    <w:p>
      <w:pPr>
        <w:pStyle w:val="Compact"/>
        <w:numPr>
          <w:ilvl w:val="0"/>
          <w:numId w:val="1049"/>
        </w:numPr>
      </w:pPr>
      <w:r>
        <w:t xml:space="preserve">ativação;</w:t>
      </w:r>
    </w:p>
    <w:p>
      <w:pPr>
        <w:pStyle w:val="Compact"/>
        <w:numPr>
          <w:ilvl w:val="0"/>
          <w:numId w:val="1049"/>
        </w:numPr>
      </w:pPr>
      <w:r>
        <w:t xml:space="preserve">encerramento.</w:t>
      </w:r>
    </w:p>
    <w:bookmarkStart w:id="77" w:name="evidências-4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50"/>
        </w:numPr>
      </w:pPr>
      <w:r>
        <w:t xml:space="preserve">cenário completo de teste;</w:t>
      </w:r>
    </w:p>
    <w:p>
      <w:pPr>
        <w:pStyle w:val="Compact"/>
        <w:numPr>
          <w:ilvl w:val="0"/>
          <w:numId w:val="1050"/>
        </w:numPr>
      </w:pPr>
      <w:r>
        <w:t xml:space="preserve">trilha de aprovação;</w:t>
      </w:r>
    </w:p>
    <w:p>
      <w:pPr>
        <w:pStyle w:val="Compact"/>
        <w:numPr>
          <w:ilvl w:val="0"/>
          <w:numId w:val="1050"/>
        </w:numPr>
      </w:pPr>
      <w:r>
        <w:t xml:space="preserve">evidência congelada;</w:t>
      </w:r>
    </w:p>
    <w:p>
      <w:pPr>
        <w:pStyle w:val="Compact"/>
        <w:numPr>
          <w:ilvl w:val="0"/>
          <w:numId w:val="1050"/>
        </w:numPr>
      </w:pPr>
      <w:r>
        <w:t xml:space="preserve">ações geradas;</w:t>
      </w:r>
    </w:p>
    <w:p>
      <w:pPr>
        <w:pStyle w:val="Compact"/>
        <w:numPr>
          <w:ilvl w:val="0"/>
          <w:numId w:val="1050"/>
        </w:numPr>
      </w:pPr>
      <w:r>
        <w:t xml:space="preserve">relatório final.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0" w:name="d06-recomendações-e-comunicação"/>
    <w:p>
      <w:pPr>
        <w:pStyle w:val="Heading2"/>
      </w:pPr>
      <w:r>
        <w:t xml:space="preserve">D06 — Recomendações e comunicação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51"/>
        </w:numPr>
      </w:pPr>
      <w:r>
        <w:t xml:space="preserve">cadastro;</w:t>
      </w:r>
    </w:p>
    <w:p>
      <w:pPr>
        <w:pStyle w:val="Compact"/>
        <w:numPr>
          <w:ilvl w:val="0"/>
          <w:numId w:val="1051"/>
        </w:numPr>
      </w:pPr>
      <w:r>
        <w:t xml:space="preserve">versionamento;</w:t>
      </w:r>
    </w:p>
    <w:p>
      <w:pPr>
        <w:pStyle w:val="Compact"/>
        <w:numPr>
          <w:ilvl w:val="0"/>
          <w:numId w:val="1051"/>
        </w:numPr>
      </w:pPr>
      <w:r>
        <w:t xml:space="preserve">revisão;</w:t>
      </w:r>
    </w:p>
    <w:p>
      <w:pPr>
        <w:pStyle w:val="Compact"/>
        <w:numPr>
          <w:ilvl w:val="0"/>
          <w:numId w:val="1051"/>
        </w:numPr>
      </w:pPr>
      <w:r>
        <w:t xml:space="preserve">aprovação;</w:t>
      </w:r>
    </w:p>
    <w:p>
      <w:pPr>
        <w:pStyle w:val="Compact"/>
        <w:numPr>
          <w:ilvl w:val="0"/>
          <w:numId w:val="1051"/>
        </w:numPr>
      </w:pPr>
      <w:r>
        <w:t xml:space="preserve">publicação;</w:t>
      </w:r>
    </w:p>
    <w:p>
      <w:pPr>
        <w:pStyle w:val="Compact"/>
        <w:numPr>
          <w:ilvl w:val="0"/>
          <w:numId w:val="1051"/>
        </w:numPr>
      </w:pPr>
      <w:r>
        <w:t xml:space="preserve">modelos de mensagem;</w:t>
      </w:r>
    </w:p>
    <w:p>
      <w:pPr>
        <w:pStyle w:val="Compact"/>
        <w:numPr>
          <w:ilvl w:val="0"/>
          <w:numId w:val="1051"/>
        </w:numPr>
      </w:pPr>
      <w:r>
        <w:t xml:space="preserve">histórico.</w:t>
      </w:r>
    </w:p>
    <w:bookmarkStart w:id="79" w:name="evidências-5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52"/>
        </w:numPr>
      </w:pPr>
      <w:r>
        <w:t xml:space="preserve">recomendação criada;</w:t>
      </w:r>
    </w:p>
    <w:p>
      <w:pPr>
        <w:pStyle w:val="Compact"/>
        <w:numPr>
          <w:ilvl w:val="0"/>
          <w:numId w:val="1052"/>
        </w:numPr>
      </w:pPr>
      <w:r>
        <w:t xml:space="preserve">versão revisada;</w:t>
      </w:r>
    </w:p>
    <w:p>
      <w:pPr>
        <w:pStyle w:val="Compact"/>
        <w:numPr>
          <w:ilvl w:val="0"/>
          <w:numId w:val="1052"/>
        </w:numPr>
      </w:pPr>
      <w:r>
        <w:t xml:space="preserve">aprovação segregada;</w:t>
      </w:r>
    </w:p>
    <w:p>
      <w:pPr>
        <w:pStyle w:val="Compact"/>
        <w:numPr>
          <w:ilvl w:val="0"/>
          <w:numId w:val="1052"/>
        </w:numPr>
      </w:pPr>
      <w:r>
        <w:t xml:space="preserve">publicação;</w:t>
      </w:r>
    </w:p>
    <w:p>
      <w:pPr>
        <w:pStyle w:val="Compact"/>
        <w:numPr>
          <w:ilvl w:val="0"/>
          <w:numId w:val="1052"/>
        </w:numPr>
      </w:pPr>
      <w:r>
        <w:t xml:space="preserve">expiração.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d07-portal-operacional"/>
    <w:p>
      <w:pPr>
        <w:pStyle w:val="Heading2"/>
      </w:pPr>
      <w:r>
        <w:t xml:space="preserve">D07 — Portal operacional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53"/>
        </w:numPr>
      </w:pPr>
      <w:r>
        <w:t xml:space="preserve">mapa;</w:t>
      </w:r>
    </w:p>
    <w:p>
      <w:pPr>
        <w:pStyle w:val="Compact"/>
        <w:numPr>
          <w:ilvl w:val="0"/>
          <w:numId w:val="1053"/>
        </w:numPr>
      </w:pPr>
      <w:r>
        <w:t xml:space="preserve">situação;</w:t>
      </w:r>
    </w:p>
    <w:p>
      <w:pPr>
        <w:pStyle w:val="Compact"/>
        <w:numPr>
          <w:ilvl w:val="0"/>
          <w:numId w:val="1053"/>
        </w:numPr>
      </w:pPr>
      <w:r>
        <w:t xml:space="preserve">estações;</w:t>
      </w:r>
    </w:p>
    <w:p>
      <w:pPr>
        <w:pStyle w:val="Compact"/>
        <w:numPr>
          <w:ilvl w:val="0"/>
          <w:numId w:val="1053"/>
        </w:numPr>
      </w:pPr>
      <w:r>
        <w:t xml:space="preserve">alertas;</w:t>
      </w:r>
    </w:p>
    <w:p>
      <w:pPr>
        <w:pStyle w:val="Compact"/>
        <w:numPr>
          <w:ilvl w:val="0"/>
          <w:numId w:val="1053"/>
        </w:numPr>
      </w:pPr>
      <w:r>
        <w:t xml:space="preserve">ocorrências;</w:t>
      </w:r>
    </w:p>
    <w:p>
      <w:pPr>
        <w:pStyle w:val="Compact"/>
        <w:numPr>
          <w:ilvl w:val="0"/>
          <w:numId w:val="1053"/>
        </w:numPr>
      </w:pPr>
      <w:r>
        <w:t xml:space="preserve">protocolos;</w:t>
      </w:r>
    </w:p>
    <w:p>
      <w:pPr>
        <w:pStyle w:val="Compact"/>
        <w:numPr>
          <w:ilvl w:val="0"/>
          <w:numId w:val="1053"/>
        </w:numPr>
      </w:pPr>
      <w:r>
        <w:t xml:space="preserve">recomendações;</w:t>
      </w:r>
    </w:p>
    <w:p>
      <w:pPr>
        <w:pStyle w:val="Compact"/>
        <w:numPr>
          <w:ilvl w:val="0"/>
          <w:numId w:val="1053"/>
        </w:numPr>
      </w:pPr>
      <w:r>
        <w:t xml:space="preserve">qualidade;</w:t>
      </w:r>
    </w:p>
    <w:p>
      <w:pPr>
        <w:pStyle w:val="Compact"/>
        <w:numPr>
          <w:ilvl w:val="0"/>
          <w:numId w:val="1053"/>
        </w:numPr>
      </w:pPr>
      <w:r>
        <w:t xml:space="preserve">relatórios.</w:t>
      </w:r>
    </w:p>
    <w:bookmarkStart w:id="81" w:name="evidências-6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54"/>
        </w:numPr>
      </w:pPr>
      <w:r>
        <w:t xml:space="preserve">roteiros de uso;</w:t>
      </w:r>
    </w:p>
    <w:p>
      <w:pPr>
        <w:pStyle w:val="Compact"/>
        <w:numPr>
          <w:ilvl w:val="0"/>
          <w:numId w:val="1054"/>
        </w:numPr>
      </w:pPr>
      <w:r>
        <w:t xml:space="preserve">testes por perfil;</w:t>
      </w:r>
    </w:p>
    <w:p>
      <w:pPr>
        <w:pStyle w:val="Compact"/>
        <w:numPr>
          <w:ilvl w:val="0"/>
          <w:numId w:val="1054"/>
        </w:numPr>
      </w:pPr>
      <w:r>
        <w:t xml:space="preserve">desempenho;</w:t>
      </w:r>
    </w:p>
    <w:p>
      <w:pPr>
        <w:pStyle w:val="Compact"/>
        <w:numPr>
          <w:ilvl w:val="0"/>
          <w:numId w:val="1054"/>
        </w:numPr>
      </w:pPr>
      <w:r>
        <w:t xml:space="preserve">acessibilidade;</w:t>
      </w:r>
    </w:p>
    <w:p>
      <w:pPr>
        <w:pStyle w:val="Compact"/>
        <w:numPr>
          <w:ilvl w:val="0"/>
          <w:numId w:val="1054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4" w:name="d08-site-público"/>
    <w:p>
      <w:pPr>
        <w:pStyle w:val="Heading2"/>
      </w:pPr>
      <w:r>
        <w:t xml:space="preserve">D08 — Site público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55"/>
        </w:numPr>
      </w:pPr>
      <w:r>
        <w:t xml:space="preserve">situação pública;</w:t>
      </w:r>
    </w:p>
    <w:p>
      <w:pPr>
        <w:pStyle w:val="Compact"/>
        <w:numPr>
          <w:ilvl w:val="0"/>
          <w:numId w:val="1055"/>
        </w:numPr>
      </w:pPr>
      <w:r>
        <w:t xml:space="preserve">alertas;</w:t>
      </w:r>
    </w:p>
    <w:p>
      <w:pPr>
        <w:pStyle w:val="Compact"/>
        <w:numPr>
          <w:ilvl w:val="0"/>
          <w:numId w:val="1055"/>
        </w:numPr>
      </w:pPr>
      <w:r>
        <w:t xml:space="preserve">metodologia;</w:t>
      </w:r>
    </w:p>
    <w:p>
      <w:pPr>
        <w:pStyle w:val="Compact"/>
        <w:numPr>
          <w:ilvl w:val="0"/>
          <w:numId w:val="1055"/>
        </w:numPr>
      </w:pPr>
      <w:r>
        <w:t xml:space="preserve">disponibilidade;</w:t>
      </w:r>
    </w:p>
    <w:p>
      <w:pPr>
        <w:pStyle w:val="Compact"/>
        <w:numPr>
          <w:ilvl w:val="0"/>
          <w:numId w:val="1055"/>
        </w:numPr>
      </w:pPr>
      <w:r>
        <w:t xml:space="preserve">dados abertos;</w:t>
      </w:r>
    </w:p>
    <w:p>
      <w:pPr>
        <w:pStyle w:val="Compact"/>
        <w:numPr>
          <w:ilvl w:val="0"/>
          <w:numId w:val="1055"/>
        </w:numPr>
      </w:pPr>
      <w:r>
        <w:t xml:space="preserve">recomendações;</w:t>
      </w:r>
    </w:p>
    <w:p>
      <w:pPr>
        <w:pStyle w:val="Compact"/>
        <w:numPr>
          <w:ilvl w:val="0"/>
          <w:numId w:val="1055"/>
        </w:numPr>
      </w:pPr>
      <w:r>
        <w:t xml:space="preserve">acessibilidade;</w:t>
      </w:r>
    </w:p>
    <w:p>
      <w:pPr>
        <w:pStyle w:val="Compact"/>
        <w:numPr>
          <w:ilvl w:val="0"/>
          <w:numId w:val="1055"/>
        </w:numPr>
      </w:pPr>
      <w:r>
        <w:t xml:space="preserve">conteúdo institucional.</w:t>
      </w:r>
    </w:p>
    <w:bookmarkStart w:id="83" w:name="evidências-7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56"/>
        </w:numPr>
      </w:pPr>
      <w:r>
        <w:t xml:space="preserve">teste de acessibilidade;</w:t>
      </w:r>
    </w:p>
    <w:p>
      <w:pPr>
        <w:pStyle w:val="Compact"/>
        <w:numPr>
          <w:ilvl w:val="0"/>
          <w:numId w:val="1056"/>
        </w:numPr>
      </w:pPr>
      <w:r>
        <w:t xml:space="preserve">teste responsivo;</w:t>
      </w:r>
    </w:p>
    <w:p>
      <w:pPr>
        <w:pStyle w:val="Compact"/>
        <w:numPr>
          <w:ilvl w:val="0"/>
          <w:numId w:val="1056"/>
        </w:numPr>
      </w:pPr>
      <w:r>
        <w:t xml:space="preserve">exportação;</w:t>
      </w:r>
    </w:p>
    <w:p>
      <w:pPr>
        <w:pStyle w:val="Compact"/>
        <w:numPr>
          <w:ilvl w:val="0"/>
          <w:numId w:val="1056"/>
        </w:numPr>
      </w:pPr>
      <w:r>
        <w:t xml:space="preserve">ocultação de dados restritos;</w:t>
      </w:r>
    </w:p>
    <w:p>
      <w:pPr>
        <w:pStyle w:val="Compact"/>
        <w:numPr>
          <w:ilvl w:val="0"/>
          <w:numId w:val="1056"/>
        </w:numPr>
      </w:pPr>
      <w:r>
        <w:t xml:space="preserve">teste de carga.</w:t>
      </w:r>
    </w:p>
    <w:p>
      <w:pPr>
        <w:pStyle w:val="FirstParagraph"/>
      </w:pPr>
      <w:r>
        <w:t xml:space="preserve">O eMAG constitui referência brasileira de acessibilidade para sites governamentais, devendo ser considerado juntamente com critérios atuais de acessibilidade web adotados pelo Município.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d09-relatórios-e-apis"/>
    <w:p>
      <w:pPr>
        <w:pStyle w:val="Heading2"/>
      </w:pPr>
      <w:r>
        <w:t xml:space="preserve">D09 — Relatórios e APIs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57"/>
        </w:numPr>
      </w:pPr>
      <w:r>
        <w:t xml:space="preserve">boletim;</w:t>
      </w:r>
    </w:p>
    <w:p>
      <w:pPr>
        <w:pStyle w:val="Compact"/>
        <w:numPr>
          <w:ilvl w:val="0"/>
          <w:numId w:val="1057"/>
        </w:numPr>
      </w:pPr>
      <w:r>
        <w:t xml:space="preserve">relatório de estações;</w:t>
      </w:r>
    </w:p>
    <w:p>
      <w:pPr>
        <w:pStyle w:val="Compact"/>
        <w:numPr>
          <w:ilvl w:val="0"/>
          <w:numId w:val="1057"/>
        </w:numPr>
      </w:pPr>
      <w:r>
        <w:t xml:space="preserve">relatório de ocorrências;</w:t>
      </w:r>
    </w:p>
    <w:p>
      <w:pPr>
        <w:pStyle w:val="Compact"/>
        <w:numPr>
          <w:ilvl w:val="0"/>
          <w:numId w:val="1057"/>
        </w:numPr>
      </w:pPr>
      <w:r>
        <w:t xml:space="preserve">exportações;</w:t>
      </w:r>
    </w:p>
    <w:p>
      <w:pPr>
        <w:pStyle w:val="Compact"/>
        <w:numPr>
          <w:ilvl w:val="0"/>
          <w:numId w:val="1057"/>
        </w:numPr>
      </w:pPr>
      <w:r>
        <w:t xml:space="preserve">APIs;</w:t>
      </w:r>
    </w:p>
    <w:p>
      <w:pPr>
        <w:pStyle w:val="Compact"/>
        <w:numPr>
          <w:ilvl w:val="0"/>
          <w:numId w:val="1057"/>
        </w:numPr>
      </w:pPr>
      <w:r>
        <w:t xml:space="preserve">documentação.</w:t>
      </w:r>
    </w:p>
    <w:bookmarkStart w:id="85" w:name="evidências-8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58"/>
        </w:numPr>
      </w:pPr>
      <w:r>
        <w:t xml:space="preserve">OpenAPI;</w:t>
      </w:r>
    </w:p>
    <w:p>
      <w:pPr>
        <w:pStyle w:val="Compact"/>
        <w:numPr>
          <w:ilvl w:val="0"/>
          <w:numId w:val="1058"/>
        </w:numPr>
      </w:pPr>
      <w:r>
        <w:t xml:space="preserve">exemplos;</w:t>
      </w:r>
    </w:p>
    <w:p>
      <w:pPr>
        <w:pStyle w:val="Compact"/>
        <w:numPr>
          <w:ilvl w:val="0"/>
          <w:numId w:val="1058"/>
        </w:numPr>
      </w:pPr>
      <w:r>
        <w:t xml:space="preserve">autenticação;</w:t>
      </w:r>
    </w:p>
    <w:p>
      <w:pPr>
        <w:pStyle w:val="Compact"/>
        <w:numPr>
          <w:ilvl w:val="0"/>
          <w:numId w:val="1058"/>
        </w:numPr>
      </w:pPr>
      <w:r>
        <w:t xml:space="preserve">paginação;</w:t>
      </w:r>
    </w:p>
    <w:p>
      <w:pPr>
        <w:pStyle w:val="Compact"/>
        <w:numPr>
          <w:ilvl w:val="0"/>
          <w:numId w:val="1058"/>
        </w:numPr>
      </w:pPr>
      <w:r>
        <w:t xml:space="preserve">filtros;</w:t>
      </w:r>
    </w:p>
    <w:p>
      <w:pPr>
        <w:pStyle w:val="Compact"/>
        <w:numPr>
          <w:ilvl w:val="0"/>
          <w:numId w:val="1058"/>
        </w:numPr>
      </w:pPr>
      <w:r>
        <w:t xml:space="preserve">CSV;</w:t>
      </w:r>
    </w:p>
    <w:p>
      <w:pPr>
        <w:pStyle w:val="Compact"/>
        <w:numPr>
          <w:ilvl w:val="0"/>
          <w:numId w:val="1058"/>
        </w:numPr>
      </w:pPr>
      <w:r>
        <w:t xml:space="preserve">PDF;</w:t>
      </w:r>
    </w:p>
    <w:p>
      <w:pPr>
        <w:pStyle w:val="Compact"/>
        <w:numPr>
          <w:ilvl w:val="0"/>
          <w:numId w:val="1058"/>
        </w:numPr>
      </w:pPr>
      <w:r>
        <w:t xml:space="preserve">auditoria.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8" w:name="d10-segurança-e-privacidade"/>
    <w:p>
      <w:pPr>
        <w:pStyle w:val="Heading2"/>
      </w:pPr>
      <w:r>
        <w:t xml:space="preserve">D10 — Segurança e privacidade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59"/>
        </w:numPr>
      </w:pPr>
      <w:r>
        <w:t xml:space="preserve">análise de ameaças;</w:t>
      </w:r>
    </w:p>
    <w:p>
      <w:pPr>
        <w:pStyle w:val="Compact"/>
        <w:numPr>
          <w:ilvl w:val="0"/>
          <w:numId w:val="1059"/>
        </w:numPr>
      </w:pPr>
      <w:r>
        <w:t xml:space="preserve">inventário de dados;</w:t>
      </w:r>
    </w:p>
    <w:p>
      <w:pPr>
        <w:pStyle w:val="Compact"/>
        <w:numPr>
          <w:ilvl w:val="0"/>
          <w:numId w:val="1059"/>
        </w:numPr>
      </w:pPr>
      <w:r>
        <w:t xml:space="preserve">matriz de acesso;</w:t>
      </w:r>
    </w:p>
    <w:p>
      <w:pPr>
        <w:pStyle w:val="Compact"/>
        <w:numPr>
          <w:ilvl w:val="0"/>
          <w:numId w:val="1059"/>
        </w:numPr>
      </w:pPr>
      <w:r>
        <w:t xml:space="preserve">testes;</w:t>
      </w:r>
    </w:p>
    <w:p>
      <w:pPr>
        <w:pStyle w:val="Compact"/>
        <w:numPr>
          <w:ilvl w:val="0"/>
          <w:numId w:val="1059"/>
        </w:numPr>
      </w:pPr>
      <w:r>
        <w:t xml:space="preserve">correções;</w:t>
      </w:r>
    </w:p>
    <w:p>
      <w:pPr>
        <w:pStyle w:val="Compact"/>
        <w:numPr>
          <w:ilvl w:val="0"/>
          <w:numId w:val="1059"/>
        </w:numPr>
      </w:pPr>
      <w:r>
        <w:t xml:space="preserve">política de backup;</w:t>
      </w:r>
    </w:p>
    <w:p>
      <w:pPr>
        <w:pStyle w:val="Compact"/>
        <w:numPr>
          <w:ilvl w:val="0"/>
          <w:numId w:val="1059"/>
        </w:numPr>
      </w:pPr>
      <w:r>
        <w:t xml:space="preserve">resposta a incidentes;</w:t>
      </w:r>
    </w:p>
    <w:p>
      <w:pPr>
        <w:pStyle w:val="Compact"/>
        <w:numPr>
          <w:ilvl w:val="0"/>
          <w:numId w:val="1059"/>
        </w:numPr>
      </w:pPr>
      <w:r>
        <w:t xml:space="preserve">relatório de conformidade.</w:t>
      </w:r>
    </w:p>
    <w:bookmarkStart w:id="87" w:name="evidências-9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60"/>
        </w:numPr>
      </w:pPr>
      <w:r>
        <w:t xml:space="preserve">ausência de vulnerabilidades críticas ou altas não aceitas;</w:t>
      </w:r>
    </w:p>
    <w:p>
      <w:pPr>
        <w:pStyle w:val="Compact"/>
        <w:numPr>
          <w:ilvl w:val="0"/>
          <w:numId w:val="1060"/>
        </w:numPr>
      </w:pPr>
      <w:r>
        <w:t xml:space="preserve">relatório independente;</w:t>
      </w:r>
    </w:p>
    <w:p>
      <w:pPr>
        <w:pStyle w:val="Compact"/>
        <w:numPr>
          <w:ilvl w:val="0"/>
          <w:numId w:val="1060"/>
        </w:numPr>
      </w:pPr>
      <w:r>
        <w:t xml:space="preserve">teste de restauração;</w:t>
      </w:r>
    </w:p>
    <w:p>
      <w:pPr>
        <w:pStyle w:val="Compact"/>
        <w:numPr>
          <w:ilvl w:val="0"/>
          <w:numId w:val="1060"/>
        </w:numPr>
      </w:pPr>
      <w:r>
        <w:t xml:space="preserve">teste de autorização;</w:t>
      </w:r>
    </w:p>
    <w:p>
      <w:pPr>
        <w:pStyle w:val="Compact"/>
        <w:numPr>
          <w:ilvl w:val="0"/>
          <w:numId w:val="1060"/>
        </w:numPr>
      </w:pPr>
      <w:r>
        <w:t xml:space="preserve">registro das operações de tratamento.</w:t>
      </w:r>
    </w:p>
    <w:p>
      <w:pPr>
        <w:pStyle w:val="FirstParagraph"/>
      </w:pPr>
      <w:r>
        <w:t xml:space="preserve">A LGPD se aplica ao tratamento realizado por pessoas jurídicas de direito público e privado. A Lei de Governo Digital determina que plataformas governamentais disponibilizem instrumentos de transparência e controle relacionados ao tratamento de dados pessoais.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d11-capacitação-e-transferência"/>
    <w:p>
      <w:pPr>
        <w:pStyle w:val="Heading2"/>
      </w:pPr>
      <w:r>
        <w:t xml:space="preserve">D11 — Capacitação e transferência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61"/>
        </w:numPr>
      </w:pPr>
      <w:r>
        <w:t xml:space="preserve">formação administrativa;</w:t>
      </w:r>
    </w:p>
    <w:p>
      <w:pPr>
        <w:pStyle w:val="Compact"/>
        <w:numPr>
          <w:ilvl w:val="0"/>
          <w:numId w:val="1061"/>
        </w:numPr>
      </w:pPr>
      <w:r>
        <w:t xml:space="preserve">formação técnica;</w:t>
      </w:r>
    </w:p>
    <w:p>
      <w:pPr>
        <w:pStyle w:val="Compact"/>
        <w:numPr>
          <w:ilvl w:val="0"/>
          <w:numId w:val="1061"/>
        </w:numPr>
      </w:pPr>
      <w:r>
        <w:t xml:space="preserve">formação de operadores;</w:t>
      </w:r>
    </w:p>
    <w:p>
      <w:pPr>
        <w:pStyle w:val="Compact"/>
        <w:numPr>
          <w:ilvl w:val="0"/>
          <w:numId w:val="1061"/>
        </w:numPr>
      </w:pPr>
      <w:r>
        <w:t xml:space="preserve">manuais;</w:t>
      </w:r>
    </w:p>
    <w:p>
      <w:pPr>
        <w:pStyle w:val="Compact"/>
        <w:numPr>
          <w:ilvl w:val="0"/>
          <w:numId w:val="1061"/>
        </w:numPr>
      </w:pPr>
      <w:r>
        <w:t xml:space="preserve">vídeos;</w:t>
      </w:r>
    </w:p>
    <w:p>
      <w:pPr>
        <w:pStyle w:val="Compact"/>
        <w:numPr>
          <w:ilvl w:val="0"/>
          <w:numId w:val="1061"/>
        </w:numPr>
      </w:pPr>
      <w:r>
        <w:t xml:space="preserve">exercícios;</w:t>
      </w:r>
    </w:p>
    <w:p>
      <w:pPr>
        <w:pStyle w:val="Compact"/>
        <w:numPr>
          <w:ilvl w:val="0"/>
          <w:numId w:val="1061"/>
        </w:numPr>
      </w:pPr>
      <w:r>
        <w:t xml:space="preserve">laboratório;</w:t>
      </w:r>
    </w:p>
    <w:p>
      <w:pPr>
        <w:pStyle w:val="Compact"/>
        <w:numPr>
          <w:ilvl w:val="0"/>
          <w:numId w:val="1061"/>
        </w:numPr>
      </w:pPr>
      <w:r>
        <w:t xml:space="preserve">código comentado.</w:t>
      </w:r>
    </w:p>
    <w:bookmarkStart w:id="89" w:name="evidências-10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62"/>
        </w:numPr>
      </w:pPr>
      <w:r>
        <w:t xml:space="preserve">presença;</w:t>
      </w:r>
    </w:p>
    <w:p>
      <w:pPr>
        <w:pStyle w:val="Compact"/>
        <w:numPr>
          <w:ilvl w:val="0"/>
          <w:numId w:val="1062"/>
        </w:numPr>
      </w:pPr>
      <w:r>
        <w:t xml:space="preserve">avaliação;</w:t>
      </w:r>
    </w:p>
    <w:p>
      <w:pPr>
        <w:pStyle w:val="Compact"/>
        <w:numPr>
          <w:ilvl w:val="0"/>
          <w:numId w:val="1062"/>
        </w:numPr>
      </w:pPr>
      <w:r>
        <w:t xml:space="preserve">material;</w:t>
      </w:r>
    </w:p>
    <w:p>
      <w:pPr>
        <w:pStyle w:val="Compact"/>
        <w:numPr>
          <w:ilvl w:val="0"/>
          <w:numId w:val="1062"/>
        </w:numPr>
      </w:pPr>
      <w:r>
        <w:t xml:space="preserve">gravações;</w:t>
      </w:r>
    </w:p>
    <w:p>
      <w:pPr>
        <w:pStyle w:val="Compact"/>
        <w:numPr>
          <w:ilvl w:val="0"/>
          <w:numId w:val="1062"/>
        </w:numPr>
      </w:pPr>
      <w:r>
        <w:t xml:space="preserve">exercícios concluídos;</w:t>
      </w:r>
    </w:p>
    <w:p>
      <w:pPr>
        <w:pStyle w:val="Compact"/>
        <w:numPr>
          <w:ilvl w:val="0"/>
          <w:numId w:val="1062"/>
        </w:numPr>
      </w:pPr>
      <w:r>
        <w:t xml:space="preserve">ambiente de treinamento.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d12-operação-assistida"/>
    <w:p>
      <w:pPr>
        <w:pStyle w:val="Heading2"/>
      </w:pPr>
      <w:r>
        <w:t xml:space="preserve">D12 — Operação assistida</w:t>
      </w:r>
    </w:p>
    <w:p>
      <w:pPr>
        <w:pStyle w:val="FirstParagraph"/>
      </w:pPr>
      <w:r>
        <w:t xml:space="preserve">Deverá conter:</w:t>
      </w:r>
    </w:p>
    <w:p>
      <w:pPr>
        <w:pStyle w:val="Compact"/>
        <w:numPr>
          <w:ilvl w:val="0"/>
          <w:numId w:val="1063"/>
        </w:numPr>
      </w:pPr>
      <w:r>
        <w:t xml:space="preserve">suporte;</w:t>
      </w:r>
    </w:p>
    <w:p>
      <w:pPr>
        <w:pStyle w:val="Compact"/>
        <w:numPr>
          <w:ilvl w:val="0"/>
          <w:numId w:val="1063"/>
        </w:numPr>
      </w:pPr>
      <w:r>
        <w:t xml:space="preserve">correção;</w:t>
      </w:r>
    </w:p>
    <w:p>
      <w:pPr>
        <w:pStyle w:val="Compact"/>
        <w:numPr>
          <w:ilvl w:val="0"/>
          <w:numId w:val="1063"/>
        </w:numPr>
      </w:pPr>
      <w:r>
        <w:t xml:space="preserve">monitoramento;</w:t>
      </w:r>
    </w:p>
    <w:p>
      <w:pPr>
        <w:pStyle w:val="Compact"/>
        <w:numPr>
          <w:ilvl w:val="0"/>
          <w:numId w:val="1063"/>
        </w:numPr>
      </w:pPr>
      <w:r>
        <w:t xml:space="preserve">atualização;</w:t>
      </w:r>
    </w:p>
    <w:p>
      <w:pPr>
        <w:pStyle w:val="Compact"/>
        <w:numPr>
          <w:ilvl w:val="0"/>
          <w:numId w:val="1063"/>
        </w:numPr>
      </w:pPr>
      <w:r>
        <w:t xml:space="preserve">acompanhamento;</w:t>
      </w:r>
    </w:p>
    <w:p>
      <w:pPr>
        <w:pStyle w:val="Compact"/>
        <w:numPr>
          <w:ilvl w:val="0"/>
          <w:numId w:val="1063"/>
        </w:numPr>
      </w:pPr>
      <w:r>
        <w:t xml:space="preserve">relatório;</w:t>
      </w:r>
    </w:p>
    <w:p>
      <w:pPr>
        <w:pStyle w:val="Compact"/>
        <w:numPr>
          <w:ilvl w:val="0"/>
          <w:numId w:val="1063"/>
        </w:numPr>
      </w:pPr>
      <w:r>
        <w:t xml:space="preserve">transição.</w:t>
      </w:r>
    </w:p>
    <w:bookmarkStart w:id="91" w:name="evidências-11"/>
    <w:p>
      <w:pPr>
        <w:pStyle w:val="Heading3"/>
      </w:pPr>
      <w:r>
        <w:t xml:space="preserve">Evidências</w:t>
      </w:r>
    </w:p>
    <w:p>
      <w:pPr>
        <w:pStyle w:val="Compact"/>
        <w:numPr>
          <w:ilvl w:val="0"/>
          <w:numId w:val="1064"/>
        </w:numPr>
      </w:pPr>
      <w:r>
        <w:t xml:space="preserve">chamados;</w:t>
      </w:r>
    </w:p>
    <w:p>
      <w:pPr>
        <w:pStyle w:val="Compact"/>
        <w:numPr>
          <w:ilvl w:val="0"/>
          <w:numId w:val="1064"/>
        </w:numPr>
      </w:pPr>
      <w:r>
        <w:t xml:space="preserve">SLAs;</w:t>
      </w:r>
    </w:p>
    <w:p>
      <w:pPr>
        <w:pStyle w:val="Compact"/>
        <w:numPr>
          <w:ilvl w:val="0"/>
          <w:numId w:val="1064"/>
        </w:numPr>
      </w:pPr>
      <w:r>
        <w:t xml:space="preserve">relatórios;</w:t>
      </w:r>
    </w:p>
    <w:p>
      <w:pPr>
        <w:pStyle w:val="Compact"/>
        <w:numPr>
          <w:ilvl w:val="0"/>
          <w:numId w:val="1064"/>
        </w:numPr>
      </w:pPr>
      <w:r>
        <w:t xml:space="preserve">problemas;</w:t>
      </w:r>
    </w:p>
    <w:p>
      <w:pPr>
        <w:pStyle w:val="Compact"/>
        <w:numPr>
          <w:ilvl w:val="0"/>
          <w:numId w:val="1064"/>
        </w:numPr>
      </w:pPr>
      <w:r>
        <w:t xml:space="preserve">correções;</w:t>
      </w:r>
    </w:p>
    <w:p>
      <w:pPr>
        <w:pStyle w:val="Compact"/>
        <w:numPr>
          <w:ilvl w:val="0"/>
          <w:numId w:val="1064"/>
        </w:numPr>
      </w:pPr>
      <w:r>
        <w:t xml:space="preserve">transferência final.</w:t>
      </w:r>
    </w:p>
    <w:p>
      <w:r>
        <w:pict>
          <v:rect style="width:0;height:1.5pt" o:hralign="center" o:hrstd="t" o:hr="t"/>
        </w:pict>
      </w:r>
    </w:p>
    <w:bookmarkEnd w:id="91"/>
    <w:bookmarkEnd w:id="92"/>
    <w:bookmarkEnd w:id="93"/>
    <w:bookmarkStart w:id="94" w:name="cronograma-de-referência"/>
    <w:p>
      <w:pPr>
        <w:pStyle w:val="Heading1"/>
      </w:pPr>
      <w:r>
        <w:t xml:space="preserve">11. Cronograma de referência</w:t>
      </w:r>
    </w:p>
    <w:p>
      <w:pPr>
        <w:pStyle w:val="FirstParagraph"/>
      </w:pPr>
      <w:r>
        <w:t xml:space="preserve">O cronograma definitivo deverá ser produzido no ETP e pactuado após a contratação.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Janela de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Descoberta e planejamento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Fundação e arquitetura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Ingestão e qualidade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60–90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Operação municipal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60–90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Portal e transparência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45–60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Segurança e homologação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Operação assistida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90–180 dias</w:t>
            </w:r>
          </w:p>
        </w:tc>
      </w:tr>
    </w:tbl>
    <w:p>
      <w:pPr>
        <w:pStyle w:val="BodyText"/>
      </w:pPr>
      <w:r>
        <w:t xml:space="preserve">As fases poderão se sobrepor, desde que:</w:t>
      </w:r>
    </w:p>
    <w:p>
      <w:pPr>
        <w:pStyle w:val="Compact"/>
        <w:numPr>
          <w:ilvl w:val="0"/>
          <w:numId w:val="1065"/>
        </w:numPr>
      </w:pPr>
      <w:r>
        <w:t xml:space="preserve">os riscos estejam controlados;</w:t>
      </w:r>
    </w:p>
    <w:p>
      <w:pPr>
        <w:pStyle w:val="Compact"/>
        <w:numPr>
          <w:ilvl w:val="0"/>
          <w:numId w:val="1065"/>
        </w:numPr>
      </w:pPr>
      <w:r>
        <w:t xml:space="preserve">as dependências sejam registradas;</w:t>
      </w:r>
    </w:p>
    <w:p>
      <w:pPr>
        <w:pStyle w:val="Compact"/>
        <w:numPr>
          <w:ilvl w:val="0"/>
          <w:numId w:val="1065"/>
        </w:numPr>
      </w:pPr>
      <w:r>
        <w:t xml:space="preserve">o aceite seja individualizado;</w:t>
      </w:r>
    </w:p>
    <w:p>
      <w:pPr>
        <w:pStyle w:val="Compact"/>
        <w:numPr>
          <w:ilvl w:val="0"/>
          <w:numId w:val="1065"/>
        </w:numPr>
      </w:pPr>
      <w:r>
        <w:t xml:space="preserve">não haja pagamento antecipado por produto não entregue.</w:t>
      </w:r>
    </w:p>
    <w:p>
      <w:r>
        <w:pict>
          <v:rect style="width:0;height:1.5pt" o:hralign="center" o:hrstd="t" o:hr="t"/>
        </w:pict>
      </w:r>
    </w:p>
    <w:bookmarkEnd w:id="94"/>
    <w:bookmarkStart w:id="98" w:name="gestão-do-desenvolvimento"/>
    <w:p>
      <w:pPr>
        <w:pStyle w:val="Heading1"/>
      </w:pPr>
      <w:r>
        <w:t xml:space="preserve">12. Gestão do desenvolvimento</w:t>
      </w:r>
    </w:p>
    <w:bookmarkStart w:id="95" w:name="método"/>
    <w:p>
      <w:pPr>
        <w:pStyle w:val="Heading2"/>
      </w:pPr>
      <w:r>
        <w:t xml:space="preserve">12.1 Método</w:t>
      </w:r>
    </w:p>
    <w:p>
      <w:pPr>
        <w:pStyle w:val="FirstParagraph"/>
      </w:pPr>
      <w:r>
        <w:t xml:space="preserve">A execução poderá utilizar método ágil, desde que:</w:t>
      </w:r>
    </w:p>
    <w:p>
      <w:pPr>
        <w:pStyle w:val="Compact"/>
        <w:numPr>
          <w:ilvl w:val="0"/>
          <w:numId w:val="1066"/>
        </w:numPr>
      </w:pPr>
      <w:r>
        <w:t xml:space="preserve">o escopo mínimo permaneça protegido;</w:t>
      </w:r>
    </w:p>
    <w:p>
      <w:pPr>
        <w:pStyle w:val="Compact"/>
        <w:numPr>
          <w:ilvl w:val="0"/>
          <w:numId w:val="1066"/>
        </w:numPr>
      </w:pPr>
      <w:r>
        <w:t xml:space="preserve">os critérios de aceite sejam definidos;</w:t>
      </w:r>
    </w:p>
    <w:p>
      <w:pPr>
        <w:pStyle w:val="Compact"/>
        <w:numPr>
          <w:ilvl w:val="0"/>
          <w:numId w:val="1066"/>
        </w:numPr>
      </w:pPr>
      <w:r>
        <w:t xml:space="preserve">o backlog seja versionado;</w:t>
      </w:r>
    </w:p>
    <w:p>
      <w:pPr>
        <w:pStyle w:val="Compact"/>
        <w:numPr>
          <w:ilvl w:val="0"/>
          <w:numId w:val="1066"/>
        </w:numPr>
      </w:pPr>
      <w:r>
        <w:t xml:space="preserve">alterações sejam formalizadas;</w:t>
      </w:r>
    </w:p>
    <w:p>
      <w:pPr>
        <w:pStyle w:val="Compact"/>
        <w:numPr>
          <w:ilvl w:val="0"/>
          <w:numId w:val="1066"/>
        </w:numPr>
      </w:pPr>
      <w:r>
        <w:t xml:space="preserve">as sprints não sejam unidades automáticas de pagamento;</w:t>
      </w:r>
    </w:p>
    <w:p>
      <w:pPr>
        <w:pStyle w:val="Compact"/>
        <w:numPr>
          <w:ilvl w:val="0"/>
          <w:numId w:val="1066"/>
        </w:numPr>
      </w:pPr>
      <w:r>
        <w:t xml:space="preserve">toda entrega seja demonstrável;</w:t>
      </w:r>
    </w:p>
    <w:p>
      <w:pPr>
        <w:pStyle w:val="Compact"/>
        <w:numPr>
          <w:ilvl w:val="0"/>
          <w:numId w:val="1066"/>
        </w:numPr>
      </w:pPr>
      <w:r>
        <w:t xml:space="preserve">decisões sejam registradas.</w:t>
      </w:r>
    </w:p>
    <w:bookmarkEnd w:id="95"/>
    <w:bookmarkStart w:id="96" w:name="ciclo-sugerido"/>
    <w:p>
      <w:pPr>
        <w:pStyle w:val="Heading2"/>
      </w:pPr>
      <w:r>
        <w:t xml:space="preserve">12.2 Ciclo sugerido</w:t>
      </w:r>
    </w:p>
    <w:p>
      <w:pPr>
        <w:pStyle w:val="Compact"/>
        <w:numPr>
          <w:ilvl w:val="0"/>
          <w:numId w:val="1067"/>
        </w:numPr>
      </w:pPr>
      <w:r>
        <w:t xml:space="preserve">planejamento quinzenal;</w:t>
      </w:r>
    </w:p>
    <w:p>
      <w:pPr>
        <w:pStyle w:val="Compact"/>
        <w:numPr>
          <w:ilvl w:val="0"/>
          <w:numId w:val="1067"/>
        </w:numPr>
      </w:pPr>
      <w:r>
        <w:t xml:space="preserve">refinamento semanal;</w:t>
      </w:r>
    </w:p>
    <w:p>
      <w:pPr>
        <w:pStyle w:val="Compact"/>
        <w:numPr>
          <w:ilvl w:val="0"/>
          <w:numId w:val="1067"/>
        </w:numPr>
      </w:pPr>
      <w:r>
        <w:t xml:space="preserve">demonstração ao final do ciclo;</w:t>
      </w:r>
    </w:p>
    <w:p>
      <w:pPr>
        <w:pStyle w:val="Compact"/>
        <w:numPr>
          <w:ilvl w:val="0"/>
          <w:numId w:val="1067"/>
        </w:numPr>
      </w:pPr>
      <w:r>
        <w:t xml:space="preserve">homologação funcional;</w:t>
      </w:r>
    </w:p>
    <w:p>
      <w:pPr>
        <w:pStyle w:val="Compact"/>
        <w:numPr>
          <w:ilvl w:val="0"/>
          <w:numId w:val="1067"/>
        </w:numPr>
      </w:pPr>
      <w:r>
        <w:t xml:space="preserve">análise técnica;</w:t>
      </w:r>
    </w:p>
    <w:p>
      <w:pPr>
        <w:pStyle w:val="Compact"/>
        <w:numPr>
          <w:ilvl w:val="0"/>
          <w:numId w:val="1067"/>
        </w:numPr>
      </w:pPr>
      <w:r>
        <w:t xml:space="preserve">registro de pendências;</w:t>
      </w:r>
    </w:p>
    <w:p>
      <w:pPr>
        <w:pStyle w:val="Compact"/>
        <w:numPr>
          <w:ilvl w:val="0"/>
          <w:numId w:val="1067"/>
        </w:numPr>
      </w:pPr>
      <w:r>
        <w:t xml:space="preserve">retrospectiva;</w:t>
      </w:r>
    </w:p>
    <w:p>
      <w:pPr>
        <w:pStyle w:val="Compact"/>
        <w:numPr>
          <w:ilvl w:val="0"/>
          <w:numId w:val="1067"/>
        </w:numPr>
      </w:pPr>
      <w:r>
        <w:t xml:space="preserve">atualização do mapa de riscos.</w:t>
      </w:r>
    </w:p>
    <w:bookmarkEnd w:id="96"/>
    <w:bookmarkStart w:id="97" w:name="gestão-de-alterações"/>
    <w:p>
      <w:pPr>
        <w:pStyle w:val="Heading2"/>
      </w:pPr>
      <w:r>
        <w:t xml:space="preserve">12.3 Gestão de alterações</w:t>
      </w:r>
    </w:p>
    <w:p>
      <w:pPr>
        <w:pStyle w:val="FirstParagraph"/>
      </w:pPr>
      <w:r>
        <w:t xml:space="preserve">Toda alteração deverá ser classificada como:</w:t>
      </w:r>
    </w:p>
    <w:p>
      <w:pPr>
        <w:pStyle w:val="SourceCode"/>
      </w:pPr>
      <w:r>
        <w:rPr>
          <w:rStyle w:val="VerbatimChar"/>
        </w:rPr>
        <w:t xml:space="preserve">CORREÇÃO</w:t>
      </w:r>
      <w:r>
        <w:br/>
      </w:r>
      <w:r>
        <w:rPr>
          <w:rStyle w:val="VerbatimChar"/>
        </w:rPr>
        <w:t xml:space="preserve">DETALHAMENTO</w:t>
      </w:r>
      <w:r>
        <w:br/>
      </w:r>
      <w:r>
        <w:rPr>
          <w:rStyle w:val="VerbatimChar"/>
        </w:rPr>
        <w:t xml:space="preserve">MUDANÇA DE PRIORIDADE</w:t>
      </w:r>
      <w:r>
        <w:br/>
      </w:r>
      <w:r>
        <w:rPr>
          <w:rStyle w:val="VerbatimChar"/>
        </w:rPr>
        <w:t xml:space="preserve">ALTERAÇÃO DE ESCOPO</w:t>
      </w:r>
      <w:r>
        <w:br/>
      </w:r>
      <w:r>
        <w:rPr>
          <w:rStyle w:val="VerbatimChar"/>
        </w:rPr>
        <w:t xml:space="preserve">NOVO REQUISITO</w:t>
      </w:r>
      <w:r>
        <w:br/>
      </w:r>
      <w:r>
        <w:rPr>
          <w:rStyle w:val="VerbatimChar"/>
        </w:rPr>
        <w:t xml:space="preserve">DÍVIDA TÉCNICA</w:t>
      </w:r>
      <w:r>
        <w:br/>
      </w:r>
      <w:r>
        <w:rPr>
          <w:rStyle w:val="VerbatimChar"/>
        </w:rPr>
        <w:t xml:space="preserve">RISCO EMERGENTE</w:t>
      </w:r>
    </w:p>
    <w:p>
      <w:pPr>
        <w:pStyle w:val="FirstParagraph"/>
      </w:pPr>
      <w:r>
        <w:t xml:space="preserve">Alterações com impacto em preço, prazo ou objeto deverão seguir processo formal.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1" w:name="critérios-gerais-de-aceite"/>
    <w:p>
      <w:pPr>
        <w:pStyle w:val="Heading1"/>
      </w:pPr>
      <w:r>
        <w:t xml:space="preserve">13. Critérios gerais de aceite</w:t>
      </w:r>
    </w:p>
    <w:p>
      <w:pPr>
        <w:pStyle w:val="FirstParagraph"/>
      </w:pPr>
      <w:r>
        <w:t xml:space="preserve">Uma entrega somente será aceita quando:</w:t>
      </w:r>
    </w:p>
    <w:p>
      <w:pPr>
        <w:pStyle w:val="Compact"/>
        <w:numPr>
          <w:ilvl w:val="0"/>
          <w:numId w:val="1068"/>
        </w:numPr>
      </w:pPr>
      <w:r>
        <w:t xml:space="preserve">estiver implantada no ambiente definido;</w:t>
      </w:r>
    </w:p>
    <w:p>
      <w:pPr>
        <w:pStyle w:val="Compact"/>
        <w:numPr>
          <w:ilvl w:val="0"/>
          <w:numId w:val="1068"/>
        </w:numPr>
      </w:pPr>
      <w:r>
        <w:t xml:space="preserve">atender aos requisitos;</w:t>
      </w:r>
    </w:p>
    <w:p>
      <w:pPr>
        <w:pStyle w:val="Compact"/>
        <w:numPr>
          <w:ilvl w:val="0"/>
          <w:numId w:val="1068"/>
        </w:numPr>
      </w:pPr>
      <w:r>
        <w:t xml:space="preserve">possuir testes;</w:t>
      </w:r>
    </w:p>
    <w:p>
      <w:pPr>
        <w:pStyle w:val="Compact"/>
        <w:numPr>
          <w:ilvl w:val="0"/>
          <w:numId w:val="1068"/>
        </w:numPr>
      </w:pPr>
      <w:r>
        <w:t xml:space="preserve">possuir documentação;</w:t>
      </w:r>
    </w:p>
    <w:p>
      <w:pPr>
        <w:pStyle w:val="Compact"/>
        <w:numPr>
          <w:ilvl w:val="0"/>
          <w:numId w:val="1068"/>
        </w:numPr>
      </w:pPr>
      <w:r>
        <w:t xml:space="preserve">possuir logs;</w:t>
      </w:r>
    </w:p>
    <w:p>
      <w:pPr>
        <w:pStyle w:val="Compact"/>
        <w:numPr>
          <w:ilvl w:val="0"/>
          <w:numId w:val="1068"/>
        </w:numPr>
      </w:pPr>
      <w:r>
        <w:t xml:space="preserve">possuir auditoria;</w:t>
      </w:r>
    </w:p>
    <w:p>
      <w:pPr>
        <w:pStyle w:val="Compact"/>
        <w:numPr>
          <w:ilvl w:val="0"/>
          <w:numId w:val="1068"/>
        </w:numPr>
      </w:pPr>
      <w:r>
        <w:t xml:space="preserve">respeitar controle de acesso;</w:t>
      </w:r>
    </w:p>
    <w:p>
      <w:pPr>
        <w:pStyle w:val="Compact"/>
        <w:numPr>
          <w:ilvl w:val="0"/>
          <w:numId w:val="1068"/>
        </w:numPr>
      </w:pPr>
      <w:r>
        <w:t xml:space="preserve">não apresentar vulnerabilidade impeditiva;</w:t>
      </w:r>
    </w:p>
    <w:p>
      <w:pPr>
        <w:pStyle w:val="Compact"/>
        <w:numPr>
          <w:ilvl w:val="0"/>
          <w:numId w:val="1068"/>
        </w:numPr>
      </w:pPr>
      <w:r>
        <w:t xml:space="preserve">permitir exportação;</w:t>
      </w:r>
    </w:p>
    <w:p>
      <w:pPr>
        <w:pStyle w:val="Compact"/>
        <w:numPr>
          <w:ilvl w:val="0"/>
          <w:numId w:val="1068"/>
        </w:numPr>
      </w:pPr>
      <w:r>
        <w:t xml:space="preserve">estiver no repositório municipal;</w:t>
      </w:r>
    </w:p>
    <w:p>
      <w:pPr>
        <w:pStyle w:val="Compact"/>
        <w:numPr>
          <w:ilvl w:val="0"/>
          <w:numId w:val="1068"/>
        </w:numPr>
      </w:pPr>
      <w:r>
        <w:t xml:space="preserve">tiver sido demonstrada;</w:t>
      </w:r>
    </w:p>
    <w:p>
      <w:pPr>
        <w:pStyle w:val="Compact"/>
        <w:numPr>
          <w:ilvl w:val="0"/>
          <w:numId w:val="1068"/>
        </w:numPr>
      </w:pPr>
      <w:r>
        <w:t xml:space="preserve">tiver evidência reproduzível;</w:t>
      </w:r>
    </w:p>
    <w:p>
      <w:pPr>
        <w:pStyle w:val="Compact"/>
        <w:numPr>
          <w:ilvl w:val="0"/>
          <w:numId w:val="1068"/>
        </w:numPr>
      </w:pPr>
      <w:r>
        <w:t xml:space="preserve">tiver sido validada pelos fiscais competentes;</w:t>
      </w:r>
    </w:p>
    <w:p>
      <w:pPr>
        <w:pStyle w:val="Compact"/>
        <w:numPr>
          <w:ilvl w:val="0"/>
          <w:numId w:val="1068"/>
        </w:numPr>
      </w:pPr>
      <w:r>
        <w:t xml:space="preserve">tiver plano de correção das pendências menores.</w:t>
      </w:r>
    </w:p>
    <w:bookmarkStart w:id="99" w:name="estados-de-aceite"/>
    <w:p>
      <w:pPr>
        <w:pStyle w:val="Heading2"/>
      </w:pPr>
      <w:r>
        <w:t xml:space="preserve">13.1 Estados de aceite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Aceita:</w:t>
      </w:r>
      <w:r>
        <w:t xml:space="preserve"> </w:t>
      </w:r>
      <w:r>
        <w:t xml:space="preserve">atende integralmente.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Aceita com ressalvas:</w:t>
      </w:r>
      <w:r>
        <w:t xml:space="preserve"> </w:t>
      </w:r>
      <w:r>
        <w:t xml:space="preserve">pendências sem impedir uso, com prazo de correção.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Rejeitada:</w:t>
      </w:r>
      <w:r>
        <w:t xml:space="preserve"> </w:t>
      </w:r>
      <w:r>
        <w:t xml:space="preserve">não atende requisito essencial.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Suspensa:</w:t>
      </w:r>
      <w:r>
        <w:t xml:space="preserve"> </w:t>
      </w:r>
      <w:r>
        <w:t xml:space="preserve">depende de fonte ou decisão da Administração.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Submetida a reteste:</w:t>
      </w:r>
      <w:r>
        <w:t xml:space="preserve"> </w:t>
      </w:r>
      <w:r>
        <w:t xml:space="preserve">correção entregue.</w:t>
      </w:r>
    </w:p>
    <w:bookmarkEnd w:id="99"/>
    <w:bookmarkStart w:id="100" w:name="defeito-impeditivo"/>
    <w:p>
      <w:pPr>
        <w:pStyle w:val="Heading2"/>
      </w:pPr>
      <w:r>
        <w:t xml:space="preserve">13.2 Defeito impeditivo</w:t>
      </w:r>
    </w:p>
    <w:p>
      <w:pPr>
        <w:pStyle w:val="FirstParagraph"/>
      </w:pPr>
      <w:r>
        <w:t xml:space="preserve">É impeditivo o defeito que:</w:t>
      </w:r>
    </w:p>
    <w:p>
      <w:pPr>
        <w:pStyle w:val="Compact"/>
        <w:numPr>
          <w:ilvl w:val="0"/>
          <w:numId w:val="1070"/>
        </w:numPr>
      </w:pPr>
      <w:r>
        <w:t xml:space="preserve">exponha dado restrito;</w:t>
      </w:r>
    </w:p>
    <w:p>
      <w:pPr>
        <w:pStyle w:val="Compact"/>
        <w:numPr>
          <w:ilvl w:val="0"/>
          <w:numId w:val="1070"/>
        </w:numPr>
      </w:pPr>
      <w:r>
        <w:t xml:space="preserve">permita acesso indevido;</w:t>
      </w:r>
    </w:p>
    <w:p>
      <w:pPr>
        <w:pStyle w:val="Compact"/>
        <w:numPr>
          <w:ilvl w:val="0"/>
          <w:numId w:val="1070"/>
        </w:numPr>
      </w:pPr>
      <w:r>
        <w:t xml:space="preserve">corrompa dados;</w:t>
      </w:r>
    </w:p>
    <w:p>
      <w:pPr>
        <w:pStyle w:val="Compact"/>
        <w:numPr>
          <w:ilvl w:val="0"/>
          <w:numId w:val="1070"/>
        </w:numPr>
      </w:pPr>
      <w:r>
        <w:t xml:space="preserve">perca rastreabilidade;</w:t>
      </w:r>
    </w:p>
    <w:p>
      <w:pPr>
        <w:pStyle w:val="Compact"/>
        <w:numPr>
          <w:ilvl w:val="0"/>
          <w:numId w:val="1070"/>
        </w:numPr>
      </w:pPr>
      <w:r>
        <w:t xml:space="preserve">apresente dado previsto como observado;</w:t>
      </w:r>
    </w:p>
    <w:p>
      <w:pPr>
        <w:pStyle w:val="Compact"/>
        <w:numPr>
          <w:ilvl w:val="0"/>
          <w:numId w:val="1070"/>
        </w:numPr>
      </w:pPr>
      <w:r>
        <w:t xml:space="preserve">apresente ausência como zero;</w:t>
      </w:r>
    </w:p>
    <w:p>
      <w:pPr>
        <w:pStyle w:val="Compact"/>
        <w:numPr>
          <w:ilvl w:val="0"/>
          <w:numId w:val="1070"/>
        </w:numPr>
      </w:pPr>
      <w:r>
        <w:t xml:space="preserve">publique alerta sem aprovação;</w:t>
      </w:r>
    </w:p>
    <w:p>
      <w:pPr>
        <w:pStyle w:val="Compact"/>
        <w:numPr>
          <w:ilvl w:val="0"/>
          <w:numId w:val="1070"/>
        </w:numPr>
      </w:pPr>
      <w:r>
        <w:t xml:space="preserve">inviabilize operação;</w:t>
      </w:r>
    </w:p>
    <w:p>
      <w:pPr>
        <w:pStyle w:val="Compact"/>
        <w:numPr>
          <w:ilvl w:val="0"/>
          <w:numId w:val="1070"/>
        </w:numPr>
      </w:pPr>
      <w:r>
        <w:t xml:space="preserve">impeça restauração;</w:t>
      </w:r>
    </w:p>
    <w:p>
      <w:pPr>
        <w:pStyle w:val="Compact"/>
        <w:numPr>
          <w:ilvl w:val="0"/>
          <w:numId w:val="1070"/>
        </w:numPr>
      </w:pPr>
      <w:r>
        <w:t xml:space="preserve">comprometa integridade do histórico.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plano-de-testes"/>
    <w:p>
      <w:pPr>
        <w:pStyle w:val="Heading1"/>
      </w:pPr>
      <w:r>
        <w:t xml:space="preserve">14. Plano de testes</w:t>
      </w:r>
    </w:p>
    <w:bookmarkStart w:id="102" w:name="testes-obrigatórios"/>
    <w:p>
      <w:pPr>
        <w:pStyle w:val="Heading2"/>
      </w:pPr>
      <w:r>
        <w:t xml:space="preserve">14.1 Testes obrigatórios</w:t>
      </w:r>
    </w:p>
    <w:p>
      <w:pPr>
        <w:pStyle w:val="Compact"/>
        <w:numPr>
          <w:ilvl w:val="0"/>
          <w:numId w:val="1071"/>
        </w:numPr>
      </w:pPr>
      <w:r>
        <w:t xml:space="preserve">unitários;</w:t>
      </w:r>
    </w:p>
    <w:p>
      <w:pPr>
        <w:pStyle w:val="Compact"/>
        <w:numPr>
          <w:ilvl w:val="0"/>
          <w:numId w:val="1071"/>
        </w:numPr>
      </w:pPr>
      <w:r>
        <w:t xml:space="preserve">integração;</w:t>
      </w:r>
    </w:p>
    <w:p>
      <w:pPr>
        <w:pStyle w:val="Compact"/>
        <w:numPr>
          <w:ilvl w:val="0"/>
          <w:numId w:val="1071"/>
        </w:numPr>
      </w:pPr>
      <w:r>
        <w:t xml:space="preserve">contrato de API;</w:t>
      </w:r>
    </w:p>
    <w:p>
      <w:pPr>
        <w:pStyle w:val="Compact"/>
        <w:numPr>
          <w:ilvl w:val="0"/>
          <w:numId w:val="1071"/>
        </w:numPr>
      </w:pPr>
      <w:r>
        <w:t xml:space="preserve">migração;</w:t>
      </w:r>
    </w:p>
    <w:p>
      <w:pPr>
        <w:pStyle w:val="Compact"/>
        <w:numPr>
          <w:ilvl w:val="0"/>
          <w:numId w:val="1071"/>
        </w:numPr>
      </w:pPr>
      <w:r>
        <w:t xml:space="preserve">regressão;</w:t>
      </w:r>
    </w:p>
    <w:p>
      <w:pPr>
        <w:pStyle w:val="Compact"/>
        <w:numPr>
          <w:ilvl w:val="0"/>
          <w:numId w:val="1071"/>
        </w:numPr>
      </w:pPr>
      <w:r>
        <w:t xml:space="preserve">autorização;</w:t>
      </w:r>
    </w:p>
    <w:p>
      <w:pPr>
        <w:pStyle w:val="Compact"/>
        <w:numPr>
          <w:ilvl w:val="0"/>
          <w:numId w:val="1071"/>
        </w:numPr>
      </w:pPr>
      <w:r>
        <w:t xml:space="preserve">segurança;</w:t>
      </w:r>
    </w:p>
    <w:p>
      <w:pPr>
        <w:pStyle w:val="Compact"/>
        <w:numPr>
          <w:ilvl w:val="0"/>
          <w:numId w:val="1071"/>
        </w:numPr>
      </w:pPr>
      <w:r>
        <w:t xml:space="preserve">desempenho;</w:t>
      </w:r>
    </w:p>
    <w:p>
      <w:pPr>
        <w:pStyle w:val="Compact"/>
        <w:numPr>
          <w:ilvl w:val="0"/>
          <w:numId w:val="1071"/>
        </w:numPr>
      </w:pPr>
      <w:r>
        <w:t xml:space="preserve">acessibilidade;</w:t>
      </w:r>
    </w:p>
    <w:p>
      <w:pPr>
        <w:pStyle w:val="Compact"/>
        <w:numPr>
          <w:ilvl w:val="0"/>
          <w:numId w:val="1071"/>
        </w:numPr>
      </w:pPr>
      <w:r>
        <w:t xml:space="preserve">restauração;</w:t>
      </w:r>
    </w:p>
    <w:p>
      <w:pPr>
        <w:pStyle w:val="Compact"/>
        <w:numPr>
          <w:ilvl w:val="0"/>
          <w:numId w:val="1071"/>
        </w:numPr>
      </w:pPr>
      <w:r>
        <w:t xml:space="preserve">falha de fonte;</w:t>
      </w:r>
    </w:p>
    <w:p>
      <w:pPr>
        <w:pStyle w:val="Compact"/>
        <w:numPr>
          <w:ilvl w:val="0"/>
          <w:numId w:val="1071"/>
        </w:numPr>
      </w:pPr>
      <w:r>
        <w:t xml:space="preserve">falha de conector;</w:t>
      </w:r>
    </w:p>
    <w:p>
      <w:pPr>
        <w:pStyle w:val="Compact"/>
        <w:numPr>
          <w:ilvl w:val="0"/>
          <w:numId w:val="1071"/>
        </w:numPr>
      </w:pPr>
      <w:r>
        <w:t xml:space="preserve">indisponibilidade de ML;</w:t>
      </w:r>
    </w:p>
    <w:p>
      <w:pPr>
        <w:pStyle w:val="Compact"/>
        <w:numPr>
          <w:ilvl w:val="0"/>
          <w:numId w:val="1071"/>
        </w:numPr>
      </w:pPr>
      <w:r>
        <w:t xml:space="preserve">recuperação;</w:t>
      </w:r>
    </w:p>
    <w:p>
      <w:pPr>
        <w:pStyle w:val="Compact"/>
        <w:numPr>
          <w:ilvl w:val="0"/>
          <w:numId w:val="1071"/>
        </w:numPr>
      </w:pPr>
      <w:r>
        <w:t xml:space="preserve">exportação;</w:t>
      </w:r>
    </w:p>
    <w:p>
      <w:pPr>
        <w:pStyle w:val="Compact"/>
        <w:numPr>
          <w:ilvl w:val="0"/>
          <w:numId w:val="1071"/>
        </w:numPr>
      </w:pPr>
      <w:r>
        <w:t xml:space="preserve">auditoria.</w:t>
      </w:r>
    </w:p>
    <w:bookmarkEnd w:id="102"/>
    <w:bookmarkStart w:id="108" w:name="cenários-mínimos"/>
    <w:p>
      <w:pPr>
        <w:pStyle w:val="Heading2"/>
      </w:pPr>
      <w:r>
        <w:t xml:space="preserve">14.2 Cenários mínimos</w:t>
      </w:r>
    </w:p>
    <w:bookmarkStart w:id="103" w:name="cenário-a-fonte-indisponível"/>
    <w:p>
      <w:pPr>
        <w:pStyle w:val="Heading3"/>
      </w:pPr>
      <w:r>
        <w:t xml:space="preserve">Cenário A — Fonte indisponível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72"/>
        </w:numPr>
      </w:pPr>
      <w:r>
        <w:t xml:space="preserve">registrar a falha;</w:t>
      </w:r>
    </w:p>
    <w:p>
      <w:pPr>
        <w:pStyle w:val="Compact"/>
        <w:numPr>
          <w:ilvl w:val="0"/>
          <w:numId w:val="1072"/>
        </w:numPr>
      </w:pPr>
      <w:r>
        <w:t xml:space="preserve">manter o último dado identificado;</w:t>
      </w:r>
    </w:p>
    <w:p>
      <w:pPr>
        <w:pStyle w:val="Compact"/>
        <w:numPr>
          <w:ilvl w:val="0"/>
          <w:numId w:val="1072"/>
        </w:numPr>
      </w:pPr>
      <w:r>
        <w:t xml:space="preserve">não substituir por zero;</w:t>
      </w:r>
    </w:p>
    <w:p>
      <w:pPr>
        <w:pStyle w:val="Compact"/>
        <w:numPr>
          <w:ilvl w:val="0"/>
          <w:numId w:val="1072"/>
        </w:numPr>
      </w:pPr>
      <w:r>
        <w:t xml:space="preserve">avisar o operador;</w:t>
      </w:r>
    </w:p>
    <w:p>
      <w:pPr>
        <w:pStyle w:val="Compact"/>
        <w:numPr>
          <w:ilvl w:val="0"/>
          <w:numId w:val="1072"/>
        </w:numPr>
      </w:pPr>
      <w:r>
        <w:t xml:space="preserve">recuperar automaticamente;</w:t>
      </w:r>
    </w:p>
    <w:p>
      <w:pPr>
        <w:pStyle w:val="Compact"/>
        <w:numPr>
          <w:ilvl w:val="0"/>
          <w:numId w:val="1072"/>
        </w:numPr>
      </w:pPr>
      <w:r>
        <w:t xml:space="preserve">registrar duração.</w:t>
      </w:r>
    </w:p>
    <w:bookmarkEnd w:id="103"/>
    <w:bookmarkStart w:id="104" w:name="X66e147f2fd533ecebbbad3cbf6641320e8791b3"/>
    <w:p>
      <w:pPr>
        <w:pStyle w:val="Heading3"/>
      </w:pPr>
      <w:r>
        <w:t xml:space="preserve">Cenário B — Estação parcialmente indisponível</w:t>
      </w:r>
    </w:p>
    <w:p>
      <w:pPr>
        <w:pStyle w:val="FirstParagraph"/>
      </w:pPr>
      <w:r>
        <w:t xml:space="preserve">O sistema deverá demonstrar:</w:t>
      </w:r>
    </w:p>
    <w:p>
      <w:pPr>
        <w:pStyle w:val="Compact"/>
        <w:numPr>
          <w:ilvl w:val="0"/>
          <w:numId w:val="1073"/>
        </w:numPr>
      </w:pPr>
      <w:r>
        <w:t xml:space="preserve">PM₁₀ operacional;</w:t>
      </w:r>
    </w:p>
    <w:p>
      <w:pPr>
        <w:pStyle w:val="Compact"/>
        <w:numPr>
          <w:ilvl w:val="0"/>
          <w:numId w:val="1073"/>
        </w:numPr>
      </w:pPr>
      <w:r>
        <w:t xml:space="preserve">PM₂,₅ indisponível;</w:t>
      </w:r>
    </w:p>
    <w:p>
      <w:pPr>
        <w:pStyle w:val="Compact"/>
        <w:numPr>
          <w:ilvl w:val="0"/>
          <w:numId w:val="1073"/>
        </w:numPr>
      </w:pPr>
      <w:r>
        <w:t xml:space="preserve">estado separado por variável;</w:t>
      </w:r>
    </w:p>
    <w:p>
      <w:pPr>
        <w:pStyle w:val="Compact"/>
        <w:numPr>
          <w:ilvl w:val="0"/>
          <w:numId w:val="1073"/>
        </w:numPr>
      </w:pPr>
      <w:r>
        <w:t xml:space="preserve">completude correta.</w:t>
      </w:r>
    </w:p>
    <w:bookmarkEnd w:id="104"/>
    <w:bookmarkStart w:id="105" w:name="cenário-c-relato-sem-confirmação"/>
    <w:p>
      <w:pPr>
        <w:pStyle w:val="Heading3"/>
      </w:pPr>
      <w:r>
        <w:t xml:space="preserve">Cenário C — Relato sem confirmação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74"/>
        </w:numPr>
      </w:pPr>
      <w:r>
        <w:t xml:space="preserve">registrar o relato;</w:t>
      </w:r>
    </w:p>
    <w:p>
      <w:pPr>
        <w:pStyle w:val="Compact"/>
        <w:numPr>
          <w:ilvl w:val="0"/>
          <w:numId w:val="1074"/>
        </w:numPr>
      </w:pPr>
      <w:r>
        <w:t xml:space="preserve">classificar como não verificado;</w:t>
      </w:r>
    </w:p>
    <w:p>
      <w:pPr>
        <w:pStyle w:val="Compact"/>
        <w:numPr>
          <w:ilvl w:val="0"/>
          <w:numId w:val="1074"/>
        </w:numPr>
      </w:pPr>
      <w:r>
        <w:t xml:space="preserve">impedir sua apresentação como ocorrência confirmada;</w:t>
      </w:r>
    </w:p>
    <w:p>
      <w:pPr>
        <w:pStyle w:val="Compact"/>
        <w:numPr>
          <w:ilvl w:val="0"/>
          <w:numId w:val="1074"/>
        </w:numPr>
      </w:pPr>
      <w:r>
        <w:t xml:space="preserve">permitir posterior vistoria.</w:t>
      </w:r>
    </w:p>
    <w:bookmarkEnd w:id="105"/>
    <w:bookmarkStart w:id="106" w:name="cenário-d-protocolo"/>
    <w:p>
      <w:pPr>
        <w:pStyle w:val="Heading3"/>
      </w:pPr>
      <w:r>
        <w:t xml:space="preserve">Cenário D — Protocolo</w:t>
      </w:r>
    </w:p>
    <w:p>
      <w:pPr>
        <w:pStyle w:val="FirstParagraph"/>
      </w:pPr>
      <w:r>
        <w:t xml:space="preserve">O sistema deverá:</w:t>
      </w:r>
    </w:p>
    <w:p>
      <w:pPr>
        <w:pStyle w:val="Compact"/>
        <w:numPr>
          <w:ilvl w:val="0"/>
          <w:numId w:val="1075"/>
        </w:numPr>
      </w:pPr>
      <w:r>
        <w:t xml:space="preserve">identificar condição;</w:t>
      </w:r>
    </w:p>
    <w:p>
      <w:pPr>
        <w:pStyle w:val="Compact"/>
        <w:numPr>
          <w:ilvl w:val="0"/>
          <w:numId w:val="1075"/>
        </w:numPr>
      </w:pPr>
      <w:r>
        <w:t xml:space="preserve">sugerir ativação;</w:t>
      </w:r>
    </w:p>
    <w:p>
      <w:pPr>
        <w:pStyle w:val="Compact"/>
        <w:numPr>
          <w:ilvl w:val="0"/>
          <w:numId w:val="1075"/>
        </w:numPr>
      </w:pPr>
      <w:r>
        <w:t xml:space="preserve">apresentar evidências;</w:t>
      </w:r>
    </w:p>
    <w:p>
      <w:pPr>
        <w:pStyle w:val="Compact"/>
        <w:numPr>
          <w:ilvl w:val="0"/>
          <w:numId w:val="1075"/>
        </w:numPr>
      </w:pPr>
      <w:r>
        <w:t xml:space="preserve">exigir aprovação;</w:t>
      </w:r>
    </w:p>
    <w:p>
      <w:pPr>
        <w:pStyle w:val="Compact"/>
        <w:numPr>
          <w:ilvl w:val="0"/>
          <w:numId w:val="1075"/>
        </w:numPr>
      </w:pPr>
      <w:r>
        <w:t xml:space="preserve">registrar decisão;</w:t>
      </w:r>
    </w:p>
    <w:p>
      <w:pPr>
        <w:pStyle w:val="Compact"/>
        <w:numPr>
          <w:ilvl w:val="0"/>
          <w:numId w:val="1075"/>
        </w:numPr>
      </w:pPr>
      <w:r>
        <w:t xml:space="preserve">gerar ações;</w:t>
      </w:r>
    </w:p>
    <w:p>
      <w:pPr>
        <w:pStyle w:val="Compact"/>
        <w:numPr>
          <w:ilvl w:val="0"/>
          <w:numId w:val="1075"/>
        </w:numPr>
      </w:pPr>
      <w:r>
        <w:t xml:space="preserve">encerrar com justificativa.</w:t>
      </w:r>
    </w:p>
    <w:bookmarkEnd w:id="106"/>
    <w:bookmarkStart w:id="107" w:name="cenário-e-controle-de-acesso"/>
    <w:p>
      <w:pPr>
        <w:pStyle w:val="Heading3"/>
      </w:pPr>
      <w:r>
        <w:t xml:space="preserve">Cenário E — Controle de acesso</w:t>
      </w:r>
    </w:p>
    <w:p>
      <w:pPr>
        <w:pStyle w:val="FirstParagraph"/>
      </w:pPr>
      <w:r>
        <w:t xml:space="preserve">Usuário de uma área não deverá visualizar:</w:t>
      </w:r>
    </w:p>
    <w:p>
      <w:pPr>
        <w:pStyle w:val="Compact"/>
        <w:numPr>
          <w:ilvl w:val="0"/>
          <w:numId w:val="1076"/>
        </w:numPr>
      </w:pPr>
      <w:r>
        <w:t xml:space="preserve">saúde nominal;</w:t>
      </w:r>
    </w:p>
    <w:p>
      <w:pPr>
        <w:pStyle w:val="Compact"/>
        <w:numPr>
          <w:ilvl w:val="0"/>
          <w:numId w:val="1076"/>
        </w:numPr>
      </w:pPr>
      <w:r>
        <w:t xml:space="preserve">assistência nominal;</w:t>
      </w:r>
    </w:p>
    <w:p>
      <w:pPr>
        <w:pStyle w:val="Compact"/>
        <w:numPr>
          <w:ilvl w:val="0"/>
          <w:numId w:val="1076"/>
        </w:numPr>
      </w:pPr>
      <w:r>
        <w:t xml:space="preserve">coordenadas restritas;</w:t>
      </w:r>
    </w:p>
    <w:p>
      <w:pPr>
        <w:pStyle w:val="Compact"/>
        <w:numPr>
          <w:ilvl w:val="0"/>
          <w:numId w:val="1076"/>
        </w:numPr>
      </w:pPr>
      <w:r>
        <w:t xml:space="preserve">dados empresariais de outro tenant.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End w:id="109"/>
    <w:bookmarkStart w:id="113" w:name="prova-de-conceito"/>
    <w:p>
      <w:pPr>
        <w:pStyle w:val="Heading1"/>
      </w:pPr>
      <w:r>
        <w:t xml:space="preserve">15. Prova de conceito</w:t>
      </w:r>
    </w:p>
    <w:bookmarkStart w:id="110" w:name="finalidade"/>
    <w:p>
      <w:pPr>
        <w:pStyle w:val="Heading2"/>
      </w:pPr>
      <w:r>
        <w:t xml:space="preserve">15.1 Finalidade</w:t>
      </w:r>
    </w:p>
    <w:p>
      <w:pPr>
        <w:pStyle w:val="FirstParagraph"/>
      </w:pPr>
      <w:r>
        <w:t xml:space="preserve">Poderá ser exigida prova de conceito para verificar os requisitos de maior risco, desde que:</w:t>
      </w:r>
    </w:p>
    <w:p>
      <w:pPr>
        <w:pStyle w:val="Compact"/>
        <w:numPr>
          <w:ilvl w:val="0"/>
          <w:numId w:val="1077"/>
        </w:numPr>
      </w:pPr>
      <w:r>
        <w:t xml:space="preserve">esteja prevista no edital;</w:t>
      </w:r>
    </w:p>
    <w:p>
      <w:pPr>
        <w:pStyle w:val="Compact"/>
        <w:numPr>
          <w:ilvl w:val="0"/>
          <w:numId w:val="1077"/>
        </w:numPr>
      </w:pPr>
      <w:r>
        <w:t xml:space="preserve">possua roteiro objetivo;</w:t>
      </w:r>
    </w:p>
    <w:p>
      <w:pPr>
        <w:pStyle w:val="Compact"/>
        <w:numPr>
          <w:ilvl w:val="0"/>
          <w:numId w:val="1077"/>
        </w:numPr>
      </w:pPr>
      <w:r>
        <w:t xml:space="preserve">seja aplicada na fase adequada;</w:t>
      </w:r>
    </w:p>
    <w:p>
      <w:pPr>
        <w:pStyle w:val="Compact"/>
        <w:numPr>
          <w:ilvl w:val="0"/>
          <w:numId w:val="1077"/>
        </w:numPr>
      </w:pPr>
      <w:r>
        <w:t xml:space="preserve">não exija desenvolvimento integral antecipado;</w:t>
      </w:r>
    </w:p>
    <w:p>
      <w:pPr>
        <w:pStyle w:val="Compact"/>
        <w:numPr>
          <w:ilvl w:val="0"/>
          <w:numId w:val="1077"/>
        </w:numPr>
      </w:pPr>
      <w:r>
        <w:t xml:space="preserve">não estabeleça exigências desproporcionais.</w:t>
      </w:r>
    </w:p>
    <w:p>
      <w:pPr>
        <w:pStyle w:val="FirstParagraph"/>
      </w:pPr>
      <w:r>
        <w:t xml:space="preserve">O TCU reconhece a prova de conceito como mecanismo para verificar o atendimento a especificações e requisitos funcionais, especialmente em contratações de TIC.</w:t>
      </w:r>
    </w:p>
    <w:bookmarkEnd w:id="110"/>
    <w:bookmarkStart w:id="111" w:name="roteiro-sugerido"/>
    <w:p>
      <w:pPr>
        <w:pStyle w:val="Heading2"/>
      </w:pPr>
      <w:r>
        <w:t xml:space="preserve">15.2 Roteiro sugerido</w:t>
      </w:r>
    </w:p>
    <w:p>
      <w:pPr>
        <w:pStyle w:val="FirstParagraph"/>
      </w:pPr>
      <w:r>
        <w:t xml:space="preserve">A licitante deverá demonstrar:</w:t>
      </w:r>
    </w:p>
    <w:p>
      <w:pPr>
        <w:pStyle w:val="Compact"/>
        <w:numPr>
          <w:ilvl w:val="0"/>
          <w:numId w:val="1078"/>
        </w:numPr>
      </w:pPr>
      <w:r>
        <w:t xml:space="preserve">ingestão de uma fonte pública;</w:t>
      </w:r>
    </w:p>
    <w:p>
      <w:pPr>
        <w:pStyle w:val="Compact"/>
        <w:numPr>
          <w:ilvl w:val="0"/>
          <w:numId w:val="1078"/>
        </w:numPr>
      </w:pPr>
      <w:r>
        <w:t xml:space="preserve">preservação do payload;</w:t>
      </w:r>
    </w:p>
    <w:p>
      <w:pPr>
        <w:pStyle w:val="Compact"/>
        <w:numPr>
          <w:ilvl w:val="0"/>
          <w:numId w:val="1078"/>
        </w:numPr>
      </w:pPr>
      <w:r>
        <w:t xml:space="preserve">série temporal;</w:t>
      </w:r>
    </w:p>
    <w:p>
      <w:pPr>
        <w:pStyle w:val="Compact"/>
        <w:numPr>
          <w:ilvl w:val="0"/>
          <w:numId w:val="1078"/>
        </w:numPr>
      </w:pPr>
      <w:r>
        <w:t xml:space="preserve">falha simulada;</w:t>
      </w:r>
    </w:p>
    <w:p>
      <w:pPr>
        <w:pStyle w:val="Compact"/>
        <w:numPr>
          <w:ilvl w:val="0"/>
          <w:numId w:val="1078"/>
        </w:numPr>
      </w:pPr>
      <w:r>
        <w:t xml:space="preserve">flag de qualidade;</w:t>
      </w:r>
    </w:p>
    <w:p>
      <w:pPr>
        <w:pStyle w:val="Compact"/>
        <w:numPr>
          <w:ilvl w:val="0"/>
          <w:numId w:val="1078"/>
        </w:numPr>
      </w:pPr>
      <w:r>
        <w:t xml:space="preserve">mapa;</w:t>
      </w:r>
    </w:p>
    <w:p>
      <w:pPr>
        <w:pStyle w:val="Compact"/>
        <w:numPr>
          <w:ilvl w:val="0"/>
          <w:numId w:val="1078"/>
        </w:numPr>
      </w:pPr>
      <w:r>
        <w:t xml:space="preserve">segregação de acesso;</w:t>
      </w:r>
    </w:p>
    <w:p>
      <w:pPr>
        <w:pStyle w:val="Compact"/>
        <w:numPr>
          <w:ilvl w:val="0"/>
          <w:numId w:val="1078"/>
        </w:numPr>
      </w:pPr>
      <w:r>
        <w:t xml:space="preserve">ativação simulada de protocolo;</w:t>
      </w:r>
    </w:p>
    <w:p>
      <w:pPr>
        <w:pStyle w:val="Compact"/>
        <w:numPr>
          <w:ilvl w:val="0"/>
          <w:numId w:val="1078"/>
        </w:numPr>
      </w:pPr>
      <w:r>
        <w:t xml:space="preserve">trilha de auditoria;</w:t>
      </w:r>
    </w:p>
    <w:p>
      <w:pPr>
        <w:pStyle w:val="Compact"/>
        <w:numPr>
          <w:ilvl w:val="0"/>
          <w:numId w:val="1078"/>
        </w:numPr>
      </w:pPr>
      <w:r>
        <w:t xml:space="preserve">exportação.</w:t>
      </w:r>
    </w:p>
    <w:bookmarkEnd w:id="111"/>
    <w:bookmarkStart w:id="112" w:name="restrições"/>
    <w:p>
      <w:pPr>
        <w:pStyle w:val="Heading2"/>
      </w:pPr>
      <w:r>
        <w:t xml:space="preserve">15.3 Restrições</w:t>
      </w:r>
    </w:p>
    <w:p>
      <w:pPr>
        <w:pStyle w:val="FirstParagraph"/>
      </w:pPr>
      <w:r>
        <w:t xml:space="preserve">A prova de conceito não deverá:</w:t>
      </w:r>
    </w:p>
    <w:p>
      <w:pPr>
        <w:pStyle w:val="Compact"/>
        <w:numPr>
          <w:ilvl w:val="0"/>
          <w:numId w:val="1079"/>
        </w:numPr>
      </w:pPr>
      <w:r>
        <w:t xml:space="preserve">exigir integração definitiva;</w:t>
      </w:r>
    </w:p>
    <w:p>
      <w:pPr>
        <w:pStyle w:val="Compact"/>
        <w:numPr>
          <w:ilvl w:val="0"/>
          <w:numId w:val="1079"/>
        </w:numPr>
      </w:pPr>
      <w:r>
        <w:t xml:space="preserve">usar dados pessoais reais;</w:t>
      </w:r>
    </w:p>
    <w:p>
      <w:pPr>
        <w:pStyle w:val="Compact"/>
        <w:numPr>
          <w:ilvl w:val="0"/>
          <w:numId w:val="1079"/>
        </w:numPr>
      </w:pPr>
      <w:r>
        <w:t xml:space="preserve">obrigar cessão gratuita de produto completo;</w:t>
      </w:r>
    </w:p>
    <w:p>
      <w:pPr>
        <w:pStyle w:val="Compact"/>
        <w:numPr>
          <w:ilvl w:val="0"/>
          <w:numId w:val="1079"/>
        </w:numPr>
      </w:pPr>
      <w:r>
        <w:t xml:space="preserve">avaliar requisitos não previstos;</w:t>
      </w:r>
    </w:p>
    <w:p>
      <w:pPr>
        <w:pStyle w:val="Compact"/>
        <w:numPr>
          <w:ilvl w:val="0"/>
          <w:numId w:val="1079"/>
        </w:numPr>
      </w:pPr>
      <w:r>
        <w:t xml:space="preserve">ser julgada subjetivamente;</w:t>
      </w:r>
    </w:p>
    <w:p>
      <w:pPr>
        <w:pStyle w:val="Compact"/>
        <w:numPr>
          <w:ilvl w:val="0"/>
          <w:numId w:val="1079"/>
        </w:numPr>
      </w:pPr>
      <w:r>
        <w:t xml:space="preserve">depender de marcas específicas sem justificativa.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8" w:name="níveis-de-serviço"/>
    <w:p>
      <w:pPr>
        <w:pStyle w:val="Heading1"/>
      </w:pPr>
      <w:r>
        <w:t xml:space="preserve">16. Níveis de serviço</w:t>
      </w:r>
    </w:p>
    <w:bookmarkStart w:id="114" w:name="disponibilidade"/>
    <w:p>
      <w:pPr>
        <w:pStyle w:val="Heading2"/>
      </w:pPr>
      <w:r>
        <w:t xml:space="preserve">16.1 Disponibilidade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Serviço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 mensal inicial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Site público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interno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operacional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Coleta de fontes críticas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99,0% do processamento sob controle da contratada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Serviço de identidade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99,5%</w:t>
            </w:r>
          </w:p>
        </w:tc>
      </w:tr>
    </w:tbl>
    <w:p>
      <w:pPr>
        <w:pStyle w:val="BodyText"/>
      </w:pPr>
      <w:r>
        <w:t xml:space="preserve">A indisponibilidade comprovada da fonte externa não será computada como indisponibilidade da contratada, desde que:</w:t>
      </w:r>
    </w:p>
    <w:p>
      <w:pPr>
        <w:pStyle w:val="Compact"/>
        <w:numPr>
          <w:ilvl w:val="0"/>
          <w:numId w:val="1080"/>
        </w:numPr>
      </w:pPr>
      <w:r>
        <w:t xml:space="preserve">o conector tenha funcionado;</w:t>
      </w:r>
    </w:p>
    <w:p>
      <w:pPr>
        <w:pStyle w:val="Compact"/>
        <w:numPr>
          <w:ilvl w:val="0"/>
          <w:numId w:val="1080"/>
        </w:numPr>
      </w:pPr>
      <w:r>
        <w:t xml:space="preserve">a falha tenha sido detectada;</w:t>
      </w:r>
    </w:p>
    <w:p>
      <w:pPr>
        <w:pStyle w:val="Compact"/>
        <w:numPr>
          <w:ilvl w:val="0"/>
          <w:numId w:val="1080"/>
        </w:numPr>
      </w:pPr>
      <w:r>
        <w:t xml:space="preserve">o dashboard tenha informado a indisponibilidade;</w:t>
      </w:r>
    </w:p>
    <w:p>
      <w:pPr>
        <w:pStyle w:val="Compact"/>
        <w:numPr>
          <w:ilvl w:val="0"/>
          <w:numId w:val="1080"/>
        </w:numPr>
      </w:pPr>
      <w:r>
        <w:t xml:space="preserve">a recuperação tenha sido tentada;</w:t>
      </w:r>
    </w:p>
    <w:p>
      <w:pPr>
        <w:pStyle w:val="Compact"/>
        <w:numPr>
          <w:ilvl w:val="0"/>
          <w:numId w:val="1080"/>
        </w:numPr>
      </w:pPr>
      <w:r>
        <w:t xml:space="preserve">os logs estejam disponíveis.</w:t>
      </w:r>
    </w:p>
    <w:bookmarkEnd w:id="114"/>
    <w:bookmarkStart w:id="115" w:name="atendimento-de-incidentes"/>
    <w:p>
      <w:pPr>
        <w:pStyle w:val="Heading2"/>
      </w:pPr>
      <w:r>
        <w:t xml:space="preserve">16.2 Atendimento de incidentes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Severidade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Reconhecimento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Contorno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Solução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 — crítica</w:t>
            </w:r>
          </w:p>
        </w:tc>
        <w:tc>
          <w:tcPr/>
          <w:p>
            <w:pPr>
              <w:pStyle w:val="Compact"/>
            </w:pPr>
            <w:r>
              <w:t xml:space="preserve">vazamento, plataforma indisponível, corrupção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h ou plano aprovado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 — alta</w:t>
            </w:r>
          </w:p>
        </w:tc>
        <w:tc>
          <w:tcPr/>
          <w:p>
            <w:pPr>
              <w:pStyle w:val="Compact"/>
            </w:pPr>
            <w:r>
              <w:t xml:space="preserve">módulo essencial indisponível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 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 — média</w:t>
            </w:r>
          </w:p>
        </w:tc>
        <w:tc>
          <w:tcPr/>
          <w:p>
            <w:pPr>
              <w:pStyle w:val="Compact"/>
            </w:pPr>
            <w:r>
              <w:t xml:space="preserve">falha com alternativa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h úteis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dia útil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dias úteis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 — baixa</w:t>
            </w:r>
          </w:p>
        </w:tc>
        <w:tc>
          <w:tcPr/>
          <w:p>
            <w:pPr>
              <w:pStyle w:val="Compact"/>
            </w:pPr>
            <w:r>
              <w:t xml:space="preserve">defeito cosmético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dia útil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ciclo programado</w:t>
            </w:r>
          </w:p>
        </w:tc>
      </w:tr>
    </w:tbl>
    <w:p>
      <w:pPr>
        <w:pStyle w:val="BodyText"/>
      </w:pPr>
      <w:r>
        <w:t xml:space="preserve">Os prazos deverão ser calibrados com o horário de suporte contratado e a infraestrutura municipal.</w:t>
      </w:r>
    </w:p>
    <w:bookmarkEnd w:id="115"/>
    <w:bookmarkStart w:id="116" w:name="atualização-de-dados"/>
    <w:p>
      <w:pPr>
        <w:pStyle w:val="Heading2"/>
      </w:pPr>
      <w:r>
        <w:t xml:space="preserve">16.3 Atualização de dados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 ou produto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Meta de processamento após disponibilidade na 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 oficiais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até 5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METAR/SPECI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até 15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Focos de calor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até 15 minutos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Estações meteorológicas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até 15 minutos após consulta prevista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Qualidade do ar horária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até 20 minutos após disponibilização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Ocorrências integradas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disponibilidade do sistema de 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de saúde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conforme lote diário definido</w:t>
            </w:r>
          </w:p>
        </w:tc>
      </w:tr>
    </w:tbl>
    <w:bookmarkEnd w:id="116"/>
    <w:bookmarkStart w:id="117" w:name="desempenho"/>
    <w:p>
      <w:pPr>
        <w:pStyle w:val="Heading2"/>
      </w:pPr>
      <w:r>
        <w:t xml:space="preserve">16.4 Desempenho</w:t>
      </w:r>
    </w:p>
    <w:p>
      <w:pPr>
        <w:pStyle w:val="Compact"/>
        <w:numPr>
          <w:ilvl w:val="0"/>
          <w:numId w:val="1081"/>
        </w:numPr>
      </w:pPr>
      <w:r>
        <w:t xml:space="preserve">95% das requisições comuns em até 2 segundos;</w:t>
      </w:r>
    </w:p>
    <w:p>
      <w:pPr>
        <w:pStyle w:val="Compact"/>
        <w:numPr>
          <w:ilvl w:val="0"/>
          <w:numId w:val="1081"/>
        </w:numPr>
      </w:pPr>
      <w:r>
        <w:t xml:space="preserve">página pública principal em até 3 segundos em rede de referência;</w:t>
      </w:r>
    </w:p>
    <w:p>
      <w:pPr>
        <w:pStyle w:val="Compact"/>
        <w:numPr>
          <w:ilvl w:val="0"/>
          <w:numId w:val="1081"/>
        </w:numPr>
      </w:pPr>
      <w:r>
        <w:t xml:space="preserve">mapa com carregamento progressivo;</w:t>
      </w:r>
    </w:p>
    <w:p>
      <w:pPr>
        <w:pStyle w:val="Compact"/>
        <w:numPr>
          <w:ilvl w:val="0"/>
          <w:numId w:val="1081"/>
        </w:numPr>
      </w:pPr>
      <w:r>
        <w:t xml:space="preserve">exportação pesada processada de forma assíncrona;</w:t>
      </w:r>
    </w:p>
    <w:p>
      <w:pPr>
        <w:pStyle w:val="Compact"/>
        <w:numPr>
          <w:ilvl w:val="0"/>
          <w:numId w:val="1081"/>
        </w:numPr>
      </w:pPr>
      <w:r>
        <w:t xml:space="preserve">degradação controlada durante indisponibilidade de fonte.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7" w:name="instrumento-de-medição-de-resultado"/>
    <w:p>
      <w:pPr>
        <w:pStyle w:val="Heading1"/>
      </w:pPr>
      <w:r>
        <w:t xml:space="preserve">17. Instrumento de Medição de Resultado</w:t>
      </w:r>
    </w:p>
    <w:bookmarkStart w:id="125" w:name="indicadores-sugeridos"/>
    <w:p>
      <w:pPr>
        <w:pStyle w:val="Heading2"/>
      </w:pPr>
      <w:r>
        <w:t xml:space="preserve">17.1 Indicadores sugeridos</w:t>
      </w:r>
    </w:p>
    <w:bookmarkStart w:id="119" w:name="imr-01-disponibilidade-da-plataforma"/>
    <w:p>
      <w:pPr>
        <w:pStyle w:val="Heading3"/>
      </w:pPr>
      <w:r>
        <w:t xml:space="preserve">IMR-01 — Disponibilidade da plataforma</w:t>
      </w:r>
    </w:p>
    <w:p>
      <w:pPr>
        <w:pStyle w:val="SourceCode"/>
      </w:pPr>
      <w:r>
        <w:rPr>
          <w:rStyle w:val="VerbatimChar"/>
        </w:rPr>
        <w:t xml:space="preserve">Disponibilidade =</w:t>
      </w:r>
      <w:r>
        <w:br/>
      </w:r>
      <w:r>
        <w:rPr>
          <w:rStyle w:val="VerbatimChar"/>
        </w:rPr>
        <w:t xml:space="preserve">tempo disponível / tempo previsto</w:t>
      </w:r>
    </w:p>
    <w:bookmarkEnd w:id="119"/>
    <w:bookmarkStart w:id="120" w:name="imr-02-cumprimento-das-ingestões"/>
    <w:p>
      <w:pPr>
        <w:pStyle w:val="Heading3"/>
      </w:pPr>
      <w:r>
        <w:t xml:space="preserve">IMR-02 — Cumprimento das ingestões</w:t>
      </w:r>
    </w:p>
    <w:p>
      <w:pPr>
        <w:pStyle w:val="SourceCode"/>
      </w:pPr>
      <w:r>
        <w:rPr>
          <w:rStyle w:val="VerbatimChar"/>
        </w:rPr>
        <w:t xml:space="preserve">Execuções concluídas no prazo /</w:t>
      </w:r>
      <w:r>
        <w:br/>
      </w:r>
      <w:r>
        <w:rPr>
          <w:rStyle w:val="VerbatimChar"/>
        </w:rPr>
        <w:t xml:space="preserve">execuções previstas sob controle da contratada</w:t>
      </w:r>
    </w:p>
    <w:bookmarkEnd w:id="120"/>
    <w:bookmarkStart w:id="121" w:name="imr-03-correção-de-incidentes"/>
    <w:p>
      <w:pPr>
        <w:pStyle w:val="Heading3"/>
      </w:pPr>
      <w:r>
        <w:t xml:space="preserve">IMR-03 — Correção de incidentes</w:t>
      </w:r>
    </w:p>
    <w:p>
      <w:pPr>
        <w:pStyle w:val="SourceCode"/>
      </w:pPr>
      <w:r>
        <w:rPr>
          <w:rStyle w:val="VerbatimChar"/>
        </w:rPr>
        <w:t xml:space="preserve">Incidentes solucionados no SLA /</w:t>
      </w:r>
      <w:r>
        <w:br/>
      </w:r>
      <w:r>
        <w:rPr>
          <w:rStyle w:val="VerbatimChar"/>
        </w:rPr>
        <w:t xml:space="preserve">incidentes encerrados</w:t>
      </w:r>
    </w:p>
    <w:bookmarkEnd w:id="121"/>
    <w:bookmarkStart w:id="122" w:name="imr-04-qualidade-das-entregas"/>
    <w:p>
      <w:pPr>
        <w:pStyle w:val="Heading3"/>
      </w:pPr>
      <w:r>
        <w:t xml:space="preserve">IMR-04 — Qualidade das entregas</w:t>
      </w:r>
    </w:p>
    <w:p>
      <w:pPr>
        <w:pStyle w:val="SourceCode"/>
      </w:pPr>
      <w:r>
        <w:rPr>
          <w:rStyle w:val="VerbatimChar"/>
        </w:rPr>
        <w:t xml:space="preserve">Histórias aceitas sem rejeição /</w:t>
      </w:r>
      <w:r>
        <w:br/>
      </w:r>
      <w:r>
        <w:rPr>
          <w:rStyle w:val="VerbatimChar"/>
        </w:rPr>
        <w:t xml:space="preserve">histórias submetidas</w:t>
      </w:r>
    </w:p>
    <w:bookmarkEnd w:id="122"/>
    <w:bookmarkStart w:id="123" w:name="imr-05-documentação-atualizada"/>
    <w:p>
      <w:pPr>
        <w:pStyle w:val="Heading3"/>
      </w:pPr>
      <w:r>
        <w:t xml:space="preserve">IMR-05 — Documentação atualizada</w:t>
      </w:r>
    </w:p>
    <w:p>
      <w:pPr>
        <w:pStyle w:val="FirstParagraph"/>
      </w:pPr>
      <w:r>
        <w:t xml:space="preserve">Percentual de componentes produtivos com:</w:t>
      </w:r>
    </w:p>
    <w:p>
      <w:pPr>
        <w:pStyle w:val="Compact"/>
        <w:numPr>
          <w:ilvl w:val="0"/>
          <w:numId w:val="1082"/>
        </w:numPr>
      </w:pPr>
      <w:r>
        <w:t xml:space="preserve">manual;</w:t>
      </w:r>
    </w:p>
    <w:p>
      <w:pPr>
        <w:pStyle w:val="Compact"/>
        <w:numPr>
          <w:ilvl w:val="0"/>
          <w:numId w:val="1082"/>
        </w:numPr>
      </w:pPr>
      <w:r>
        <w:t xml:space="preserve">API;</w:t>
      </w:r>
    </w:p>
    <w:p>
      <w:pPr>
        <w:pStyle w:val="Compact"/>
        <w:numPr>
          <w:ilvl w:val="0"/>
          <w:numId w:val="1082"/>
        </w:numPr>
      </w:pPr>
      <w:r>
        <w:t xml:space="preserve">arquitetura;</w:t>
      </w:r>
    </w:p>
    <w:p>
      <w:pPr>
        <w:pStyle w:val="Compact"/>
        <w:numPr>
          <w:ilvl w:val="0"/>
          <w:numId w:val="1082"/>
        </w:numPr>
      </w:pPr>
      <w:r>
        <w:t xml:space="preserve">implantação;</w:t>
      </w:r>
    </w:p>
    <w:p>
      <w:pPr>
        <w:pStyle w:val="Compact"/>
        <w:numPr>
          <w:ilvl w:val="0"/>
          <w:numId w:val="1082"/>
        </w:numPr>
      </w:pPr>
      <w:r>
        <w:t xml:space="preserve">dependências;</w:t>
      </w:r>
    </w:p>
    <w:p>
      <w:pPr>
        <w:pStyle w:val="Compact"/>
        <w:numPr>
          <w:ilvl w:val="0"/>
          <w:numId w:val="1082"/>
        </w:numPr>
      </w:pPr>
      <w:r>
        <w:t xml:space="preserve">versão.</w:t>
      </w:r>
    </w:p>
    <w:bookmarkEnd w:id="123"/>
    <w:bookmarkStart w:id="124" w:name="imr-06-transferência-de-conhecimento"/>
    <w:p>
      <w:pPr>
        <w:pStyle w:val="Heading3"/>
      </w:pPr>
      <w:r>
        <w:t xml:space="preserve">IMR-06 — Transferência de conhecimento</w:t>
      </w:r>
    </w:p>
    <w:p>
      <w:pPr>
        <w:pStyle w:val="FirstParagraph"/>
      </w:pPr>
      <w:r>
        <w:t xml:space="preserve">Percentual de:</w:t>
      </w:r>
    </w:p>
    <w:p>
      <w:pPr>
        <w:pStyle w:val="Compact"/>
        <w:numPr>
          <w:ilvl w:val="0"/>
          <w:numId w:val="1083"/>
        </w:numPr>
      </w:pPr>
      <w:r>
        <w:t xml:space="preserve">treinamentos realizados;</w:t>
      </w:r>
    </w:p>
    <w:p>
      <w:pPr>
        <w:pStyle w:val="Compact"/>
        <w:numPr>
          <w:ilvl w:val="0"/>
          <w:numId w:val="1083"/>
        </w:numPr>
      </w:pPr>
      <w:r>
        <w:t xml:space="preserve">materiais entregues;</w:t>
      </w:r>
    </w:p>
    <w:p>
      <w:pPr>
        <w:pStyle w:val="Compact"/>
        <w:numPr>
          <w:ilvl w:val="0"/>
          <w:numId w:val="1083"/>
        </w:numPr>
      </w:pPr>
      <w:r>
        <w:t xml:space="preserve">exercícios concluídos;</w:t>
      </w:r>
    </w:p>
    <w:p>
      <w:pPr>
        <w:pStyle w:val="Compact"/>
        <w:numPr>
          <w:ilvl w:val="0"/>
          <w:numId w:val="1083"/>
        </w:numPr>
      </w:pPr>
      <w:r>
        <w:t xml:space="preserve">servidores capacitados.</w:t>
      </w:r>
    </w:p>
    <w:bookmarkEnd w:id="124"/>
    <w:bookmarkEnd w:id="125"/>
    <w:bookmarkStart w:id="126" w:name="efeito-financeiro"/>
    <w:p>
      <w:pPr>
        <w:pStyle w:val="Heading2"/>
      </w:pPr>
      <w:r>
        <w:t xml:space="preserve">17.2 Efeito financeiro</w:t>
      </w:r>
    </w:p>
    <w:p>
      <w:pPr>
        <w:pStyle w:val="FirstParagraph"/>
      </w:pPr>
      <w:r>
        <w:t xml:space="preserve">Eventuais glosas ou ajustes de pagamento deverão:</w:t>
      </w:r>
    </w:p>
    <w:p>
      <w:pPr>
        <w:pStyle w:val="Compact"/>
        <w:numPr>
          <w:ilvl w:val="0"/>
          <w:numId w:val="1084"/>
        </w:numPr>
      </w:pPr>
      <w:r>
        <w:t xml:space="preserve">estar previstos no edital;</w:t>
      </w:r>
    </w:p>
    <w:p>
      <w:pPr>
        <w:pStyle w:val="Compact"/>
        <w:numPr>
          <w:ilvl w:val="0"/>
          <w:numId w:val="1084"/>
        </w:numPr>
      </w:pPr>
      <w:r>
        <w:t xml:space="preserve">estar vinculados a indicador objetivo;</w:t>
      </w:r>
    </w:p>
    <w:p>
      <w:pPr>
        <w:pStyle w:val="Compact"/>
        <w:numPr>
          <w:ilvl w:val="0"/>
          <w:numId w:val="1084"/>
        </w:numPr>
      </w:pPr>
      <w:r>
        <w:t xml:space="preserve">respeitar contraditório;</w:t>
      </w:r>
    </w:p>
    <w:p>
      <w:pPr>
        <w:pStyle w:val="Compact"/>
        <w:numPr>
          <w:ilvl w:val="0"/>
          <w:numId w:val="1084"/>
        </w:numPr>
      </w:pPr>
      <w:r>
        <w:t xml:space="preserve">não representar duplicidade de punição;</w:t>
      </w:r>
    </w:p>
    <w:p>
      <w:pPr>
        <w:pStyle w:val="Compact"/>
        <w:numPr>
          <w:ilvl w:val="0"/>
          <w:numId w:val="1084"/>
        </w:numPr>
      </w:pPr>
      <w:r>
        <w:t xml:space="preserve">ser proporcionais;</w:t>
      </w:r>
    </w:p>
    <w:p>
      <w:pPr>
        <w:pStyle w:val="Compact"/>
        <w:numPr>
          <w:ilvl w:val="0"/>
          <w:numId w:val="1084"/>
        </w:numPr>
      </w:pPr>
      <w:r>
        <w:t xml:space="preserve">ter limite;</w:t>
      </w:r>
    </w:p>
    <w:p>
      <w:pPr>
        <w:pStyle w:val="Compact"/>
        <w:numPr>
          <w:ilvl w:val="0"/>
          <w:numId w:val="1084"/>
        </w:numPr>
      </w:pPr>
      <w:r>
        <w:t xml:space="preserve">ser distintos das sanções administrativas.</w:t>
      </w:r>
    </w:p>
    <w:p>
      <w:pPr>
        <w:pStyle w:val="FirstParagraph"/>
      </w:pPr>
      <w:r>
        <w:t xml:space="preserve">Os percentuais deverão ser definidos após ETP, análise jurídica e avaliação do impacto sobre a competição.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segurança-da-informação"/>
    <w:p>
      <w:pPr>
        <w:pStyle w:val="Heading1"/>
      </w:pPr>
      <w:r>
        <w:t xml:space="preserve">18. Segurança da informação</w:t>
      </w:r>
    </w:p>
    <w:bookmarkStart w:id="128" w:name="requisitos-mínimos"/>
    <w:p>
      <w:pPr>
        <w:pStyle w:val="Heading2"/>
      </w:pPr>
      <w:r>
        <w:t xml:space="preserve">18.1 Requisitos mínimos</w:t>
      </w:r>
    </w:p>
    <w:p>
      <w:pPr>
        <w:pStyle w:val="Compact"/>
        <w:numPr>
          <w:ilvl w:val="0"/>
          <w:numId w:val="1085"/>
        </w:numPr>
      </w:pPr>
      <w:r>
        <w:t xml:space="preserve">criptografia em trânsito;</w:t>
      </w:r>
    </w:p>
    <w:p>
      <w:pPr>
        <w:pStyle w:val="Compact"/>
        <w:numPr>
          <w:ilvl w:val="0"/>
          <w:numId w:val="1085"/>
        </w:numPr>
      </w:pPr>
      <w:r>
        <w:t xml:space="preserve">criptografia de dados sensíveis em repouso;</w:t>
      </w:r>
    </w:p>
    <w:p>
      <w:pPr>
        <w:pStyle w:val="Compact"/>
        <w:numPr>
          <w:ilvl w:val="0"/>
          <w:numId w:val="1085"/>
        </w:numPr>
      </w:pPr>
      <w:r>
        <w:t xml:space="preserve">autenticação multifator;</w:t>
      </w:r>
    </w:p>
    <w:p>
      <w:pPr>
        <w:pStyle w:val="Compact"/>
        <w:numPr>
          <w:ilvl w:val="0"/>
          <w:numId w:val="1085"/>
        </w:numPr>
      </w:pPr>
      <w:r>
        <w:t xml:space="preserve">menor privilégio;</w:t>
      </w:r>
    </w:p>
    <w:p>
      <w:pPr>
        <w:pStyle w:val="Compact"/>
        <w:numPr>
          <w:ilvl w:val="0"/>
          <w:numId w:val="1085"/>
        </w:numPr>
      </w:pPr>
      <w:r>
        <w:t xml:space="preserve">segregação por ambiente;</w:t>
      </w:r>
    </w:p>
    <w:p>
      <w:pPr>
        <w:pStyle w:val="Compact"/>
        <w:numPr>
          <w:ilvl w:val="0"/>
          <w:numId w:val="1085"/>
        </w:numPr>
      </w:pPr>
      <w:r>
        <w:t xml:space="preserve">gestão de segredos;</w:t>
      </w:r>
    </w:p>
    <w:p>
      <w:pPr>
        <w:pStyle w:val="Compact"/>
        <w:numPr>
          <w:ilvl w:val="0"/>
          <w:numId w:val="1085"/>
        </w:numPr>
      </w:pPr>
      <w:r>
        <w:t xml:space="preserve">rotação de chaves;</w:t>
      </w:r>
    </w:p>
    <w:p>
      <w:pPr>
        <w:pStyle w:val="Compact"/>
        <w:numPr>
          <w:ilvl w:val="0"/>
          <w:numId w:val="1085"/>
        </w:numPr>
      </w:pPr>
      <w:r>
        <w:t xml:space="preserve">logs centralizados;</w:t>
      </w:r>
    </w:p>
    <w:p>
      <w:pPr>
        <w:pStyle w:val="Compact"/>
        <w:numPr>
          <w:ilvl w:val="0"/>
          <w:numId w:val="1085"/>
        </w:numPr>
      </w:pPr>
      <w:r>
        <w:t xml:space="preserve">detecção de comportamento anormal;</w:t>
      </w:r>
    </w:p>
    <w:p>
      <w:pPr>
        <w:pStyle w:val="Compact"/>
        <w:numPr>
          <w:ilvl w:val="0"/>
          <w:numId w:val="1085"/>
        </w:numPr>
      </w:pPr>
      <w:r>
        <w:t xml:space="preserve">backup;</w:t>
      </w:r>
    </w:p>
    <w:p>
      <w:pPr>
        <w:pStyle w:val="Compact"/>
        <w:numPr>
          <w:ilvl w:val="0"/>
          <w:numId w:val="1085"/>
        </w:numPr>
      </w:pPr>
      <w:r>
        <w:t xml:space="preserve">restauração testada;</w:t>
      </w:r>
    </w:p>
    <w:p>
      <w:pPr>
        <w:pStyle w:val="Compact"/>
        <w:numPr>
          <w:ilvl w:val="0"/>
          <w:numId w:val="1085"/>
        </w:numPr>
      </w:pPr>
      <w:r>
        <w:t xml:space="preserve">controle de dependências;</w:t>
      </w:r>
    </w:p>
    <w:p>
      <w:pPr>
        <w:pStyle w:val="Compact"/>
        <w:numPr>
          <w:ilvl w:val="0"/>
          <w:numId w:val="1085"/>
        </w:numPr>
      </w:pPr>
      <w:r>
        <w:t xml:space="preserve">análise de vulnerabilidade;</w:t>
      </w:r>
    </w:p>
    <w:p>
      <w:pPr>
        <w:pStyle w:val="Compact"/>
        <w:numPr>
          <w:ilvl w:val="0"/>
          <w:numId w:val="1085"/>
        </w:numPr>
      </w:pPr>
      <w:r>
        <w:t xml:space="preserve">teste de invasão;</w:t>
      </w:r>
    </w:p>
    <w:p>
      <w:pPr>
        <w:pStyle w:val="Compact"/>
        <w:numPr>
          <w:ilvl w:val="0"/>
          <w:numId w:val="1085"/>
        </w:numPr>
      </w:pPr>
      <w:r>
        <w:t xml:space="preserve">resposta a incidentes;</w:t>
      </w:r>
    </w:p>
    <w:p>
      <w:pPr>
        <w:pStyle w:val="Compact"/>
        <w:numPr>
          <w:ilvl w:val="0"/>
          <w:numId w:val="1085"/>
        </w:numPr>
      </w:pPr>
      <w:r>
        <w:t xml:space="preserve">desenvolvimento seguro.</w:t>
      </w:r>
    </w:p>
    <w:bookmarkEnd w:id="128"/>
    <w:bookmarkStart w:id="129" w:name="referência-de-segurança"/>
    <w:p>
      <w:pPr>
        <w:pStyle w:val="Heading2"/>
      </w:pPr>
      <w:r>
        <w:t xml:space="preserve">18.2 Referência de segurança</w:t>
      </w:r>
    </w:p>
    <w:p>
      <w:pPr>
        <w:pStyle w:val="FirstParagraph"/>
      </w:pPr>
      <w:r>
        <w:t xml:space="preserve">A solução deverá adotar requisitos verificáveis de segurança de aplicação, tendo como referência a versão estável vigente do OWASP ASVS. Em julho de 2026, a versão estável indicada pelo projeto é a 5.0.0, que pode ser empregada como base contratual de verificação.</w:t>
      </w:r>
    </w:p>
    <w:p>
      <w:pPr>
        <w:pStyle w:val="BodyText"/>
      </w:pPr>
      <w:r>
        <w:t xml:space="preserve">O TR definitivo deverá indicar:</w:t>
      </w:r>
    </w:p>
    <w:p>
      <w:pPr>
        <w:pStyle w:val="Compact"/>
        <w:numPr>
          <w:ilvl w:val="0"/>
          <w:numId w:val="1086"/>
        </w:numPr>
      </w:pPr>
      <w:r>
        <w:t xml:space="preserve">versão exata;</w:t>
      </w:r>
    </w:p>
    <w:p>
      <w:pPr>
        <w:pStyle w:val="Compact"/>
        <w:numPr>
          <w:ilvl w:val="0"/>
          <w:numId w:val="1086"/>
        </w:numPr>
      </w:pPr>
      <w:r>
        <w:t xml:space="preserve">nível ou conjunto de controles;</w:t>
      </w:r>
    </w:p>
    <w:p>
      <w:pPr>
        <w:pStyle w:val="Compact"/>
        <w:numPr>
          <w:ilvl w:val="0"/>
          <w:numId w:val="1086"/>
        </w:numPr>
      </w:pPr>
      <w:r>
        <w:t xml:space="preserve">requisitos aplicáveis;</w:t>
      </w:r>
    </w:p>
    <w:p>
      <w:pPr>
        <w:pStyle w:val="Compact"/>
        <w:numPr>
          <w:ilvl w:val="0"/>
          <w:numId w:val="1086"/>
        </w:numPr>
      </w:pPr>
      <w:r>
        <w:t xml:space="preserve">exceções justificadas;</w:t>
      </w:r>
    </w:p>
    <w:p>
      <w:pPr>
        <w:pStyle w:val="Compact"/>
        <w:numPr>
          <w:ilvl w:val="0"/>
          <w:numId w:val="1086"/>
        </w:numPr>
      </w:pPr>
      <w:r>
        <w:t xml:space="preserve">evidências exigidas.</w:t>
      </w:r>
    </w:p>
    <w:bookmarkEnd w:id="129"/>
    <w:bookmarkStart w:id="130" w:name="vulnerabilidades"/>
    <w:p>
      <w:pPr>
        <w:pStyle w:val="Heading2"/>
      </w:pPr>
      <w:r>
        <w:t xml:space="preserve">18.3 Vulnerabilidades</w:t>
      </w:r>
    </w:p>
    <w:p>
      <w:pPr>
        <w:pStyle w:val="FirstParagraph"/>
      </w:pPr>
      <w:r>
        <w:t xml:space="preserve">Não serão aceitas em produção:</w:t>
      </w:r>
    </w:p>
    <w:p>
      <w:pPr>
        <w:pStyle w:val="Compact"/>
        <w:numPr>
          <w:ilvl w:val="0"/>
          <w:numId w:val="1087"/>
        </w:numPr>
      </w:pPr>
      <w:r>
        <w:t xml:space="preserve">vulnerabilidades críticas não tratadas;</w:t>
      </w:r>
    </w:p>
    <w:p>
      <w:pPr>
        <w:pStyle w:val="Compact"/>
        <w:numPr>
          <w:ilvl w:val="0"/>
          <w:numId w:val="1087"/>
        </w:numPr>
      </w:pPr>
      <w:r>
        <w:t xml:space="preserve">vulnerabilidades altas sem plano formal e aceite de risco;</w:t>
      </w:r>
    </w:p>
    <w:p>
      <w:pPr>
        <w:pStyle w:val="Compact"/>
        <w:numPr>
          <w:ilvl w:val="0"/>
          <w:numId w:val="1087"/>
        </w:numPr>
      </w:pPr>
      <w:r>
        <w:t xml:space="preserve">credenciais em repositório;</w:t>
      </w:r>
    </w:p>
    <w:p>
      <w:pPr>
        <w:pStyle w:val="Compact"/>
        <w:numPr>
          <w:ilvl w:val="0"/>
          <w:numId w:val="1087"/>
        </w:numPr>
      </w:pPr>
      <w:r>
        <w:t xml:space="preserve">segredo em arquivo público;</w:t>
      </w:r>
    </w:p>
    <w:p>
      <w:pPr>
        <w:pStyle w:val="Compact"/>
        <w:numPr>
          <w:ilvl w:val="0"/>
          <w:numId w:val="1087"/>
        </w:numPr>
      </w:pPr>
      <w:r>
        <w:t xml:space="preserve">biblioteca sem suporte em componente crítico;</w:t>
      </w:r>
    </w:p>
    <w:p>
      <w:pPr>
        <w:pStyle w:val="Compact"/>
        <w:numPr>
          <w:ilvl w:val="0"/>
          <w:numId w:val="1087"/>
        </w:numPr>
      </w:pPr>
      <w:r>
        <w:t xml:space="preserve">conta administrativa compartilhada.</w:t>
      </w:r>
    </w:p>
    <w:bookmarkEnd w:id="130"/>
    <w:bookmarkStart w:id="131" w:name="incidentes"/>
    <w:p>
      <w:pPr>
        <w:pStyle w:val="Heading2"/>
      </w:pPr>
      <w:r>
        <w:t xml:space="preserve">18.4 Incidentes</w:t>
      </w:r>
    </w:p>
    <w:p>
      <w:pPr>
        <w:pStyle w:val="FirstParagraph"/>
      </w:pPr>
      <w:r>
        <w:t xml:space="preserve">A contratada deverá:</w:t>
      </w:r>
    </w:p>
    <w:p>
      <w:pPr>
        <w:pStyle w:val="Compact"/>
        <w:numPr>
          <w:ilvl w:val="0"/>
          <w:numId w:val="1088"/>
        </w:numPr>
      </w:pPr>
      <w:r>
        <w:t xml:space="preserve">comunicar imediatamente incidente;</w:t>
      </w:r>
    </w:p>
    <w:p>
      <w:pPr>
        <w:pStyle w:val="Compact"/>
        <w:numPr>
          <w:ilvl w:val="0"/>
          <w:numId w:val="1088"/>
        </w:numPr>
      </w:pPr>
      <w:r>
        <w:t xml:space="preserve">preservar evidências;</w:t>
      </w:r>
    </w:p>
    <w:p>
      <w:pPr>
        <w:pStyle w:val="Compact"/>
        <w:numPr>
          <w:ilvl w:val="0"/>
          <w:numId w:val="1088"/>
        </w:numPr>
      </w:pPr>
      <w:r>
        <w:t xml:space="preserve">conter;</w:t>
      </w:r>
    </w:p>
    <w:p>
      <w:pPr>
        <w:pStyle w:val="Compact"/>
        <w:numPr>
          <w:ilvl w:val="0"/>
          <w:numId w:val="1088"/>
        </w:numPr>
      </w:pPr>
      <w:r>
        <w:t xml:space="preserve">apoiar investigação;</w:t>
      </w:r>
    </w:p>
    <w:p>
      <w:pPr>
        <w:pStyle w:val="Compact"/>
        <w:numPr>
          <w:ilvl w:val="0"/>
          <w:numId w:val="1088"/>
        </w:numPr>
      </w:pPr>
      <w:r>
        <w:t xml:space="preserve">corrigir;</w:t>
      </w:r>
    </w:p>
    <w:p>
      <w:pPr>
        <w:pStyle w:val="Compact"/>
        <w:numPr>
          <w:ilvl w:val="0"/>
          <w:numId w:val="1088"/>
        </w:numPr>
      </w:pPr>
      <w:r>
        <w:t xml:space="preserve">produzir relatório;</w:t>
      </w:r>
    </w:p>
    <w:p>
      <w:pPr>
        <w:pStyle w:val="Compact"/>
        <w:numPr>
          <w:ilvl w:val="0"/>
          <w:numId w:val="1088"/>
        </w:numPr>
      </w:pPr>
      <w:r>
        <w:t xml:space="preserve">apoiar comunicação à ANPD e aos titulares, quando aplicável.</w:t>
      </w:r>
    </w:p>
    <w:p>
      <w:pPr>
        <w:pStyle w:val="FirstParagraph"/>
      </w:pPr>
      <w:r>
        <w:t xml:space="preserve">A ANPD orienta que o controlador identifique, trate e avalie o risco dos incidentes que afetem operações com dados pessoais.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7" w:name="proteção-de-dados-pessoais"/>
    <w:p>
      <w:pPr>
        <w:pStyle w:val="Heading1"/>
      </w:pPr>
      <w:r>
        <w:t xml:space="preserve">19. Proteção de dados pessoais</w:t>
      </w:r>
    </w:p>
    <w:bookmarkStart w:id="133" w:name="papéis"/>
    <w:p>
      <w:pPr>
        <w:pStyle w:val="Heading2"/>
      </w:pPr>
      <w:r>
        <w:t xml:space="preserve">19.1 Papéis</w:t>
      </w:r>
    </w:p>
    <w:p>
      <w:pPr>
        <w:pStyle w:val="FirstParagraph"/>
      </w:pPr>
      <w:r>
        <w:t xml:space="preserve">O contrato deverá definir:</w:t>
      </w:r>
    </w:p>
    <w:p>
      <w:pPr>
        <w:pStyle w:val="Compact"/>
        <w:numPr>
          <w:ilvl w:val="0"/>
          <w:numId w:val="1089"/>
        </w:numPr>
      </w:pPr>
      <w:r>
        <w:t xml:space="preserve">Município como controlador, salvo configuração jurídica distinta;</w:t>
      </w:r>
    </w:p>
    <w:p>
      <w:pPr>
        <w:pStyle w:val="Compact"/>
        <w:numPr>
          <w:ilvl w:val="0"/>
          <w:numId w:val="1089"/>
        </w:numPr>
      </w:pPr>
      <w:r>
        <w:t xml:space="preserve">contratada como operadora, quando tratar dados em nome do Município;</w:t>
      </w:r>
    </w:p>
    <w:p>
      <w:pPr>
        <w:pStyle w:val="Compact"/>
        <w:numPr>
          <w:ilvl w:val="0"/>
          <w:numId w:val="1089"/>
        </w:numPr>
      </w:pPr>
      <w:r>
        <w:t xml:space="preserve">suboperadores;</w:t>
      </w:r>
    </w:p>
    <w:p>
      <w:pPr>
        <w:pStyle w:val="Compact"/>
        <w:numPr>
          <w:ilvl w:val="0"/>
          <w:numId w:val="1089"/>
        </w:numPr>
      </w:pPr>
      <w:r>
        <w:t xml:space="preserve">encarregado;</w:t>
      </w:r>
    </w:p>
    <w:p>
      <w:pPr>
        <w:pStyle w:val="Compact"/>
        <w:numPr>
          <w:ilvl w:val="0"/>
          <w:numId w:val="1089"/>
        </w:numPr>
      </w:pPr>
      <w:r>
        <w:t xml:space="preserve">responsabilidades;</w:t>
      </w:r>
    </w:p>
    <w:p>
      <w:pPr>
        <w:pStyle w:val="Compact"/>
        <w:numPr>
          <w:ilvl w:val="0"/>
          <w:numId w:val="1089"/>
        </w:numPr>
      </w:pPr>
      <w:r>
        <w:t xml:space="preserve">canais de comunicação.</w:t>
      </w:r>
    </w:p>
    <w:bookmarkEnd w:id="133"/>
    <w:bookmarkStart w:id="134" w:name="obrigações"/>
    <w:p>
      <w:pPr>
        <w:pStyle w:val="Heading2"/>
      </w:pPr>
      <w:r>
        <w:t xml:space="preserve">19.2 Obrigações</w:t>
      </w:r>
    </w:p>
    <w:p>
      <w:pPr>
        <w:pStyle w:val="Compact"/>
        <w:numPr>
          <w:ilvl w:val="0"/>
          <w:numId w:val="1090"/>
        </w:numPr>
      </w:pPr>
      <w:r>
        <w:t xml:space="preserve">tratar somente dados necessários;</w:t>
      </w:r>
    </w:p>
    <w:p>
      <w:pPr>
        <w:pStyle w:val="Compact"/>
        <w:numPr>
          <w:ilvl w:val="0"/>
          <w:numId w:val="1090"/>
        </w:numPr>
      </w:pPr>
      <w:r>
        <w:t xml:space="preserve">seguir instruções documentadas;</w:t>
      </w:r>
    </w:p>
    <w:p>
      <w:pPr>
        <w:pStyle w:val="Compact"/>
        <w:numPr>
          <w:ilvl w:val="0"/>
          <w:numId w:val="1090"/>
        </w:numPr>
      </w:pPr>
      <w:r>
        <w:t xml:space="preserve">não reutilizar dados;</w:t>
      </w:r>
    </w:p>
    <w:p>
      <w:pPr>
        <w:pStyle w:val="Compact"/>
        <w:numPr>
          <w:ilvl w:val="0"/>
          <w:numId w:val="1090"/>
        </w:numPr>
      </w:pPr>
      <w:r>
        <w:t xml:space="preserve">não comercializar dados;</w:t>
      </w:r>
    </w:p>
    <w:p>
      <w:pPr>
        <w:pStyle w:val="Compact"/>
        <w:numPr>
          <w:ilvl w:val="0"/>
          <w:numId w:val="1090"/>
        </w:numPr>
      </w:pPr>
      <w:r>
        <w:t xml:space="preserve">não treinar modelos próprios com dados municipais sem autorização;</w:t>
      </w:r>
    </w:p>
    <w:p>
      <w:pPr>
        <w:pStyle w:val="Compact"/>
        <w:numPr>
          <w:ilvl w:val="0"/>
          <w:numId w:val="1090"/>
        </w:numPr>
      </w:pPr>
      <w:r>
        <w:t xml:space="preserve">informar suboperadores;</w:t>
      </w:r>
    </w:p>
    <w:p>
      <w:pPr>
        <w:pStyle w:val="Compact"/>
        <w:numPr>
          <w:ilvl w:val="0"/>
          <w:numId w:val="1090"/>
        </w:numPr>
      </w:pPr>
      <w:r>
        <w:t xml:space="preserve">manter registro;</w:t>
      </w:r>
    </w:p>
    <w:p>
      <w:pPr>
        <w:pStyle w:val="Compact"/>
        <w:numPr>
          <w:ilvl w:val="0"/>
          <w:numId w:val="1090"/>
        </w:numPr>
      </w:pPr>
      <w:r>
        <w:t xml:space="preserve">apoiar direitos dos titulares;</w:t>
      </w:r>
    </w:p>
    <w:p>
      <w:pPr>
        <w:pStyle w:val="Compact"/>
        <w:numPr>
          <w:ilvl w:val="0"/>
          <w:numId w:val="1090"/>
        </w:numPr>
      </w:pPr>
      <w:r>
        <w:t xml:space="preserve">devolver ou eliminar dados;</w:t>
      </w:r>
    </w:p>
    <w:p>
      <w:pPr>
        <w:pStyle w:val="Compact"/>
        <w:numPr>
          <w:ilvl w:val="0"/>
          <w:numId w:val="1090"/>
        </w:numPr>
      </w:pPr>
      <w:r>
        <w:t xml:space="preserve">comunicar incidentes;</w:t>
      </w:r>
    </w:p>
    <w:p>
      <w:pPr>
        <w:pStyle w:val="Compact"/>
        <w:numPr>
          <w:ilvl w:val="0"/>
          <w:numId w:val="1090"/>
        </w:numPr>
      </w:pPr>
      <w:r>
        <w:t xml:space="preserve">permitir auditoria.</w:t>
      </w:r>
    </w:p>
    <w:bookmarkEnd w:id="134"/>
    <w:bookmarkStart w:id="135" w:name="saúde-e-assistência-social"/>
    <w:p>
      <w:pPr>
        <w:pStyle w:val="Heading2"/>
      </w:pPr>
      <w:r>
        <w:t xml:space="preserve">19.3 Saúde e assistência social</w:t>
      </w:r>
    </w:p>
    <w:p>
      <w:pPr>
        <w:pStyle w:val="FirstParagraph"/>
      </w:pPr>
      <w:r>
        <w:t xml:space="preserve">Dados nominais deverão:</w:t>
      </w:r>
    </w:p>
    <w:p>
      <w:pPr>
        <w:pStyle w:val="Compact"/>
        <w:numPr>
          <w:ilvl w:val="0"/>
          <w:numId w:val="1091"/>
        </w:numPr>
      </w:pPr>
      <w:r>
        <w:t xml:space="preserve">permanecer em ambiente restrito;</w:t>
      </w:r>
    </w:p>
    <w:p>
      <w:pPr>
        <w:pStyle w:val="Compact"/>
        <w:numPr>
          <w:ilvl w:val="0"/>
          <w:numId w:val="1091"/>
        </w:numPr>
      </w:pPr>
      <w:r>
        <w:t xml:space="preserve">ser separados da camada pública;</w:t>
      </w:r>
    </w:p>
    <w:p>
      <w:pPr>
        <w:pStyle w:val="Compact"/>
        <w:numPr>
          <w:ilvl w:val="0"/>
          <w:numId w:val="1091"/>
        </w:numPr>
      </w:pPr>
      <w:r>
        <w:t xml:space="preserve">ter acesso por finalidade;</w:t>
      </w:r>
    </w:p>
    <w:p>
      <w:pPr>
        <w:pStyle w:val="Compact"/>
        <w:numPr>
          <w:ilvl w:val="0"/>
          <w:numId w:val="1091"/>
        </w:numPr>
      </w:pPr>
      <w:r>
        <w:t xml:space="preserve">registrar consultas;</w:t>
      </w:r>
    </w:p>
    <w:p>
      <w:pPr>
        <w:pStyle w:val="Compact"/>
        <w:numPr>
          <w:ilvl w:val="0"/>
          <w:numId w:val="1091"/>
        </w:numPr>
      </w:pPr>
      <w:r>
        <w:t xml:space="preserve">usar agregação;</w:t>
      </w:r>
    </w:p>
    <w:p>
      <w:pPr>
        <w:pStyle w:val="Compact"/>
        <w:numPr>
          <w:ilvl w:val="0"/>
          <w:numId w:val="1091"/>
        </w:numPr>
      </w:pPr>
      <w:r>
        <w:t xml:space="preserve">usar supressão de pequenas contagens;</w:t>
      </w:r>
    </w:p>
    <w:p>
      <w:pPr>
        <w:pStyle w:val="Compact"/>
        <w:numPr>
          <w:ilvl w:val="0"/>
          <w:numId w:val="1091"/>
        </w:numPr>
      </w:pPr>
      <w:r>
        <w:t xml:space="preserve">respeitar retenção;</w:t>
      </w:r>
    </w:p>
    <w:p>
      <w:pPr>
        <w:pStyle w:val="Compact"/>
        <w:numPr>
          <w:ilvl w:val="0"/>
          <w:numId w:val="1091"/>
        </w:numPr>
      </w:pPr>
      <w:r>
        <w:t xml:space="preserve">ser anonimizados quando possível.</w:t>
      </w:r>
    </w:p>
    <w:bookmarkEnd w:id="135"/>
    <w:bookmarkStart w:id="136" w:name="relatório-de-impacto"/>
    <w:p>
      <w:pPr>
        <w:pStyle w:val="Heading2"/>
      </w:pPr>
      <w:r>
        <w:t xml:space="preserve">19.4 Relatório de impacto</w:t>
      </w:r>
    </w:p>
    <w:p>
      <w:pPr>
        <w:pStyle w:val="FirstParagraph"/>
      </w:pPr>
      <w:r>
        <w:t xml:space="preserve">A Administração deverá avaliar a necessidade de Relatório de Impacto à Proteção de Dados, especialmente antes de:</w:t>
      </w:r>
    </w:p>
    <w:p>
      <w:pPr>
        <w:pStyle w:val="Compact"/>
        <w:numPr>
          <w:ilvl w:val="0"/>
          <w:numId w:val="1092"/>
        </w:numPr>
      </w:pPr>
      <w:r>
        <w:t xml:space="preserve">integrar dados nominais de saúde;</w:t>
      </w:r>
    </w:p>
    <w:p>
      <w:pPr>
        <w:pStyle w:val="Compact"/>
        <w:numPr>
          <w:ilvl w:val="0"/>
          <w:numId w:val="1092"/>
        </w:numPr>
      </w:pPr>
      <w:r>
        <w:t xml:space="preserve">usar geolocalização individual;</w:t>
      </w:r>
    </w:p>
    <w:p>
      <w:pPr>
        <w:pStyle w:val="Compact"/>
        <w:numPr>
          <w:ilvl w:val="0"/>
          <w:numId w:val="1092"/>
        </w:numPr>
      </w:pPr>
      <w:r>
        <w:t xml:space="preserve">usar modelos de ML com dados sensíveis;</w:t>
      </w:r>
    </w:p>
    <w:p>
      <w:pPr>
        <w:pStyle w:val="Compact"/>
        <w:numPr>
          <w:ilvl w:val="0"/>
          <w:numId w:val="1092"/>
        </w:numPr>
      </w:pPr>
      <w:r>
        <w:t xml:space="preserve">criar perfis de vulnerabilidade;</w:t>
      </w:r>
    </w:p>
    <w:p>
      <w:pPr>
        <w:pStyle w:val="Compact"/>
        <w:numPr>
          <w:ilvl w:val="0"/>
          <w:numId w:val="1092"/>
        </w:numPr>
      </w:pPr>
      <w:r>
        <w:t xml:space="preserve">compartilhar dados com empresas.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0" w:name="acessibilidade-e-experiência-do-usuário"/>
    <w:p>
      <w:pPr>
        <w:pStyle w:val="Heading1"/>
      </w:pPr>
      <w:r>
        <w:t xml:space="preserve">20. Acessibilidade e experiência do usuário</w:t>
      </w:r>
    </w:p>
    <w:bookmarkStart w:id="138" w:name="portal-público"/>
    <w:p>
      <w:pPr>
        <w:pStyle w:val="Heading2"/>
      </w:pPr>
      <w:r>
        <w:t xml:space="preserve">20.1 Portal público</w:t>
      </w:r>
    </w:p>
    <w:p>
      <w:pPr>
        <w:pStyle w:val="FirstParagraph"/>
      </w:pPr>
      <w:r>
        <w:t xml:space="preserve">Deverá atender:</w:t>
      </w:r>
    </w:p>
    <w:p>
      <w:pPr>
        <w:pStyle w:val="Compact"/>
        <w:numPr>
          <w:ilvl w:val="0"/>
          <w:numId w:val="1093"/>
        </w:numPr>
      </w:pPr>
      <w:r>
        <w:t xml:space="preserve">eMAG;</w:t>
      </w:r>
    </w:p>
    <w:p>
      <w:pPr>
        <w:pStyle w:val="Compact"/>
        <w:numPr>
          <w:ilvl w:val="0"/>
          <w:numId w:val="1093"/>
        </w:numPr>
      </w:pPr>
      <w:r>
        <w:t xml:space="preserve">critérios de acessibilidade web definidos no edital;</w:t>
      </w:r>
    </w:p>
    <w:p>
      <w:pPr>
        <w:pStyle w:val="Compact"/>
        <w:numPr>
          <w:ilvl w:val="0"/>
          <w:numId w:val="1093"/>
        </w:numPr>
      </w:pPr>
      <w:r>
        <w:t xml:space="preserve">navegação por teclado;</w:t>
      </w:r>
    </w:p>
    <w:p>
      <w:pPr>
        <w:pStyle w:val="Compact"/>
        <w:numPr>
          <w:ilvl w:val="0"/>
          <w:numId w:val="1093"/>
        </w:numPr>
      </w:pPr>
      <w:r>
        <w:t xml:space="preserve">contraste;</w:t>
      </w:r>
    </w:p>
    <w:p>
      <w:pPr>
        <w:pStyle w:val="Compact"/>
        <w:numPr>
          <w:ilvl w:val="0"/>
          <w:numId w:val="1093"/>
        </w:numPr>
      </w:pPr>
      <w:r>
        <w:t xml:space="preserve">leitores de tela;</w:t>
      </w:r>
    </w:p>
    <w:p>
      <w:pPr>
        <w:pStyle w:val="Compact"/>
        <w:numPr>
          <w:ilvl w:val="0"/>
          <w:numId w:val="1093"/>
        </w:numPr>
      </w:pPr>
      <w:r>
        <w:t xml:space="preserve">textos alternativos;</w:t>
      </w:r>
    </w:p>
    <w:p>
      <w:pPr>
        <w:pStyle w:val="Compact"/>
        <w:numPr>
          <w:ilvl w:val="0"/>
          <w:numId w:val="1093"/>
        </w:numPr>
      </w:pPr>
      <w:r>
        <w:t xml:space="preserve">linguagem simples;</w:t>
      </w:r>
    </w:p>
    <w:p>
      <w:pPr>
        <w:pStyle w:val="Compact"/>
        <w:numPr>
          <w:ilvl w:val="0"/>
          <w:numId w:val="1093"/>
        </w:numPr>
      </w:pPr>
      <w:r>
        <w:t xml:space="preserve">mapas com alternativa textual;</w:t>
      </w:r>
    </w:p>
    <w:p>
      <w:pPr>
        <w:pStyle w:val="Compact"/>
        <w:numPr>
          <w:ilvl w:val="0"/>
          <w:numId w:val="1093"/>
        </w:numPr>
      </w:pPr>
      <w:r>
        <w:t xml:space="preserve">alertas não dependentes apenas de cor;</w:t>
      </w:r>
    </w:p>
    <w:p>
      <w:pPr>
        <w:pStyle w:val="Compact"/>
        <w:numPr>
          <w:ilvl w:val="0"/>
          <w:numId w:val="1093"/>
        </w:numPr>
      </w:pPr>
      <w:r>
        <w:t xml:space="preserve">responsividade.</w:t>
      </w:r>
    </w:p>
    <w:bookmarkEnd w:id="138"/>
    <w:bookmarkStart w:id="139" w:name="testes"/>
    <w:p>
      <w:pPr>
        <w:pStyle w:val="Heading2"/>
      </w:pPr>
      <w:r>
        <w:t xml:space="preserve">20.2 Testes</w:t>
      </w:r>
    </w:p>
    <w:p>
      <w:pPr>
        <w:pStyle w:val="FirstParagraph"/>
      </w:pPr>
      <w:r>
        <w:t xml:space="preserve">A acessibilidade deverá ser testada por:</w:t>
      </w:r>
    </w:p>
    <w:p>
      <w:pPr>
        <w:pStyle w:val="Compact"/>
        <w:numPr>
          <w:ilvl w:val="0"/>
          <w:numId w:val="1094"/>
        </w:numPr>
      </w:pPr>
      <w:r>
        <w:t xml:space="preserve">ferramentas automáticas;</w:t>
      </w:r>
    </w:p>
    <w:p>
      <w:pPr>
        <w:pStyle w:val="Compact"/>
        <w:numPr>
          <w:ilvl w:val="0"/>
          <w:numId w:val="1094"/>
        </w:numPr>
      </w:pPr>
      <w:r>
        <w:t xml:space="preserve">avaliação manual;</w:t>
      </w:r>
    </w:p>
    <w:p>
      <w:pPr>
        <w:pStyle w:val="Compact"/>
        <w:numPr>
          <w:ilvl w:val="0"/>
          <w:numId w:val="1094"/>
        </w:numPr>
      </w:pPr>
      <w:r>
        <w:t xml:space="preserve">navegação por teclado;</w:t>
      </w:r>
    </w:p>
    <w:p>
      <w:pPr>
        <w:pStyle w:val="Compact"/>
        <w:numPr>
          <w:ilvl w:val="0"/>
          <w:numId w:val="1094"/>
        </w:numPr>
      </w:pPr>
      <w:r>
        <w:t xml:space="preserve">leitor de tela;</w:t>
      </w:r>
    </w:p>
    <w:p>
      <w:pPr>
        <w:pStyle w:val="Compact"/>
        <w:numPr>
          <w:ilvl w:val="0"/>
          <w:numId w:val="1094"/>
        </w:numPr>
      </w:pPr>
      <w:r>
        <w:t xml:space="preserve">usuários convidados, quando possível.</w:t>
      </w:r>
    </w:p>
    <w:p>
      <w:pPr>
        <w:pStyle w:val="FirstParagraph"/>
      </w:pPr>
      <w:r>
        <w:t xml:space="preserve">A aprovação apenas por validador automático não será suficiente.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Xce8738721647dfe4c1688fd741022b5b9a4079d"/>
    <w:p>
      <w:pPr>
        <w:pStyle w:val="Heading1"/>
      </w:pPr>
      <w:r>
        <w:t xml:space="preserve">21. Código-fonte, propriedade intelectual e licenciamento</w:t>
      </w:r>
    </w:p>
    <w:bookmarkStart w:id="141" w:name="repositório"/>
    <w:p>
      <w:pPr>
        <w:pStyle w:val="Heading2"/>
      </w:pPr>
      <w:r>
        <w:t xml:space="preserve">21.1 Repositório</w:t>
      </w:r>
    </w:p>
    <w:p>
      <w:pPr>
        <w:pStyle w:val="FirstParagraph"/>
      </w:pPr>
      <w:r>
        <w:t xml:space="preserve">Desde o início:</w:t>
      </w:r>
    </w:p>
    <w:p>
      <w:pPr>
        <w:pStyle w:val="Compact"/>
        <w:numPr>
          <w:ilvl w:val="0"/>
          <w:numId w:val="1095"/>
        </w:numPr>
      </w:pPr>
      <w:r>
        <w:t xml:space="preserve">código em repositório sob controle municipal;</w:t>
      </w:r>
    </w:p>
    <w:p>
      <w:pPr>
        <w:pStyle w:val="Compact"/>
        <w:numPr>
          <w:ilvl w:val="0"/>
          <w:numId w:val="1095"/>
        </w:numPr>
      </w:pPr>
      <w:r>
        <w:t xml:space="preserve">commits frequentes;</w:t>
      </w:r>
    </w:p>
    <w:p>
      <w:pPr>
        <w:pStyle w:val="Compact"/>
        <w:numPr>
          <w:ilvl w:val="0"/>
          <w:numId w:val="1095"/>
        </w:numPr>
      </w:pPr>
      <w:r>
        <w:t xml:space="preserve">histórico preservado;</w:t>
      </w:r>
    </w:p>
    <w:p>
      <w:pPr>
        <w:pStyle w:val="Compact"/>
        <w:numPr>
          <w:ilvl w:val="0"/>
          <w:numId w:val="1095"/>
        </w:numPr>
      </w:pPr>
      <w:r>
        <w:t xml:space="preserve">revisão;</w:t>
      </w:r>
    </w:p>
    <w:p>
      <w:pPr>
        <w:pStyle w:val="Compact"/>
        <w:numPr>
          <w:ilvl w:val="0"/>
          <w:numId w:val="1095"/>
        </w:numPr>
      </w:pPr>
      <w:r>
        <w:t xml:space="preserve">branches protegidas;</w:t>
      </w:r>
    </w:p>
    <w:p>
      <w:pPr>
        <w:pStyle w:val="Compact"/>
        <w:numPr>
          <w:ilvl w:val="0"/>
          <w:numId w:val="1095"/>
        </w:numPr>
      </w:pPr>
      <w:r>
        <w:t xml:space="preserve">acesso da fiscalização.</w:t>
      </w:r>
    </w:p>
    <w:bookmarkEnd w:id="141"/>
    <w:bookmarkStart w:id="142" w:name="direitos"/>
    <w:p>
      <w:pPr>
        <w:pStyle w:val="Heading2"/>
      </w:pPr>
      <w:r>
        <w:t xml:space="preserve">21.2 Direitos</w:t>
      </w:r>
    </w:p>
    <w:p>
      <w:pPr>
        <w:pStyle w:val="FirstParagraph"/>
      </w:pPr>
      <w:r>
        <w:t xml:space="preserve">O edital e o contrato deverão definir:</w:t>
      </w:r>
    </w:p>
    <w:p>
      <w:pPr>
        <w:pStyle w:val="Compact"/>
        <w:numPr>
          <w:ilvl w:val="0"/>
          <w:numId w:val="1096"/>
        </w:numPr>
      </w:pPr>
      <w:r>
        <w:t xml:space="preserve">titularidade dos componentes desenvolvidos sob encomenda;</w:t>
      </w:r>
    </w:p>
    <w:p>
      <w:pPr>
        <w:pStyle w:val="Compact"/>
        <w:numPr>
          <w:ilvl w:val="0"/>
          <w:numId w:val="1096"/>
        </w:numPr>
      </w:pPr>
      <w:r>
        <w:t xml:space="preserve">direitos de uso;</w:t>
      </w:r>
    </w:p>
    <w:p>
      <w:pPr>
        <w:pStyle w:val="Compact"/>
        <w:numPr>
          <w:ilvl w:val="0"/>
          <w:numId w:val="1096"/>
        </w:numPr>
      </w:pPr>
      <w:r>
        <w:t xml:space="preserve">modificação;</w:t>
      </w:r>
    </w:p>
    <w:p>
      <w:pPr>
        <w:pStyle w:val="Compact"/>
        <w:numPr>
          <w:ilvl w:val="0"/>
          <w:numId w:val="1096"/>
        </w:numPr>
      </w:pPr>
      <w:r>
        <w:t xml:space="preserve">correção;</w:t>
      </w:r>
    </w:p>
    <w:p>
      <w:pPr>
        <w:pStyle w:val="Compact"/>
        <w:numPr>
          <w:ilvl w:val="0"/>
          <w:numId w:val="1096"/>
        </w:numPr>
      </w:pPr>
      <w:r>
        <w:t xml:space="preserve">distribuição interna;</w:t>
      </w:r>
    </w:p>
    <w:p>
      <w:pPr>
        <w:pStyle w:val="Compact"/>
        <w:numPr>
          <w:ilvl w:val="0"/>
          <w:numId w:val="1096"/>
        </w:numPr>
      </w:pPr>
      <w:r>
        <w:t xml:space="preserve">contratação de terceiro para manutenção;</w:t>
      </w:r>
    </w:p>
    <w:p>
      <w:pPr>
        <w:pStyle w:val="Compact"/>
        <w:numPr>
          <w:ilvl w:val="0"/>
          <w:numId w:val="1096"/>
        </w:numPr>
      </w:pPr>
      <w:r>
        <w:t xml:space="preserve">documentação;</w:t>
      </w:r>
    </w:p>
    <w:p>
      <w:pPr>
        <w:pStyle w:val="Compact"/>
        <w:numPr>
          <w:ilvl w:val="0"/>
          <w:numId w:val="1096"/>
        </w:numPr>
      </w:pPr>
      <w:r>
        <w:t xml:space="preserve">scripts;</w:t>
      </w:r>
    </w:p>
    <w:p>
      <w:pPr>
        <w:pStyle w:val="Compact"/>
        <w:numPr>
          <w:ilvl w:val="0"/>
          <w:numId w:val="1096"/>
        </w:numPr>
      </w:pPr>
      <w:r>
        <w:t xml:space="preserve">modelos;</w:t>
      </w:r>
    </w:p>
    <w:p>
      <w:pPr>
        <w:pStyle w:val="Compact"/>
        <w:numPr>
          <w:ilvl w:val="0"/>
          <w:numId w:val="1096"/>
        </w:numPr>
      </w:pPr>
      <w:r>
        <w:t xml:space="preserve">pipelines;</w:t>
      </w:r>
    </w:p>
    <w:p>
      <w:pPr>
        <w:pStyle w:val="Compact"/>
        <w:numPr>
          <w:ilvl w:val="0"/>
          <w:numId w:val="1096"/>
        </w:numPr>
      </w:pPr>
      <w:r>
        <w:t xml:space="preserve">infraestrutura como código.</w:t>
      </w:r>
    </w:p>
    <w:bookmarkEnd w:id="142"/>
    <w:bookmarkStart w:id="143" w:name="componentes-de-terceiros"/>
    <w:p>
      <w:pPr>
        <w:pStyle w:val="Heading2"/>
      </w:pPr>
      <w:r>
        <w:t xml:space="preserve">21.3 Componentes de terceiros</w:t>
      </w:r>
    </w:p>
    <w:p>
      <w:pPr>
        <w:pStyle w:val="FirstParagraph"/>
      </w:pPr>
      <w:r>
        <w:t xml:space="preserve">A contratada deverá fornecer:</w:t>
      </w:r>
    </w:p>
    <w:p>
      <w:pPr>
        <w:pStyle w:val="Compact"/>
        <w:numPr>
          <w:ilvl w:val="0"/>
          <w:numId w:val="1097"/>
        </w:numPr>
      </w:pPr>
      <w:r>
        <w:t xml:space="preserve">inventário;</w:t>
      </w:r>
    </w:p>
    <w:p>
      <w:pPr>
        <w:pStyle w:val="Compact"/>
        <w:numPr>
          <w:ilvl w:val="0"/>
          <w:numId w:val="1097"/>
        </w:numPr>
      </w:pPr>
      <w:r>
        <w:t xml:space="preserve">versão;</w:t>
      </w:r>
    </w:p>
    <w:p>
      <w:pPr>
        <w:pStyle w:val="Compact"/>
        <w:numPr>
          <w:ilvl w:val="0"/>
          <w:numId w:val="1097"/>
        </w:numPr>
      </w:pPr>
      <w:r>
        <w:t xml:space="preserve">licença;</w:t>
      </w:r>
    </w:p>
    <w:p>
      <w:pPr>
        <w:pStyle w:val="Compact"/>
        <w:numPr>
          <w:ilvl w:val="0"/>
          <w:numId w:val="1097"/>
        </w:numPr>
      </w:pPr>
      <w:r>
        <w:t xml:space="preserve">vulnerabilidades;</w:t>
      </w:r>
    </w:p>
    <w:p>
      <w:pPr>
        <w:pStyle w:val="Compact"/>
        <w:numPr>
          <w:ilvl w:val="0"/>
          <w:numId w:val="1097"/>
        </w:numPr>
      </w:pPr>
      <w:r>
        <w:t xml:space="preserve">obrigações;</w:t>
      </w:r>
    </w:p>
    <w:p>
      <w:pPr>
        <w:pStyle w:val="Compact"/>
        <w:numPr>
          <w:ilvl w:val="0"/>
          <w:numId w:val="1097"/>
        </w:numPr>
      </w:pPr>
      <w:r>
        <w:t xml:space="preserve">compatibilidade;</w:t>
      </w:r>
    </w:p>
    <w:p>
      <w:pPr>
        <w:pStyle w:val="Compact"/>
        <w:numPr>
          <w:ilvl w:val="0"/>
          <w:numId w:val="1097"/>
        </w:numPr>
      </w:pPr>
      <w:r>
        <w:t xml:space="preserve">prazo de suporte.</w:t>
      </w:r>
    </w:p>
    <w:p>
      <w:pPr>
        <w:pStyle w:val="FirstParagraph"/>
      </w:pPr>
      <w:r>
        <w:t xml:space="preserve">Não será permitido:</w:t>
      </w:r>
    </w:p>
    <w:p>
      <w:pPr>
        <w:pStyle w:val="Compact"/>
        <w:numPr>
          <w:ilvl w:val="0"/>
          <w:numId w:val="1098"/>
        </w:numPr>
      </w:pPr>
      <w:r>
        <w:t xml:space="preserve">componente sem licença conhecida;</w:t>
      </w:r>
    </w:p>
    <w:p>
      <w:pPr>
        <w:pStyle w:val="Compact"/>
        <w:numPr>
          <w:ilvl w:val="0"/>
          <w:numId w:val="1098"/>
        </w:numPr>
      </w:pPr>
      <w:r>
        <w:t xml:space="preserve">licença incompatível não declarada;</w:t>
      </w:r>
    </w:p>
    <w:p>
      <w:pPr>
        <w:pStyle w:val="Compact"/>
        <w:numPr>
          <w:ilvl w:val="0"/>
          <w:numId w:val="1098"/>
        </w:numPr>
      </w:pPr>
      <w:r>
        <w:t xml:space="preserve">dependência fechada indispensável sem autorização;</w:t>
      </w:r>
    </w:p>
    <w:p>
      <w:pPr>
        <w:pStyle w:val="Compact"/>
        <w:numPr>
          <w:ilvl w:val="0"/>
          <w:numId w:val="1098"/>
        </w:numPr>
      </w:pPr>
      <w:r>
        <w:t xml:space="preserve">serviço externo não previsto;</w:t>
      </w:r>
    </w:p>
    <w:p>
      <w:pPr>
        <w:pStyle w:val="Compact"/>
        <w:numPr>
          <w:ilvl w:val="0"/>
          <w:numId w:val="1098"/>
        </w:numPr>
      </w:pPr>
      <w:r>
        <w:t xml:space="preserve">biblioteca abandonada em módulo crítico.</w:t>
      </w:r>
    </w:p>
    <w:bookmarkEnd w:id="143"/>
    <w:bookmarkStart w:id="144" w:name="proibição-de-aprisionamento"/>
    <w:p>
      <w:pPr>
        <w:pStyle w:val="Heading2"/>
      </w:pPr>
      <w:r>
        <w:t xml:space="preserve">21.4 Proibição de aprisionamento</w:t>
      </w:r>
    </w:p>
    <w:p>
      <w:pPr>
        <w:pStyle w:val="FirstParagraph"/>
      </w:pPr>
      <w:r>
        <w:t xml:space="preserve">A solução deverá permitir:</w:t>
      </w:r>
    </w:p>
    <w:p>
      <w:pPr>
        <w:pStyle w:val="Compact"/>
        <w:numPr>
          <w:ilvl w:val="0"/>
          <w:numId w:val="1099"/>
        </w:numPr>
      </w:pPr>
      <w:r>
        <w:t xml:space="preserve">exportação integral;</w:t>
      </w:r>
    </w:p>
    <w:p>
      <w:pPr>
        <w:pStyle w:val="Compact"/>
        <w:numPr>
          <w:ilvl w:val="0"/>
          <w:numId w:val="1099"/>
        </w:numPr>
      </w:pPr>
      <w:r>
        <w:t xml:space="preserve">reconstrução;</w:t>
      </w:r>
    </w:p>
    <w:p>
      <w:pPr>
        <w:pStyle w:val="Compact"/>
        <w:numPr>
          <w:ilvl w:val="0"/>
          <w:numId w:val="1099"/>
        </w:numPr>
      </w:pPr>
      <w:r>
        <w:t xml:space="preserve">implantação por terceiro;</w:t>
      </w:r>
    </w:p>
    <w:p>
      <w:pPr>
        <w:pStyle w:val="Compact"/>
        <w:numPr>
          <w:ilvl w:val="0"/>
          <w:numId w:val="1099"/>
        </w:numPr>
      </w:pPr>
      <w:r>
        <w:t xml:space="preserve">substituição de componentes;</w:t>
      </w:r>
    </w:p>
    <w:p>
      <w:pPr>
        <w:pStyle w:val="Compact"/>
        <w:numPr>
          <w:ilvl w:val="0"/>
          <w:numId w:val="1099"/>
        </w:numPr>
      </w:pPr>
      <w:r>
        <w:t xml:space="preserve">migração;</w:t>
      </w:r>
    </w:p>
    <w:p>
      <w:pPr>
        <w:pStyle w:val="Compact"/>
        <w:numPr>
          <w:ilvl w:val="0"/>
          <w:numId w:val="1099"/>
        </w:numPr>
      </w:pPr>
      <w:r>
        <w:t xml:space="preserve">documentação;</w:t>
      </w:r>
    </w:p>
    <w:p>
      <w:pPr>
        <w:pStyle w:val="Compact"/>
        <w:numPr>
          <w:ilvl w:val="0"/>
          <w:numId w:val="1099"/>
        </w:numPr>
      </w:pPr>
      <w:r>
        <w:t xml:space="preserve">acesso ao banco;</w:t>
      </w:r>
    </w:p>
    <w:p>
      <w:pPr>
        <w:pStyle w:val="Compact"/>
        <w:numPr>
          <w:ilvl w:val="0"/>
          <w:numId w:val="1099"/>
        </w:numPr>
      </w:pPr>
      <w:r>
        <w:t xml:space="preserve">acesso aos arquivos;</w:t>
      </w:r>
    </w:p>
    <w:p>
      <w:pPr>
        <w:pStyle w:val="Compact"/>
        <w:numPr>
          <w:ilvl w:val="0"/>
          <w:numId w:val="1099"/>
        </w:numPr>
      </w:pPr>
      <w:r>
        <w:t xml:space="preserve">continuidade sem a contratada.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infraestrutura"/>
    <w:p>
      <w:pPr>
        <w:pStyle w:val="Heading1"/>
      </w:pPr>
      <w:r>
        <w:t xml:space="preserve">22. Infraestrutura</w:t>
      </w:r>
    </w:p>
    <w:bookmarkStart w:id="146" w:name="alternativas"/>
    <w:p>
      <w:pPr>
        <w:pStyle w:val="Heading2"/>
      </w:pPr>
      <w:r>
        <w:t xml:space="preserve">22.1 Alternativas</w:t>
      </w:r>
    </w:p>
    <w:p>
      <w:pPr>
        <w:pStyle w:val="FirstParagraph"/>
      </w:pPr>
      <w:r>
        <w:t xml:space="preserve">O ETP deverá avaliar:</w:t>
      </w:r>
    </w:p>
    <w:p>
      <w:pPr>
        <w:pStyle w:val="Compact"/>
        <w:numPr>
          <w:ilvl w:val="0"/>
          <w:numId w:val="1100"/>
        </w:numPr>
      </w:pPr>
      <w:r>
        <w:t xml:space="preserve">datacenter municipal;</w:t>
      </w:r>
    </w:p>
    <w:p>
      <w:pPr>
        <w:pStyle w:val="Compact"/>
        <w:numPr>
          <w:ilvl w:val="0"/>
          <w:numId w:val="1100"/>
        </w:numPr>
      </w:pPr>
      <w:r>
        <w:t xml:space="preserve">nuvem pública;</w:t>
      </w:r>
    </w:p>
    <w:p>
      <w:pPr>
        <w:pStyle w:val="Compact"/>
        <w:numPr>
          <w:ilvl w:val="0"/>
          <w:numId w:val="1100"/>
        </w:numPr>
      </w:pPr>
      <w:r>
        <w:t xml:space="preserve">nuvem governamental;</w:t>
      </w:r>
    </w:p>
    <w:p>
      <w:pPr>
        <w:pStyle w:val="Compact"/>
        <w:numPr>
          <w:ilvl w:val="0"/>
          <w:numId w:val="1100"/>
        </w:numPr>
      </w:pPr>
      <w:r>
        <w:t xml:space="preserve">ambiente híbrido;</w:t>
      </w:r>
    </w:p>
    <w:p>
      <w:pPr>
        <w:pStyle w:val="Compact"/>
        <w:numPr>
          <w:ilvl w:val="0"/>
          <w:numId w:val="1100"/>
        </w:numPr>
      </w:pPr>
      <w:r>
        <w:t xml:space="preserve">contrato corporativo existente.</w:t>
      </w:r>
    </w:p>
    <w:bookmarkEnd w:id="146"/>
    <w:bookmarkStart w:id="147" w:name="requisitos"/>
    <w:p>
      <w:pPr>
        <w:pStyle w:val="Heading2"/>
      </w:pPr>
      <w:r>
        <w:t xml:space="preserve">22.2 Requisitos</w:t>
      </w:r>
    </w:p>
    <w:p>
      <w:pPr>
        <w:pStyle w:val="Compact"/>
        <w:numPr>
          <w:ilvl w:val="0"/>
          <w:numId w:val="1101"/>
        </w:numPr>
      </w:pPr>
      <w:r>
        <w:t xml:space="preserve">ambientes separados;</w:t>
      </w:r>
    </w:p>
    <w:p>
      <w:pPr>
        <w:pStyle w:val="Compact"/>
        <w:numPr>
          <w:ilvl w:val="0"/>
          <w:numId w:val="1101"/>
        </w:numPr>
      </w:pPr>
      <w:r>
        <w:t xml:space="preserve">infraestrutura documentada;</w:t>
      </w:r>
    </w:p>
    <w:p>
      <w:pPr>
        <w:pStyle w:val="Compact"/>
        <w:numPr>
          <w:ilvl w:val="0"/>
          <w:numId w:val="1101"/>
        </w:numPr>
      </w:pPr>
      <w:r>
        <w:t xml:space="preserve">escalabilidade;</w:t>
      </w:r>
    </w:p>
    <w:p>
      <w:pPr>
        <w:pStyle w:val="Compact"/>
        <w:numPr>
          <w:ilvl w:val="0"/>
          <w:numId w:val="1101"/>
        </w:numPr>
      </w:pPr>
      <w:r>
        <w:t xml:space="preserve">logs;</w:t>
      </w:r>
    </w:p>
    <w:p>
      <w:pPr>
        <w:pStyle w:val="Compact"/>
        <w:numPr>
          <w:ilvl w:val="0"/>
          <w:numId w:val="1101"/>
        </w:numPr>
      </w:pPr>
      <w:r>
        <w:t xml:space="preserve">backup;</w:t>
      </w:r>
    </w:p>
    <w:p>
      <w:pPr>
        <w:pStyle w:val="Compact"/>
        <w:numPr>
          <w:ilvl w:val="0"/>
          <w:numId w:val="1101"/>
        </w:numPr>
      </w:pPr>
      <w:r>
        <w:t xml:space="preserve">monitoramento;</w:t>
      </w:r>
    </w:p>
    <w:p>
      <w:pPr>
        <w:pStyle w:val="Compact"/>
        <w:numPr>
          <w:ilvl w:val="0"/>
          <w:numId w:val="1101"/>
        </w:numPr>
      </w:pPr>
      <w:r>
        <w:t xml:space="preserve">controle de custos;</w:t>
      </w:r>
    </w:p>
    <w:p>
      <w:pPr>
        <w:pStyle w:val="Compact"/>
        <w:numPr>
          <w:ilvl w:val="0"/>
          <w:numId w:val="1101"/>
        </w:numPr>
      </w:pPr>
      <w:r>
        <w:t xml:space="preserve">dados armazenados em local contratualmente definido;</w:t>
      </w:r>
    </w:p>
    <w:p>
      <w:pPr>
        <w:pStyle w:val="Compact"/>
        <w:numPr>
          <w:ilvl w:val="0"/>
          <w:numId w:val="1101"/>
        </w:numPr>
      </w:pPr>
      <w:r>
        <w:t xml:space="preserve">saída sem custo proibitivo.</w:t>
      </w:r>
    </w:p>
    <w:bookmarkEnd w:id="147"/>
    <w:bookmarkStart w:id="148" w:name="custos"/>
    <w:p>
      <w:pPr>
        <w:pStyle w:val="Heading2"/>
      </w:pPr>
      <w:r>
        <w:t xml:space="preserve">22.3 Custos</w:t>
      </w:r>
    </w:p>
    <w:p>
      <w:pPr>
        <w:pStyle w:val="FirstParagraph"/>
      </w:pPr>
      <w:r>
        <w:t xml:space="preserve">A proposta deverá discriminar:</w:t>
      </w:r>
    </w:p>
    <w:p>
      <w:pPr>
        <w:pStyle w:val="Compact"/>
        <w:numPr>
          <w:ilvl w:val="0"/>
          <w:numId w:val="1102"/>
        </w:numPr>
      </w:pPr>
      <w:r>
        <w:t xml:space="preserve">processamento;</w:t>
      </w:r>
    </w:p>
    <w:p>
      <w:pPr>
        <w:pStyle w:val="Compact"/>
        <w:numPr>
          <w:ilvl w:val="0"/>
          <w:numId w:val="1102"/>
        </w:numPr>
      </w:pPr>
      <w:r>
        <w:t xml:space="preserve">armazenamento;</w:t>
      </w:r>
    </w:p>
    <w:p>
      <w:pPr>
        <w:pStyle w:val="Compact"/>
        <w:numPr>
          <w:ilvl w:val="0"/>
          <w:numId w:val="1102"/>
        </w:numPr>
      </w:pPr>
      <w:r>
        <w:t xml:space="preserve">transferência;</w:t>
      </w:r>
    </w:p>
    <w:p>
      <w:pPr>
        <w:pStyle w:val="Compact"/>
        <w:numPr>
          <w:ilvl w:val="0"/>
          <w:numId w:val="1102"/>
        </w:numPr>
      </w:pPr>
      <w:r>
        <w:t xml:space="preserve">banco;</w:t>
      </w:r>
    </w:p>
    <w:p>
      <w:pPr>
        <w:pStyle w:val="Compact"/>
        <w:numPr>
          <w:ilvl w:val="0"/>
          <w:numId w:val="1102"/>
        </w:numPr>
      </w:pPr>
      <w:r>
        <w:t xml:space="preserve">backup;</w:t>
      </w:r>
    </w:p>
    <w:p>
      <w:pPr>
        <w:pStyle w:val="Compact"/>
        <w:numPr>
          <w:ilvl w:val="0"/>
          <w:numId w:val="1102"/>
        </w:numPr>
      </w:pPr>
      <w:r>
        <w:t xml:space="preserve">observabilidade;</w:t>
      </w:r>
    </w:p>
    <w:p>
      <w:pPr>
        <w:pStyle w:val="Compact"/>
        <w:numPr>
          <w:ilvl w:val="0"/>
          <w:numId w:val="1102"/>
        </w:numPr>
      </w:pPr>
      <w:r>
        <w:t xml:space="preserve">licenças;</w:t>
      </w:r>
    </w:p>
    <w:p>
      <w:pPr>
        <w:pStyle w:val="Compact"/>
        <w:numPr>
          <w:ilvl w:val="0"/>
          <w:numId w:val="1102"/>
        </w:numPr>
      </w:pPr>
      <w:r>
        <w:t xml:space="preserve">suporte;</w:t>
      </w:r>
    </w:p>
    <w:p>
      <w:pPr>
        <w:pStyle w:val="Compact"/>
        <w:numPr>
          <w:ilvl w:val="0"/>
          <w:numId w:val="1102"/>
        </w:numPr>
      </w:pPr>
      <w:r>
        <w:t xml:space="preserve">segurança;</w:t>
      </w:r>
    </w:p>
    <w:p>
      <w:pPr>
        <w:pStyle w:val="Compact"/>
        <w:numPr>
          <w:ilvl w:val="0"/>
          <w:numId w:val="1102"/>
        </w:numPr>
      </w:pPr>
      <w:r>
        <w:t xml:space="preserve">retenção;</w:t>
      </w:r>
    </w:p>
    <w:p>
      <w:pPr>
        <w:pStyle w:val="Compact"/>
        <w:numPr>
          <w:ilvl w:val="0"/>
          <w:numId w:val="1102"/>
        </w:numPr>
      </w:pPr>
      <w:r>
        <w:t xml:space="preserve">ambientes.</w:t>
      </w:r>
    </w:p>
    <w:p>
      <w:pPr>
        <w:pStyle w:val="FirstParagraph"/>
      </w:pPr>
      <w:r>
        <w:t xml:space="preserve">Não será aceita proposta que omita custos necessários à operação normal.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0" w:name="migração-e-carga-inicial"/>
    <w:p>
      <w:pPr>
        <w:pStyle w:val="Heading1"/>
      </w:pPr>
      <w:r>
        <w:t xml:space="preserve">23. Migração e carga inicial</w:t>
      </w:r>
    </w:p>
    <w:p>
      <w:pPr>
        <w:pStyle w:val="FirstParagraph"/>
      </w:pPr>
      <w:r>
        <w:t xml:space="preserve">A contratada deverá:</w:t>
      </w:r>
    </w:p>
    <w:p>
      <w:pPr>
        <w:pStyle w:val="Compact"/>
        <w:numPr>
          <w:ilvl w:val="0"/>
          <w:numId w:val="1103"/>
        </w:numPr>
      </w:pPr>
      <w:r>
        <w:t xml:space="preserve">inventariar dados existentes;</w:t>
      </w:r>
    </w:p>
    <w:p>
      <w:pPr>
        <w:pStyle w:val="Compact"/>
        <w:numPr>
          <w:ilvl w:val="0"/>
          <w:numId w:val="1103"/>
        </w:numPr>
      </w:pPr>
      <w:r>
        <w:t xml:space="preserve">classificar qualidade;</w:t>
      </w:r>
    </w:p>
    <w:p>
      <w:pPr>
        <w:pStyle w:val="Compact"/>
        <w:numPr>
          <w:ilvl w:val="0"/>
          <w:numId w:val="1103"/>
        </w:numPr>
      </w:pPr>
      <w:r>
        <w:t xml:space="preserve">identificar duplicidades;</w:t>
      </w:r>
    </w:p>
    <w:p>
      <w:pPr>
        <w:pStyle w:val="Compact"/>
        <w:numPr>
          <w:ilvl w:val="0"/>
          <w:numId w:val="1103"/>
        </w:numPr>
      </w:pPr>
      <w:r>
        <w:t xml:space="preserve">mapear campos;</w:t>
      </w:r>
    </w:p>
    <w:p>
      <w:pPr>
        <w:pStyle w:val="Compact"/>
        <w:numPr>
          <w:ilvl w:val="0"/>
          <w:numId w:val="1103"/>
        </w:numPr>
      </w:pPr>
      <w:r>
        <w:t xml:space="preserve">realizar carga de teste;</w:t>
      </w:r>
    </w:p>
    <w:p>
      <w:pPr>
        <w:pStyle w:val="Compact"/>
        <w:numPr>
          <w:ilvl w:val="0"/>
          <w:numId w:val="1103"/>
        </w:numPr>
      </w:pPr>
      <w:r>
        <w:t xml:space="preserve">apresentar relatório;</w:t>
      </w:r>
    </w:p>
    <w:p>
      <w:pPr>
        <w:pStyle w:val="Compact"/>
        <w:numPr>
          <w:ilvl w:val="0"/>
          <w:numId w:val="1103"/>
        </w:numPr>
      </w:pPr>
      <w:r>
        <w:t xml:space="preserve">corrigir;</w:t>
      </w:r>
    </w:p>
    <w:p>
      <w:pPr>
        <w:pStyle w:val="Compact"/>
        <w:numPr>
          <w:ilvl w:val="0"/>
          <w:numId w:val="1103"/>
        </w:numPr>
      </w:pPr>
      <w:r>
        <w:t xml:space="preserve">obter aprovação;</w:t>
      </w:r>
    </w:p>
    <w:p>
      <w:pPr>
        <w:pStyle w:val="Compact"/>
        <w:numPr>
          <w:ilvl w:val="0"/>
          <w:numId w:val="1103"/>
        </w:numPr>
      </w:pPr>
      <w:r>
        <w:t xml:space="preserve">executar carga definitiva;</w:t>
      </w:r>
    </w:p>
    <w:p>
      <w:pPr>
        <w:pStyle w:val="Compact"/>
        <w:numPr>
          <w:ilvl w:val="0"/>
          <w:numId w:val="1103"/>
        </w:numPr>
      </w:pPr>
      <w:r>
        <w:t xml:space="preserve">reconciliar resultados.</w:t>
      </w:r>
    </w:p>
    <w:p>
      <w:pPr>
        <w:pStyle w:val="FirstParagraph"/>
      </w:pPr>
      <w:r>
        <w:t xml:space="preserve">Dados históricos sem qualidade comprovada deverão ser identificados como:</w:t>
      </w:r>
    </w:p>
    <w:p>
      <w:pPr>
        <w:pStyle w:val="SourceCode"/>
      </w:pPr>
      <w:r>
        <w:rPr>
          <w:rStyle w:val="VerbatimChar"/>
        </w:rPr>
        <w:t xml:space="preserve">HISTÓRICO NÃO VALIDADO</w:t>
      </w:r>
      <w:r>
        <w:br/>
      </w:r>
      <w:r>
        <w:rPr>
          <w:rStyle w:val="VerbatimChar"/>
        </w:rPr>
        <w:t xml:space="preserve">HISTÓRICO PARCIAL</w:t>
      </w:r>
      <w:r>
        <w:br/>
      </w:r>
      <w:r>
        <w:rPr>
          <w:rStyle w:val="VerbatimChar"/>
        </w:rPr>
        <w:t xml:space="preserve">HISTÓRICO VALIDADO</w:t>
      </w:r>
    </w:p>
    <w:p>
      <w:r>
        <w:pict>
          <v:rect style="width:0;height:1.5pt" o:hralign="center" o:hrstd="t" o:hr="t"/>
        </w:pict>
      </w:r>
    </w:p>
    <w:bookmarkEnd w:id="150"/>
    <w:bookmarkStart w:id="154" w:name="capacitação"/>
    <w:p>
      <w:pPr>
        <w:pStyle w:val="Heading1"/>
      </w:pPr>
      <w:r>
        <w:t xml:space="preserve">24. Capacitação</w:t>
      </w:r>
    </w:p>
    <w:bookmarkStart w:id="151" w:name="públicos"/>
    <w:p>
      <w:pPr>
        <w:pStyle w:val="Heading2"/>
      </w:pPr>
      <w:r>
        <w:t xml:space="preserve">24.1 Públicos</w:t>
      </w:r>
    </w:p>
    <w:p>
      <w:pPr>
        <w:pStyle w:val="Compact"/>
        <w:numPr>
          <w:ilvl w:val="0"/>
          <w:numId w:val="1104"/>
        </w:numPr>
      </w:pPr>
      <w:r>
        <w:t xml:space="preserve">administradores;</w:t>
      </w:r>
    </w:p>
    <w:p>
      <w:pPr>
        <w:pStyle w:val="Compact"/>
        <w:numPr>
          <w:ilvl w:val="0"/>
          <w:numId w:val="1104"/>
        </w:numPr>
      </w:pPr>
      <w:r>
        <w:t xml:space="preserve">tecnologia;</w:t>
      </w:r>
    </w:p>
    <w:p>
      <w:pPr>
        <w:pStyle w:val="Compact"/>
        <w:numPr>
          <w:ilvl w:val="0"/>
          <w:numId w:val="1104"/>
        </w:numPr>
      </w:pPr>
      <w:r>
        <w:t xml:space="preserve">Defesa Civil;</w:t>
      </w:r>
    </w:p>
    <w:p>
      <w:pPr>
        <w:pStyle w:val="Compact"/>
        <w:numPr>
          <w:ilvl w:val="0"/>
          <w:numId w:val="1104"/>
        </w:numPr>
      </w:pPr>
      <w:r>
        <w:t xml:space="preserve">Saúde;</w:t>
      </w:r>
    </w:p>
    <w:p>
      <w:pPr>
        <w:pStyle w:val="Compact"/>
        <w:numPr>
          <w:ilvl w:val="0"/>
          <w:numId w:val="1104"/>
        </w:numPr>
      </w:pPr>
      <w:r>
        <w:t xml:space="preserve">Meio Ambiente;</w:t>
      </w:r>
    </w:p>
    <w:p>
      <w:pPr>
        <w:pStyle w:val="Compact"/>
        <w:numPr>
          <w:ilvl w:val="0"/>
          <w:numId w:val="1104"/>
        </w:numPr>
      </w:pPr>
      <w:r>
        <w:t xml:space="preserve">comunicação;</w:t>
      </w:r>
    </w:p>
    <w:p>
      <w:pPr>
        <w:pStyle w:val="Compact"/>
        <w:numPr>
          <w:ilvl w:val="0"/>
          <w:numId w:val="1104"/>
        </w:numPr>
      </w:pPr>
      <w:r>
        <w:t xml:space="preserve">planejamento;</w:t>
      </w:r>
    </w:p>
    <w:p>
      <w:pPr>
        <w:pStyle w:val="Compact"/>
        <w:numPr>
          <w:ilvl w:val="0"/>
          <w:numId w:val="1104"/>
        </w:numPr>
      </w:pPr>
      <w:r>
        <w:t xml:space="preserve">auditores;</w:t>
      </w:r>
    </w:p>
    <w:p>
      <w:pPr>
        <w:pStyle w:val="Compact"/>
        <w:numPr>
          <w:ilvl w:val="0"/>
          <w:numId w:val="1104"/>
        </w:numPr>
      </w:pPr>
      <w:r>
        <w:t xml:space="preserve">operadores.</w:t>
      </w:r>
    </w:p>
    <w:bookmarkEnd w:id="151"/>
    <w:bookmarkStart w:id="152" w:name="conteúdo"/>
    <w:p>
      <w:pPr>
        <w:pStyle w:val="Heading2"/>
      </w:pPr>
      <w:r>
        <w:t xml:space="preserve">24.2 Conteúdo</w:t>
      </w:r>
    </w:p>
    <w:p>
      <w:pPr>
        <w:pStyle w:val="Compact"/>
        <w:numPr>
          <w:ilvl w:val="0"/>
          <w:numId w:val="1105"/>
        </w:numPr>
      </w:pPr>
      <w:r>
        <w:t xml:space="preserve">arquitetura;</w:t>
      </w:r>
    </w:p>
    <w:p>
      <w:pPr>
        <w:pStyle w:val="Compact"/>
        <w:numPr>
          <w:ilvl w:val="0"/>
          <w:numId w:val="1105"/>
        </w:numPr>
      </w:pPr>
      <w:r>
        <w:t xml:space="preserve">operação;</w:t>
      </w:r>
    </w:p>
    <w:p>
      <w:pPr>
        <w:pStyle w:val="Compact"/>
        <w:numPr>
          <w:ilvl w:val="0"/>
          <w:numId w:val="1105"/>
        </w:numPr>
      </w:pPr>
      <w:r>
        <w:t xml:space="preserve">fontes;</w:t>
      </w:r>
    </w:p>
    <w:p>
      <w:pPr>
        <w:pStyle w:val="Compact"/>
        <w:numPr>
          <w:ilvl w:val="0"/>
          <w:numId w:val="1105"/>
        </w:numPr>
      </w:pPr>
      <w:r>
        <w:t xml:space="preserve">qualidade;</w:t>
      </w:r>
    </w:p>
    <w:p>
      <w:pPr>
        <w:pStyle w:val="Compact"/>
        <w:numPr>
          <w:ilvl w:val="0"/>
          <w:numId w:val="1105"/>
        </w:numPr>
      </w:pPr>
      <w:r>
        <w:t xml:space="preserve">protocolos;</w:t>
      </w:r>
    </w:p>
    <w:p>
      <w:pPr>
        <w:pStyle w:val="Compact"/>
        <w:numPr>
          <w:ilvl w:val="0"/>
          <w:numId w:val="1105"/>
        </w:numPr>
      </w:pPr>
      <w:r>
        <w:t xml:space="preserve">relatórios;</w:t>
      </w:r>
    </w:p>
    <w:p>
      <w:pPr>
        <w:pStyle w:val="Compact"/>
        <w:numPr>
          <w:ilvl w:val="0"/>
          <w:numId w:val="1105"/>
        </w:numPr>
      </w:pPr>
      <w:r>
        <w:t xml:space="preserve">segurança;</w:t>
      </w:r>
    </w:p>
    <w:p>
      <w:pPr>
        <w:pStyle w:val="Compact"/>
        <w:numPr>
          <w:ilvl w:val="0"/>
          <w:numId w:val="1105"/>
        </w:numPr>
      </w:pPr>
      <w:r>
        <w:t xml:space="preserve">administração;</w:t>
      </w:r>
    </w:p>
    <w:p>
      <w:pPr>
        <w:pStyle w:val="Compact"/>
        <w:numPr>
          <w:ilvl w:val="0"/>
          <w:numId w:val="1105"/>
        </w:numPr>
      </w:pPr>
      <w:r>
        <w:t xml:space="preserve">APIs;</w:t>
      </w:r>
    </w:p>
    <w:p>
      <w:pPr>
        <w:pStyle w:val="Compact"/>
        <w:numPr>
          <w:ilvl w:val="0"/>
          <w:numId w:val="1105"/>
        </w:numPr>
      </w:pPr>
      <w:r>
        <w:t xml:space="preserve">suporte;</w:t>
      </w:r>
    </w:p>
    <w:p>
      <w:pPr>
        <w:pStyle w:val="Compact"/>
        <w:numPr>
          <w:ilvl w:val="0"/>
          <w:numId w:val="1105"/>
        </w:numPr>
      </w:pPr>
      <w:r>
        <w:t xml:space="preserve">recuperação.</w:t>
      </w:r>
    </w:p>
    <w:bookmarkEnd w:id="152"/>
    <w:bookmarkStart w:id="153" w:name="critério"/>
    <w:p>
      <w:pPr>
        <w:pStyle w:val="Heading2"/>
      </w:pPr>
      <w:r>
        <w:t xml:space="preserve">24.3 Critério</w:t>
      </w:r>
    </w:p>
    <w:p>
      <w:pPr>
        <w:pStyle w:val="FirstParagraph"/>
      </w:pPr>
      <w:r>
        <w:t xml:space="preserve">A capacitação não será considerada concluída apenas por exposição oral.</w:t>
      </w:r>
    </w:p>
    <w:p>
      <w:pPr>
        <w:pStyle w:val="BodyText"/>
      </w:pPr>
      <w:r>
        <w:t xml:space="preserve">Deverá incluir:</w:t>
      </w:r>
    </w:p>
    <w:p>
      <w:pPr>
        <w:pStyle w:val="Compact"/>
        <w:numPr>
          <w:ilvl w:val="0"/>
          <w:numId w:val="1106"/>
        </w:numPr>
      </w:pPr>
      <w:r>
        <w:t xml:space="preserve">exercício;</w:t>
      </w:r>
    </w:p>
    <w:p>
      <w:pPr>
        <w:pStyle w:val="Compact"/>
        <w:numPr>
          <w:ilvl w:val="0"/>
          <w:numId w:val="1106"/>
        </w:numPr>
      </w:pPr>
      <w:r>
        <w:t xml:space="preserve">ambiente;</w:t>
      </w:r>
    </w:p>
    <w:p>
      <w:pPr>
        <w:pStyle w:val="Compact"/>
        <w:numPr>
          <w:ilvl w:val="0"/>
          <w:numId w:val="1106"/>
        </w:numPr>
      </w:pPr>
      <w:r>
        <w:t xml:space="preserve">material;</w:t>
      </w:r>
    </w:p>
    <w:p>
      <w:pPr>
        <w:pStyle w:val="Compact"/>
        <w:numPr>
          <w:ilvl w:val="0"/>
          <w:numId w:val="1106"/>
        </w:numPr>
      </w:pPr>
      <w:r>
        <w:t xml:space="preserve">avaliação;</w:t>
      </w:r>
    </w:p>
    <w:p>
      <w:pPr>
        <w:pStyle w:val="Compact"/>
        <w:numPr>
          <w:ilvl w:val="0"/>
          <w:numId w:val="1106"/>
        </w:numPr>
      </w:pPr>
      <w:r>
        <w:t xml:space="preserve">gravação;</w:t>
      </w:r>
    </w:p>
    <w:p>
      <w:pPr>
        <w:pStyle w:val="Compact"/>
        <w:numPr>
          <w:ilvl w:val="0"/>
          <w:numId w:val="1106"/>
        </w:numPr>
      </w:pPr>
      <w:r>
        <w:t xml:space="preserve">dúvidas;</w:t>
      </w:r>
    </w:p>
    <w:p>
      <w:pPr>
        <w:pStyle w:val="Compact"/>
        <w:numPr>
          <w:ilvl w:val="0"/>
          <w:numId w:val="1106"/>
        </w:numPr>
      </w:pPr>
      <w:r>
        <w:t xml:space="preserve">manual.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operação-assistida"/>
    <w:p>
      <w:pPr>
        <w:pStyle w:val="Heading1"/>
      </w:pPr>
      <w:r>
        <w:t xml:space="preserve">25. Operação assistida</w:t>
      </w:r>
    </w:p>
    <w:p>
      <w:pPr>
        <w:pStyle w:val="FirstParagraph"/>
      </w:pPr>
      <w:r>
        <w:t xml:space="preserve">Durante a operação assistida, a contratada deverá:</w:t>
      </w:r>
    </w:p>
    <w:p>
      <w:pPr>
        <w:pStyle w:val="Compact"/>
        <w:numPr>
          <w:ilvl w:val="0"/>
          <w:numId w:val="1107"/>
        </w:numPr>
      </w:pPr>
      <w:r>
        <w:t xml:space="preserve">monitorar;</w:t>
      </w:r>
    </w:p>
    <w:p>
      <w:pPr>
        <w:pStyle w:val="Compact"/>
        <w:numPr>
          <w:ilvl w:val="0"/>
          <w:numId w:val="1107"/>
        </w:numPr>
      </w:pPr>
      <w:r>
        <w:t xml:space="preserve">corrigir;</w:t>
      </w:r>
    </w:p>
    <w:p>
      <w:pPr>
        <w:pStyle w:val="Compact"/>
        <w:numPr>
          <w:ilvl w:val="0"/>
          <w:numId w:val="1107"/>
        </w:numPr>
      </w:pPr>
      <w:r>
        <w:t xml:space="preserve">apoiar usuários;</w:t>
      </w:r>
    </w:p>
    <w:p>
      <w:pPr>
        <w:pStyle w:val="Compact"/>
        <w:numPr>
          <w:ilvl w:val="0"/>
          <w:numId w:val="1107"/>
        </w:numPr>
      </w:pPr>
      <w:r>
        <w:t xml:space="preserve">acompanhar ingestões;</w:t>
      </w:r>
    </w:p>
    <w:p>
      <w:pPr>
        <w:pStyle w:val="Compact"/>
        <w:numPr>
          <w:ilvl w:val="0"/>
          <w:numId w:val="1107"/>
        </w:numPr>
      </w:pPr>
      <w:r>
        <w:t xml:space="preserve">ajustar configurações;</w:t>
      </w:r>
    </w:p>
    <w:p>
      <w:pPr>
        <w:pStyle w:val="Compact"/>
        <w:numPr>
          <w:ilvl w:val="0"/>
          <w:numId w:val="1107"/>
        </w:numPr>
      </w:pPr>
      <w:r>
        <w:t xml:space="preserve">atualizar documentação;</w:t>
      </w:r>
    </w:p>
    <w:p>
      <w:pPr>
        <w:pStyle w:val="Compact"/>
        <w:numPr>
          <w:ilvl w:val="0"/>
          <w:numId w:val="1107"/>
        </w:numPr>
      </w:pPr>
      <w:r>
        <w:t xml:space="preserve">conduzir reuniões;</w:t>
      </w:r>
    </w:p>
    <w:p>
      <w:pPr>
        <w:pStyle w:val="Compact"/>
        <w:numPr>
          <w:ilvl w:val="0"/>
          <w:numId w:val="1107"/>
        </w:numPr>
      </w:pPr>
      <w:r>
        <w:t xml:space="preserve">transferir conhecimento;</w:t>
      </w:r>
    </w:p>
    <w:p>
      <w:pPr>
        <w:pStyle w:val="Compact"/>
        <w:numPr>
          <w:ilvl w:val="0"/>
          <w:numId w:val="1107"/>
        </w:numPr>
      </w:pPr>
      <w:r>
        <w:t xml:space="preserve">apresentar relatório.</w:t>
      </w:r>
    </w:p>
    <w:p>
      <w:pPr>
        <w:pStyle w:val="FirstParagraph"/>
      </w:pPr>
      <w:r>
        <w:t xml:space="preserve">A equipe municipal deverá assumir progressivamente:</w:t>
      </w:r>
    </w:p>
    <w:p>
      <w:pPr>
        <w:pStyle w:val="Compact"/>
        <w:numPr>
          <w:ilvl w:val="0"/>
          <w:numId w:val="1108"/>
        </w:numPr>
      </w:pPr>
      <w:r>
        <w:t xml:space="preserve">administração;</w:t>
      </w:r>
    </w:p>
    <w:p>
      <w:pPr>
        <w:pStyle w:val="Compact"/>
        <w:numPr>
          <w:ilvl w:val="0"/>
          <w:numId w:val="1108"/>
        </w:numPr>
      </w:pPr>
      <w:r>
        <w:t xml:space="preserve">publicação;</w:t>
      </w:r>
    </w:p>
    <w:p>
      <w:pPr>
        <w:pStyle w:val="Compact"/>
        <w:numPr>
          <w:ilvl w:val="0"/>
          <w:numId w:val="1108"/>
        </w:numPr>
      </w:pPr>
      <w:r>
        <w:t xml:space="preserve">cadastro;</w:t>
      </w:r>
    </w:p>
    <w:p>
      <w:pPr>
        <w:pStyle w:val="Compact"/>
        <w:numPr>
          <w:ilvl w:val="0"/>
          <w:numId w:val="1108"/>
        </w:numPr>
      </w:pPr>
      <w:r>
        <w:t xml:space="preserve">monitoramento;</w:t>
      </w:r>
    </w:p>
    <w:p>
      <w:pPr>
        <w:pStyle w:val="Compact"/>
        <w:numPr>
          <w:ilvl w:val="0"/>
          <w:numId w:val="1108"/>
        </w:numPr>
      </w:pPr>
      <w:r>
        <w:t xml:space="preserve">suporte de primeiro nível.</w:t>
      </w:r>
    </w:p>
    <w:p>
      <w:r>
        <w:pict>
          <v:rect style="width:0;height:1.5pt" o:hralign="center" o:hrstd="t" o:hr="t"/>
        </w:pict>
      </w:r>
    </w:p>
    <w:bookmarkEnd w:id="155"/>
    <w:bookmarkStart w:id="158" w:name="suporte-e-manutenção"/>
    <w:p>
      <w:pPr>
        <w:pStyle w:val="Heading1"/>
      </w:pPr>
      <w:r>
        <w:t xml:space="preserve">26. Suporte e manutenção</w:t>
      </w:r>
    </w:p>
    <w:bookmarkStart w:id="156" w:name="tipos"/>
    <w:p>
      <w:pPr>
        <w:pStyle w:val="Heading2"/>
      </w:pPr>
      <w:r>
        <w:t xml:space="preserve">26.1 Tipos</w:t>
      </w:r>
    </w:p>
    <w:p>
      <w:pPr>
        <w:pStyle w:val="Compact"/>
        <w:numPr>
          <w:ilvl w:val="0"/>
          <w:numId w:val="1109"/>
        </w:numPr>
      </w:pPr>
      <w:r>
        <w:t xml:space="preserve">corretiva;</w:t>
      </w:r>
    </w:p>
    <w:p>
      <w:pPr>
        <w:pStyle w:val="Compact"/>
        <w:numPr>
          <w:ilvl w:val="0"/>
          <w:numId w:val="1109"/>
        </w:numPr>
      </w:pPr>
      <w:r>
        <w:t xml:space="preserve">adaptativa;</w:t>
      </w:r>
    </w:p>
    <w:p>
      <w:pPr>
        <w:pStyle w:val="Compact"/>
        <w:numPr>
          <w:ilvl w:val="0"/>
          <w:numId w:val="1109"/>
        </w:numPr>
      </w:pPr>
      <w:r>
        <w:t xml:space="preserve">evolutiva;</w:t>
      </w:r>
    </w:p>
    <w:p>
      <w:pPr>
        <w:pStyle w:val="Compact"/>
        <w:numPr>
          <w:ilvl w:val="0"/>
          <w:numId w:val="1109"/>
        </w:numPr>
      </w:pPr>
      <w:r>
        <w:t xml:space="preserve">preventiva;</w:t>
      </w:r>
    </w:p>
    <w:p>
      <w:pPr>
        <w:pStyle w:val="Compact"/>
        <w:numPr>
          <w:ilvl w:val="0"/>
          <w:numId w:val="1109"/>
        </w:numPr>
      </w:pPr>
      <w:r>
        <w:t xml:space="preserve">segurança;</w:t>
      </w:r>
    </w:p>
    <w:p>
      <w:pPr>
        <w:pStyle w:val="Compact"/>
        <w:numPr>
          <w:ilvl w:val="0"/>
          <w:numId w:val="1109"/>
        </w:numPr>
      </w:pPr>
      <w:r>
        <w:t xml:space="preserve">atualização tecnológica.</w:t>
      </w:r>
    </w:p>
    <w:bookmarkEnd w:id="156"/>
    <w:bookmarkStart w:id="157" w:name="separação"/>
    <w:p>
      <w:pPr>
        <w:pStyle w:val="Heading2"/>
      </w:pPr>
      <w:r>
        <w:t xml:space="preserve">26.2 Separação</w:t>
      </w:r>
    </w:p>
    <w:p>
      <w:pPr>
        <w:pStyle w:val="FirstParagraph"/>
      </w:pPr>
      <w:r>
        <w:t xml:space="preserve">O contrato deverá diferenciar:</w:t>
      </w:r>
    </w:p>
    <w:p>
      <w:pPr>
        <w:pStyle w:val="Compact"/>
        <w:numPr>
          <w:ilvl w:val="0"/>
          <w:numId w:val="1110"/>
        </w:numPr>
      </w:pPr>
      <w:r>
        <w:t xml:space="preserve">defeito;</w:t>
      </w:r>
    </w:p>
    <w:p>
      <w:pPr>
        <w:pStyle w:val="Compact"/>
        <w:numPr>
          <w:ilvl w:val="0"/>
          <w:numId w:val="1110"/>
        </w:numPr>
      </w:pPr>
      <w:r>
        <w:t xml:space="preserve">melhoria;</w:t>
      </w:r>
    </w:p>
    <w:p>
      <w:pPr>
        <w:pStyle w:val="Compact"/>
        <w:numPr>
          <w:ilvl w:val="0"/>
          <w:numId w:val="1110"/>
        </w:numPr>
      </w:pPr>
      <w:r>
        <w:t xml:space="preserve">novo módulo;</w:t>
      </w:r>
    </w:p>
    <w:p>
      <w:pPr>
        <w:pStyle w:val="Compact"/>
        <w:numPr>
          <w:ilvl w:val="0"/>
          <w:numId w:val="1110"/>
        </w:numPr>
      </w:pPr>
      <w:r>
        <w:t xml:space="preserve">mudança regulatória;</w:t>
      </w:r>
    </w:p>
    <w:p>
      <w:pPr>
        <w:pStyle w:val="Compact"/>
        <w:numPr>
          <w:ilvl w:val="0"/>
          <w:numId w:val="1110"/>
        </w:numPr>
      </w:pPr>
      <w:r>
        <w:t xml:space="preserve">mudança de fonte externa;</w:t>
      </w:r>
    </w:p>
    <w:p>
      <w:pPr>
        <w:pStyle w:val="Compact"/>
        <w:numPr>
          <w:ilvl w:val="0"/>
          <w:numId w:val="1110"/>
        </w:numPr>
      </w:pPr>
      <w:r>
        <w:t xml:space="preserve">aumento de capacidade;</w:t>
      </w:r>
    </w:p>
    <w:p>
      <w:pPr>
        <w:pStyle w:val="Compact"/>
        <w:numPr>
          <w:ilvl w:val="0"/>
          <w:numId w:val="1110"/>
        </w:numPr>
      </w:pPr>
      <w:r>
        <w:t xml:space="preserve">manutenção.</w:t>
      </w:r>
    </w:p>
    <w:p>
      <w:pPr>
        <w:pStyle w:val="FirstParagraph"/>
      </w:pPr>
      <w:r>
        <w:t xml:space="preserve">Correção de defeito em requisito aceito não deverá ser cobrada como evolução.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59" w:name="obrigações-da-contratada"/>
    <w:p>
      <w:pPr>
        <w:pStyle w:val="Heading1"/>
      </w:pPr>
      <w:r>
        <w:t xml:space="preserve">27. Obrigações da contratada</w:t>
      </w:r>
    </w:p>
    <w:p>
      <w:pPr>
        <w:pStyle w:val="Compact"/>
        <w:numPr>
          <w:ilvl w:val="0"/>
          <w:numId w:val="1111"/>
        </w:numPr>
      </w:pPr>
      <w:r>
        <w:t xml:space="preserve">Executar o objeto.</w:t>
      </w:r>
    </w:p>
    <w:p>
      <w:pPr>
        <w:pStyle w:val="Compact"/>
        <w:numPr>
          <w:ilvl w:val="0"/>
          <w:numId w:val="1111"/>
        </w:numPr>
      </w:pPr>
      <w:r>
        <w:t xml:space="preserve">Manter equipe adequada.</w:t>
      </w:r>
    </w:p>
    <w:p>
      <w:pPr>
        <w:pStyle w:val="Compact"/>
        <w:numPr>
          <w:ilvl w:val="0"/>
          <w:numId w:val="1111"/>
        </w:numPr>
      </w:pPr>
      <w:r>
        <w:t xml:space="preserve">Cumprir segurança e LGPD.</w:t>
      </w:r>
    </w:p>
    <w:p>
      <w:pPr>
        <w:pStyle w:val="Compact"/>
        <w:numPr>
          <w:ilvl w:val="0"/>
          <w:numId w:val="1111"/>
        </w:numPr>
      </w:pPr>
      <w:r>
        <w:t xml:space="preserve">Entregar código e documentação.</w:t>
      </w:r>
    </w:p>
    <w:p>
      <w:pPr>
        <w:pStyle w:val="Compact"/>
        <w:numPr>
          <w:ilvl w:val="0"/>
          <w:numId w:val="1111"/>
        </w:numPr>
      </w:pPr>
      <w:r>
        <w:t xml:space="preserve">Preservar dados.</w:t>
      </w:r>
    </w:p>
    <w:p>
      <w:pPr>
        <w:pStyle w:val="Compact"/>
        <w:numPr>
          <w:ilvl w:val="0"/>
          <w:numId w:val="1111"/>
        </w:numPr>
      </w:pPr>
      <w:r>
        <w:t xml:space="preserve">Comunicar riscos.</w:t>
      </w:r>
    </w:p>
    <w:p>
      <w:pPr>
        <w:pStyle w:val="Compact"/>
        <w:numPr>
          <w:ilvl w:val="0"/>
          <w:numId w:val="1111"/>
        </w:numPr>
      </w:pPr>
      <w:r>
        <w:t xml:space="preserve">Apoiar fiscalização.</w:t>
      </w:r>
    </w:p>
    <w:p>
      <w:pPr>
        <w:pStyle w:val="Compact"/>
        <w:numPr>
          <w:ilvl w:val="0"/>
          <w:numId w:val="1111"/>
        </w:numPr>
      </w:pPr>
      <w:r>
        <w:t xml:space="preserve">Corrigir falhas.</w:t>
      </w:r>
    </w:p>
    <w:p>
      <w:pPr>
        <w:pStyle w:val="Compact"/>
        <w:numPr>
          <w:ilvl w:val="0"/>
          <w:numId w:val="1111"/>
        </w:numPr>
      </w:pPr>
      <w:r>
        <w:t xml:space="preserve">Manter licenças regulares.</w:t>
      </w:r>
    </w:p>
    <w:p>
      <w:pPr>
        <w:pStyle w:val="Compact"/>
        <w:numPr>
          <w:ilvl w:val="0"/>
          <w:numId w:val="1111"/>
        </w:numPr>
      </w:pPr>
      <w:r>
        <w:t xml:space="preserve">Não usar dados para finalidade própria.</w:t>
      </w:r>
    </w:p>
    <w:p>
      <w:pPr>
        <w:pStyle w:val="Compact"/>
        <w:numPr>
          <w:ilvl w:val="0"/>
          <w:numId w:val="1111"/>
        </w:numPr>
      </w:pPr>
      <w:r>
        <w:t xml:space="preserve">Informar subcontratações.</w:t>
      </w:r>
    </w:p>
    <w:p>
      <w:pPr>
        <w:pStyle w:val="Compact"/>
        <w:numPr>
          <w:ilvl w:val="0"/>
          <w:numId w:val="1111"/>
        </w:numPr>
      </w:pPr>
      <w:r>
        <w:t xml:space="preserve">Permitir auditoria.</w:t>
      </w:r>
    </w:p>
    <w:p>
      <w:pPr>
        <w:pStyle w:val="Compact"/>
        <w:numPr>
          <w:ilvl w:val="0"/>
          <w:numId w:val="1111"/>
        </w:numPr>
      </w:pPr>
      <w:r>
        <w:t xml:space="preserve">Evitar dependência.</w:t>
      </w:r>
    </w:p>
    <w:p>
      <w:pPr>
        <w:pStyle w:val="Compact"/>
        <w:numPr>
          <w:ilvl w:val="0"/>
          <w:numId w:val="1111"/>
        </w:numPr>
      </w:pPr>
      <w:r>
        <w:t xml:space="preserve">Capacitar.</w:t>
      </w:r>
    </w:p>
    <w:p>
      <w:pPr>
        <w:pStyle w:val="Compact"/>
        <w:numPr>
          <w:ilvl w:val="0"/>
          <w:numId w:val="1111"/>
        </w:numPr>
      </w:pPr>
      <w:r>
        <w:t xml:space="preserve">apoiar transição.</w:t>
      </w:r>
    </w:p>
    <w:p>
      <w:pPr>
        <w:pStyle w:val="Compact"/>
        <w:numPr>
          <w:ilvl w:val="0"/>
          <w:numId w:val="1111"/>
        </w:numPr>
      </w:pPr>
      <w:r>
        <w:t xml:space="preserve">manter sigilo.</w:t>
      </w:r>
    </w:p>
    <w:p>
      <w:pPr>
        <w:pStyle w:val="Compact"/>
        <w:numPr>
          <w:ilvl w:val="0"/>
          <w:numId w:val="1111"/>
        </w:numPr>
      </w:pPr>
      <w:r>
        <w:t xml:space="preserve">cumprir acessibilidade.</w:t>
      </w:r>
    </w:p>
    <w:p>
      <w:pPr>
        <w:pStyle w:val="Compact"/>
        <w:numPr>
          <w:ilvl w:val="0"/>
          <w:numId w:val="1111"/>
        </w:numPr>
      </w:pPr>
      <w:r>
        <w:t xml:space="preserve">registrar decisões técnicas.</w:t>
      </w:r>
    </w:p>
    <w:p>
      <w:pPr>
        <w:pStyle w:val="Compact"/>
        <w:numPr>
          <w:ilvl w:val="0"/>
          <w:numId w:val="1111"/>
        </w:numPr>
      </w:pPr>
      <w:r>
        <w:t xml:space="preserve">manter ambiente reproduzível.</w:t>
      </w:r>
    </w:p>
    <w:p>
      <w:pPr>
        <w:pStyle w:val="Compact"/>
        <w:numPr>
          <w:ilvl w:val="0"/>
          <w:numId w:val="1111"/>
        </w:numPr>
      </w:pPr>
      <w:r>
        <w:t xml:space="preserve">apresentar custos recorrentes.</w:t>
      </w:r>
    </w:p>
    <w:p>
      <w:r>
        <w:pict>
          <v:rect style="width:0;height:1.5pt" o:hralign="center" o:hrstd="t" o:hr="t"/>
        </w:pict>
      </w:r>
    </w:p>
    <w:bookmarkEnd w:id="159"/>
    <w:bookmarkStart w:id="160" w:name="obrigações-da-administração"/>
    <w:p>
      <w:pPr>
        <w:pStyle w:val="Heading1"/>
      </w:pPr>
      <w:r>
        <w:t xml:space="preserve">28. Obrigações da Administração</w:t>
      </w:r>
    </w:p>
    <w:p>
      <w:pPr>
        <w:pStyle w:val="Compact"/>
        <w:numPr>
          <w:ilvl w:val="0"/>
          <w:numId w:val="1112"/>
        </w:numPr>
      </w:pPr>
      <w:r>
        <w:t xml:space="preserve">Designar gestores e fiscais.</w:t>
      </w:r>
    </w:p>
    <w:p>
      <w:pPr>
        <w:pStyle w:val="Compact"/>
        <w:numPr>
          <w:ilvl w:val="0"/>
          <w:numId w:val="1112"/>
        </w:numPr>
      </w:pPr>
      <w:r>
        <w:t xml:space="preserve">Disponibilizar acessos.</w:t>
      </w:r>
    </w:p>
    <w:p>
      <w:pPr>
        <w:pStyle w:val="Compact"/>
        <w:numPr>
          <w:ilvl w:val="0"/>
          <w:numId w:val="1112"/>
        </w:numPr>
      </w:pPr>
      <w:r>
        <w:t xml:space="preserve">Fornecer requisitos.</w:t>
      </w:r>
    </w:p>
    <w:p>
      <w:pPr>
        <w:pStyle w:val="Compact"/>
        <w:numPr>
          <w:ilvl w:val="0"/>
          <w:numId w:val="1112"/>
        </w:numPr>
      </w:pPr>
      <w:r>
        <w:t xml:space="preserve">Decidir prioridades.</w:t>
      </w:r>
    </w:p>
    <w:p>
      <w:pPr>
        <w:pStyle w:val="Compact"/>
        <w:numPr>
          <w:ilvl w:val="0"/>
          <w:numId w:val="1112"/>
        </w:numPr>
      </w:pPr>
      <w:r>
        <w:t xml:space="preserve">Validar entregas.</w:t>
      </w:r>
    </w:p>
    <w:p>
      <w:pPr>
        <w:pStyle w:val="Compact"/>
        <w:numPr>
          <w:ilvl w:val="0"/>
          <w:numId w:val="1112"/>
        </w:numPr>
      </w:pPr>
      <w:r>
        <w:t xml:space="preserve">Disponibilizar representantes.</w:t>
      </w:r>
    </w:p>
    <w:p>
      <w:pPr>
        <w:pStyle w:val="Compact"/>
        <w:numPr>
          <w:ilvl w:val="0"/>
          <w:numId w:val="1112"/>
        </w:numPr>
      </w:pPr>
      <w:r>
        <w:t xml:space="preserve">Obter autorizações.</w:t>
      </w:r>
    </w:p>
    <w:p>
      <w:pPr>
        <w:pStyle w:val="Compact"/>
        <w:numPr>
          <w:ilvl w:val="0"/>
          <w:numId w:val="1112"/>
        </w:numPr>
      </w:pPr>
      <w:r>
        <w:t xml:space="preserve">formalizar integração com órgãos.</w:t>
      </w:r>
    </w:p>
    <w:p>
      <w:pPr>
        <w:pStyle w:val="Compact"/>
        <w:numPr>
          <w:ilvl w:val="0"/>
          <w:numId w:val="1112"/>
        </w:numPr>
      </w:pPr>
      <w:r>
        <w:t xml:space="preserve">fornecer infraestrutura sob sua responsabilidade.</w:t>
      </w:r>
    </w:p>
    <w:p>
      <w:pPr>
        <w:pStyle w:val="Compact"/>
        <w:numPr>
          <w:ilvl w:val="0"/>
          <w:numId w:val="1112"/>
        </w:numPr>
      </w:pPr>
      <w:r>
        <w:t xml:space="preserve">comunicar mudanças.</w:t>
      </w:r>
    </w:p>
    <w:p>
      <w:pPr>
        <w:pStyle w:val="Compact"/>
        <w:numPr>
          <w:ilvl w:val="0"/>
          <w:numId w:val="1112"/>
        </w:numPr>
      </w:pPr>
      <w:r>
        <w:t xml:space="preserve">efetuar pagamentos aceitos.</w:t>
      </w:r>
    </w:p>
    <w:p>
      <w:pPr>
        <w:pStyle w:val="Compact"/>
        <w:numPr>
          <w:ilvl w:val="0"/>
          <w:numId w:val="1112"/>
        </w:numPr>
      </w:pPr>
      <w:r>
        <w:t xml:space="preserve">proteger credenciais.</w:t>
      </w:r>
    </w:p>
    <w:p>
      <w:pPr>
        <w:pStyle w:val="Compact"/>
        <w:numPr>
          <w:ilvl w:val="0"/>
          <w:numId w:val="1112"/>
        </w:numPr>
      </w:pPr>
      <w:r>
        <w:t xml:space="preserve">participar das capacitações.</w:t>
      </w:r>
    </w:p>
    <w:p>
      <w:pPr>
        <w:pStyle w:val="Compact"/>
        <w:numPr>
          <w:ilvl w:val="0"/>
          <w:numId w:val="1112"/>
        </w:numPr>
      </w:pPr>
      <w:r>
        <w:t xml:space="preserve">manter backlog oficial.</w:t>
      </w:r>
    </w:p>
    <w:p>
      <w:pPr>
        <w:pStyle w:val="Compact"/>
        <w:numPr>
          <w:ilvl w:val="0"/>
          <w:numId w:val="1112"/>
        </w:numPr>
      </w:pPr>
      <w:r>
        <w:t xml:space="preserve">indicar o encarregado.</w:t>
      </w:r>
    </w:p>
    <w:p>
      <w:pPr>
        <w:pStyle w:val="Compact"/>
        <w:numPr>
          <w:ilvl w:val="0"/>
          <w:numId w:val="1112"/>
        </w:numPr>
      </w:pPr>
      <w:r>
        <w:t xml:space="preserve">realizar decisões administrativas.</w:t>
      </w:r>
    </w:p>
    <w:p>
      <w:r>
        <w:pict>
          <v:rect style="width:0;height:1.5pt" o:hralign="center" o:hrstd="t" o:hr="t"/>
        </w:pict>
      </w:r>
    </w:p>
    <w:bookmarkEnd w:id="160"/>
    <w:bookmarkStart w:id="165" w:name="qualificação-técnica"/>
    <w:p>
      <w:pPr>
        <w:pStyle w:val="Heading1"/>
      </w:pPr>
      <w:r>
        <w:t xml:space="preserve">29. Qualificação técnica</w:t>
      </w:r>
    </w:p>
    <w:bookmarkStart w:id="161" w:name="princípio"/>
    <w:p>
      <w:pPr>
        <w:pStyle w:val="Heading2"/>
      </w:pPr>
      <w:r>
        <w:t xml:space="preserve">29.1 Princípio</w:t>
      </w:r>
    </w:p>
    <w:p>
      <w:pPr>
        <w:pStyle w:val="FirstParagraph"/>
      </w:pPr>
      <w:r>
        <w:t xml:space="preserve">As exigências deverão demonstrar capacidade para executar o objeto, sem restringir indevidamente a competição.</w:t>
      </w:r>
    </w:p>
    <w:bookmarkEnd w:id="161"/>
    <w:bookmarkStart w:id="162" w:name="capacidades-relevantes"/>
    <w:p>
      <w:pPr>
        <w:pStyle w:val="Heading2"/>
      </w:pPr>
      <w:r>
        <w:t xml:space="preserve">29.2 Capacidades relevantes</w:t>
      </w:r>
    </w:p>
    <w:p>
      <w:pPr>
        <w:pStyle w:val="FirstParagraph"/>
      </w:pPr>
      <w:r>
        <w:t xml:space="preserve">Poderão ser exigidos atestados relacionados a:</w:t>
      </w:r>
    </w:p>
    <w:p>
      <w:pPr>
        <w:pStyle w:val="Compact"/>
        <w:numPr>
          <w:ilvl w:val="0"/>
          <w:numId w:val="1113"/>
        </w:numPr>
      </w:pPr>
      <w:r>
        <w:t xml:space="preserve">desenvolvimento web;</w:t>
      </w:r>
    </w:p>
    <w:p>
      <w:pPr>
        <w:pStyle w:val="Compact"/>
        <w:numPr>
          <w:ilvl w:val="0"/>
          <w:numId w:val="1113"/>
        </w:numPr>
      </w:pPr>
      <w:r>
        <w:t xml:space="preserve">APIs;</w:t>
      </w:r>
    </w:p>
    <w:p>
      <w:pPr>
        <w:pStyle w:val="Compact"/>
        <w:numPr>
          <w:ilvl w:val="0"/>
          <w:numId w:val="1113"/>
        </w:numPr>
      </w:pPr>
      <w:r>
        <w:t xml:space="preserve">banco geoespacial;</w:t>
      </w:r>
    </w:p>
    <w:p>
      <w:pPr>
        <w:pStyle w:val="Compact"/>
        <w:numPr>
          <w:ilvl w:val="0"/>
          <w:numId w:val="1113"/>
        </w:numPr>
      </w:pPr>
      <w:r>
        <w:t xml:space="preserve">séries temporais;</w:t>
      </w:r>
    </w:p>
    <w:p>
      <w:pPr>
        <w:pStyle w:val="Compact"/>
        <w:numPr>
          <w:ilvl w:val="0"/>
          <w:numId w:val="1113"/>
        </w:numPr>
      </w:pPr>
      <w:r>
        <w:t xml:space="preserve">integração;</w:t>
      </w:r>
    </w:p>
    <w:p>
      <w:pPr>
        <w:pStyle w:val="Compact"/>
        <w:numPr>
          <w:ilvl w:val="0"/>
          <w:numId w:val="1113"/>
        </w:numPr>
      </w:pPr>
      <w:r>
        <w:t xml:space="preserve">dados públicos;</w:t>
      </w:r>
    </w:p>
    <w:p>
      <w:pPr>
        <w:pStyle w:val="Compact"/>
        <w:numPr>
          <w:ilvl w:val="0"/>
          <w:numId w:val="1113"/>
        </w:numPr>
      </w:pPr>
      <w:r>
        <w:t xml:space="preserve">controle de acesso;</w:t>
      </w:r>
    </w:p>
    <w:p>
      <w:pPr>
        <w:pStyle w:val="Compact"/>
        <w:numPr>
          <w:ilvl w:val="0"/>
          <w:numId w:val="1113"/>
        </w:numPr>
      </w:pPr>
      <w:r>
        <w:t xml:space="preserve">segurança;</w:t>
      </w:r>
    </w:p>
    <w:p>
      <w:pPr>
        <w:pStyle w:val="Compact"/>
        <w:numPr>
          <w:ilvl w:val="0"/>
          <w:numId w:val="1113"/>
        </w:numPr>
      </w:pPr>
      <w:r>
        <w:t xml:space="preserve">implantação;</w:t>
      </w:r>
    </w:p>
    <w:p>
      <w:pPr>
        <w:pStyle w:val="Compact"/>
        <w:numPr>
          <w:ilvl w:val="0"/>
          <w:numId w:val="1113"/>
        </w:numPr>
      </w:pPr>
      <w:r>
        <w:t xml:space="preserve">operação;</w:t>
      </w:r>
    </w:p>
    <w:p>
      <w:pPr>
        <w:pStyle w:val="Compact"/>
        <w:numPr>
          <w:ilvl w:val="0"/>
          <w:numId w:val="1113"/>
        </w:numPr>
      </w:pPr>
      <w:r>
        <w:t xml:space="preserve">mapas.</w:t>
      </w:r>
    </w:p>
    <w:p>
      <w:pPr>
        <w:pStyle w:val="FirstParagraph"/>
      </w:pPr>
      <w:r>
        <w:t xml:space="preserve">Não se recomenda exigir que um único atestado reproduza integralmente todos os módulos.</w:t>
      </w:r>
    </w:p>
    <w:bookmarkEnd w:id="162"/>
    <w:bookmarkStart w:id="163" w:name="equipe-mínima-sugerida"/>
    <w:p>
      <w:pPr>
        <w:pStyle w:val="Heading2"/>
      </w:pPr>
      <w:r>
        <w:t xml:space="preserve">29.3 Equipe mínima sugerida</w:t>
      </w:r>
    </w:p>
    <w:p>
      <w:pPr>
        <w:pStyle w:val="Compact"/>
        <w:numPr>
          <w:ilvl w:val="0"/>
          <w:numId w:val="1114"/>
        </w:numPr>
      </w:pPr>
      <w:r>
        <w:t xml:space="preserve">gerente de projeto;</w:t>
      </w:r>
    </w:p>
    <w:p>
      <w:pPr>
        <w:pStyle w:val="Compact"/>
        <w:numPr>
          <w:ilvl w:val="0"/>
          <w:numId w:val="1114"/>
        </w:numPr>
      </w:pPr>
      <w:r>
        <w:t xml:space="preserve">arquiteto de software;</w:t>
      </w:r>
    </w:p>
    <w:p>
      <w:pPr>
        <w:pStyle w:val="Compact"/>
        <w:numPr>
          <w:ilvl w:val="0"/>
          <w:numId w:val="1114"/>
        </w:numPr>
      </w:pPr>
      <w:r>
        <w:t xml:space="preserve">analista de negócios;</w:t>
      </w:r>
    </w:p>
    <w:p>
      <w:pPr>
        <w:pStyle w:val="Compact"/>
        <w:numPr>
          <w:ilvl w:val="0"/>
          <w:numId w:val="1114"/>
        </w:numPr>
      </w:pPr>
      <w:r>
        <w:t xml:space="preserve">desenvolvedor backend;</w:t>
      </w:r>
    </w:p>
    <w:p>
      <w:pPr>
        <w:pStyle w:val="Compact"/>
        <w:numPr>
          <w:ilvl w:val="0"/>
          <w:numId w:val="1114"/>
        </w:numPr>
      </w:pPr>
      <w:r>
        <w:t xml:space="preserve">desenvolvedor frontend;</w:t>
      </w:r>
    </w:p>
    <w:p>
      <w:pPr>
        <w:pStyle w:val="Compact"/>
        <w:numPr>
          <w:ilvl w:val="0"/>
          <w:numId w:val="1114"/>
        </w:numPr>
      </w:pPr>
      <w:r>
        <w:t xml:space="preserve">especialista em dados;</w:t>
      </w:r>
    </w:p>
    <w:p>
      <w:pPr>
        <w:pStyle w:val="Compact"/>
        <w:numPr>
          <w:ilvl w:val="0"/>
          <w:numId w:val="1114"/>
        </w:numPr>
      </w:pPr>
      <w:r>
        <w:t xml:space="preserve">especialista GIS;</w:t>
      </w:r>
    </w:p>
    <w:p>
      <w:pPr>
        <w:pStyle w:val="Compact"/>
        <w:numPr>
          <w:ilvl w:val="0"/>
          <w:numId w:val="1114"/>
        </w:numPr>
      </w:pPr>
      <w:r>
        <w:t xml:space="preserve">profissional DevOps;</w:t>
      </w:r>
    </w:p>
    <w:p>
      <w:pPr>
        <w:pStyle w:val="Compact"/>
        <w:numPr>
          <w:ilvl w:val="0"/>
          <w:numId w:val="1114"/>
        </w:numPr>
      </w:pPr>
      <w:r>
        <w:t xml:space="preserve">segurança;</w:t>
      </w:r>
    </w:p>
    <w:p>
      <w:pPr>
        <w:pStyle w:val="Compact"/>
        <w:numPr>
          <w:ilvl w:val="0"/>
          <w:numId w:val="1114"/>
        </w:numPr>
      </w:pPr>
      <w:r>
        <w:t xml:space="preserve">UX/acessibilidade;</w:t>
      </w:r>
    </w:p>
    <w:p>
      <w:pPr>
        <w:pStyle w:val="Compact"/>
        <w:numPr>
          <w:ilvl w:val="0"/>
          <w:numId w:val="1114"/>
        </w:numPr>
      </w:pPr>
      <w:r>
        <w:t xml:space="preserve">testes;</w:t>
      </w:r>
    </w:p>
    <w:p>
      <w:pPr>
        <w:pStyle w:val="Compact"/>
        <w:numPr>
          <w:ilvl w:val="0"/>
          <w:numId w:val="1114"/>
        </w:numPr>
      </w:pPr>
      <w:r>
        <w:t xml:space="preserve">documentação.</w:t>
      </w:r>
    </w:p>
    <w:p>
      <w:pPr>
        <w:pStyle w:val="FirstParagraph"/>
      </w:pPr>
      <w:r>
        <w:t xml:space="preserve">A licitante deverá poder organizar sua equipe, desde que cumpra os resultados.</w:t>
      </w:r>
    </w:p>
    <w:bookmarkEnd w:id="163"/>
    <w:bookmarkStart w:id="164" w:name="certificações"/>
    <w:p>
      <w:pPr>
        <w:pStyle w:val="Heading2"/>
      </w:pPr>
      <w:r>
        <w:t xml:space="preserve">29.4 Certificações</w:t>
      </w:r>
    </w:p>
    <w:p>
      <w:pPr>
        <w:pStyle w:val="FirstParagraph"/>
      </w:pPr>
      <w:r>
        <w:t xml:space="preserve">Certificações pessoais ou empresariais somente deverão ser exigidas se:</w:t>
      </w:r>
    </w:p>
    <w:p>
      <w:pPr>
        <w:pStyle w:val="Compact"/>
        <w:numPr>
          <w:ilvl w:val="0"/>
          <w:numId w:val="1115"/>
        </w:numPr>
      </w:pPr>
      <w:r>
        <w:t xml:space="preserve">indispensáveis;</w:t>
      </w:r>
    </w:p>
    <w:p>
      <w:pPr>
        <w:pStyle w:val="Compact"/>
        <w:numPr>
          <w:ilvl w:val="0"/>
          <w:numId w:val="1115"/>
        </w:numPr>
      </w:pPr>
      <w:r>
        <w:t xml:space="preserve">relacionadas diretamente ao risco;</w:t>
      </w:r>
    </w:p>
    <w:p>
      <w:pPr>
        <w:pStyle w:val="Compact"/>
        <w:numPr>
          <w:ilvl w:val="0"/>
          <w:numId w:val="1115"/>
        </w:numPr>
      </w:pPr>
      <w:r>
        <w:t xml:space="preserve">tecnicamente justificadas;</w:t>
      </w:r>
    </w:p>
    <w:p>
      <w:pPr>
        <w:pStyle w:val="Compact"/>
        <w:numPr>
          <w:ilvl w:val="0"/>
          <w:numId w:val="1115"/>
        </w:numPr>
      </w:pPr>
      <w:r>
        <w:t xml:space="preserve">não substituírem experiência;</w:t>
      </w:r>
    </w:p>
    <w:p>
      <w:pPr>
        <w:pStyle w:val="Compact"/>
        <w:numPr>
          <w:ilvl w:val="0"/>
          <w:numId w:val="1115"/>
        </w:numPr>
      </w:pPr>
      <w:r>
        <w:t xml:space="preserve">não criarem restrição desnecessária.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68" w:name="parcelamento-da-contratação"/>
    <w:p>
      <w:pPr>
        <w:pStyle w:val="Heading1"/>
      </w:pPr>
      <w:r>
        <w:t xml:space="preserve">30. Parcelamento da contratação</w:t>
      </w:r>
    </w:p>
    <w:p>
      <w:pPr>
        <w:pStyle w:val="FirstParagraph"/>
      </w:pPr>
      <w:r>
        <w:t xml:space="preserve">O ETP deverá justificar o parcelamento ou não.</w:t>
      </w:r>
    </w:p>
    <w:bookmarkStart w:id="166" w:name="possível-núcleo-integrado"/>
    <w:p>
      <w:pPr>
        <w:pStyle w:val="Heading2"/>
      </w:pPr>
      <w:r>
        <w:t xml:space="preserve">30.1 Possível núcleo integrado</w:t>
      </w:r>
    </w:p>
    <w:p>
      <w:pPr>
        <w:pStyle w:val="FirstParagraph"/>
      </w:pPr>
      <w:r>
        <w:t xml:space="preserve">Recomenda-se manter no mesmo núcleo:</w:t>
      </w:r>
    </w:p>
    <w:p>
      <w:pPr>
        <w:pStyle w:val="Compact"/>
        <w:numPr>
          <w:ilvl w:val="0"/>
          <w:numId w:val="1116"/>
        </w:numPr>
      </w:pPr>
      <w:r>
        <w:t xml:space="preserve">arquitetura;</w:t>
      </w:r>
    </w:p>
    <w:p>
      <w:pPr>
        <w:pStyle w:val="Compact"/>
        <w:numPr>
          <w:ilvl w:val="0"/>
          <w:numId w:val="1116"/>
        </w:numPr>
      </w:pPr>
      <w:r>
        <w:t xml:space="preserve">backend;</w:t>
      </w:r>
    </w:p>
    <w:p>
      <w:pPr>
        <w:pStyle w:val="Compact"/>
        <w:numPr>
          <w:ilvl w:val="0"/>
          <w:numId w:val="1116"/>
        </w:numPr>
      </w:pPr>
      <w:r>
        <w:t xml:space="preserve">frontend;</w:t>
      </w:r>
    </w:p>
    <w:p>
      <w:pPr>
        <w:pStyle w:val="Compact"/>
        <w:numPr>
          <w:ilvl w:val="0"/>
          <w:numId w:val="1116"/>
        </w:numPr>
      </w:pPr>
      <w:r>
        <w:t xml:space="preserve">dados;</w:t>
      </w:r>
    </w:p>
    <w:p>
      <w:pPr>
        <w:pStyle w:val="Compact"/>
        <w:numPr>
          <w:ilvl w:val="0"/>
          <w:numId w:val="1116"/>
        </w:numPr>
      </w:pPr>
      <w:r>
        <w:t xml:space="preserve">ingestão;</w:t>
      </w:r>
    </w:p>
    <w:p>
      <w:pPr>
        <w:pStyle w:val="Compact"/>
        <w:numPr>
          <w:ilvl w:val="0"/>
          <w:numId w:val="1116"/>
        </w:numPr>
      </w:pPr>
      <w:r>
        <w:t xml:space="preserve">qualidade;</w:t>
      </w:r>
    </w:p>
    <w:p>
      <w:pPr>
        <w:pStyle w:val="Compact"/>
        <w:numPr>
          <w:ilvl w:val="0"/>
          <w:numId w:val="1116"/>
        </w:numPr>
      </w:pPr>
      <w:r>
        <w:t xml:space="preserve">portal;</w:t>
      </w:r>
    </w:p>
    <w:p>
      <w:pPr>
        <w:pStyle w:val="Compact"/>
        <w:numPr>
          <w:ilvl w:val="0"/>
          <w:numId w:val="1116"/>
        </w:numPr>
      </w:pPr>
      <w:r>
        <w:t xml:space="preserve">protocolos;</w:t>
      </w:r>
    </w:p>
    <w:p>
      <w:pPr>
        <w:pStyle w:val="Compact"/>
        <w:numPr>
          <w:ilvl w:val="0"/>
          <w:numId w:val="1116"/>
        </w:numPr>
      </w:pPr>
      <w:r>
        <w:t xml:space="preserve">auditoria.</w:t>
      </w:r>
    </w:p>
    <w:p>
      <w:pPr>
        <w:pStyle w:val="FirstParagraph"/>
      </w:pPr>
      <w:r>
        <w:t xml:space="preserve">A separação desses elementos entre fornecedores distintos pode aumentar:</w:t>
      </w:r>
    </w:p>
    <w:p>
      <w:pPr>
        <w:pStyle w:val="Compact"/>
        <w:numPr>
          <w:ilvl w:val="0"/>
          <w:numId w:val="1117"/>
        </w:numPr>
      </w:pPr>
      <w:r>
        <w:t xml:space="preserve">disputa de responsabilidade;</w:t>
      </w:r>
    </w:p>
    <w:p>
      <w:pPr>
        <w:pStyle w:val="Compact"/>
        <w:numPr>
          <w:ilvl w:val="0"/>
          <w:numId w:val="1117"/>
        </w:numPr>
      </w:pPr>
      <w:r>
        <w:t xml:space="preserve">incompatibilidade;</w:t>
      </w:r>
    </w:p>
    <w:p>
      <w:pPr>
        <w:pStyle w:val="Compact"/>
        <w:numPr>
          <w:ilvl w:val="0"/>
          <w:numId w:val="1117"/>
        </w:numPr>
      </w:pPr>
      <w:r>
        <w:t xml:space="preserve">retrabalho;</w:t>
      </w:r>
    </w:p>
    <w:p>
      <w:pPr>
        <w:pStyle w:val="Compact"/>
        <w:numPr>
          <w:ilvl w:val="0"/>
          <w:numId w:val="1117"/>
        </w:numPr>
      </w:pPr>
      <w:r>
        <w:t xml:space="preserve">risco de integração.</w:t>
      </w:r>
    </w:p>
    <w:bookmarkEnd w:id="166"/>
    <w:bookmarkStart w:id="167" w:name="itens-potencialmente-separáveis"/>
    <w:p>
      <w:pPr>
        <w:pStyle w:val="Heading2"/>
      </w:pPr>
      <w:r>
        <w:t xml:space="preserve">30.2 Itens potencialmente separáveis</w:t>
      </w:r>
    </w:p>
    <w:p>
      <w:pPr>
        <w:pStyle w:val="Compact"/>
        <w:numPr>
          <w:ilvl w:val="0"/>
          <w:numId w:val="1118"/>
        </w:numPr>
      </w:pPr>
      <w:r>
        <w:t xml:space="preserve">infraestrutura em nuvem;</w:t>
      </w:r>
    </w:p>
    <w:p>
      <w:pPr>
        <w:pStyle w:val="Compact"/>
        <w:numPr>
          <w:ilvl w:val="0"/>
          <w:numId w:val="1118"/>
        </w:numPr>
      </w:pPr>
      <w:r>
        <w:t xml:space="preserve">teste de segurança independente;</w:t>
      </w:r>
    </w:p>
    <w:p>
      <w:pPr>
        <w:pStyle w:val="Compact"/>
        <w:numPr>
          <w:ilvl w:val="0"/>
          <w:numId w:val="1118"/>
        </w:numPr>
      </w:pPr>
      <w:r>
        <w:t xml:space="preserve">mensageria;</w:t>
      </w:r>
    </w:p>
    <w:p>
      <w:pPr>
        <w:pStyle w:val="Compact"/>
        <w:numPr>
          <w:ilvl w:val="0"/>
          <w:numId w:val="1118"/>
        </w:numPr>
      </w:pPr>
      <w:r>
        <w:t xml:space="preserve">auditoria de acessibilidade;</w:t>
      </w:r>
    </w:p>
    <w:p>
      <w:pPr>
        <w:pStyle w:val="Compact"/>
        <w:numPr>
          <w:ilvl w:val="0"/>
          <w:numId w:val="1118"/>
        </w:numPr>
      </w:pPr>
      <w:r>
        <w:t xml:space="preserve">suporte de longo prazo;</w:t>
      </w:r>
    </w:p>
    <w:p>
      <w:pPr>
        <w:pStyle w:val="Compact"/>
        <w:numPr>
          <w:ilvl w:val="0"/>
          <w:numId w:val="1118"/>
        </w:numPr>
      </w:pPr>
      <w:r>
        <w:t xml:space="preserve">sensores físicos;</w:t>
      </w:r>
    </w:p>
    <w:p>
      <w:pPr>
        <w:pStyle w:val="Compact"/>
        <w:numPr>
          <w:ilvl w:val="0"/>
          <w:numId w:val="1118"/>
        </w:numPr>
      </w:pPr>
      <w:r>
        <w:t xml:space="preserve">conectividade;</w:t>
      </w:r>
    </w:p>
    <w:p>
      <w:pPr>
        <w:pStyle w:val="Compact"/>
        <w:numPr>
          <w:ilvl w:val="0"/>
          <w:numId w:val="1118"/>
        </w:numPr>
      </w:pPr>
      <w:r>
        <w:t xml:space="preserve">aplicativo futuro.</w:t>
      </w:r>
    </w:p>
    <w:p>
      <w:pPr>
        <w:pStyle w:val="FirstParagraph"/>
      </w:pPr>
      <w:r>
        <w:t xml:space="preserve">Um teste independente de segurança pode ser contratado separadamente para evitar conflito de interesse.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72" w:name="medição-e-pagamento"/>
    <w:p>
      <w:pPr>
        <w:pStyle w:val="Heading1"/>
      </w:pPr>
      <w:r>
        <w:t xml:space="preserve">31. Medição e pagamento</w:t>
      </w:r>
    </w:p>
    <w:bookmarkStart w:id="169" w:name="regra"/>
    <w:p>
      <w:pPr>
        <w:pStyle w:val="Heading2"/>
      </w:pPr>
      <w:r>
        <w:t xml:space="preserve">31.1 Regra</w:t>
      </w:r>
    </w:p>
    <w:p>
      <w:pPr>
        <w:pStyle w:val="FirstParagraph"/>
      </w:pPr>
      <w:r>
        <w:t xml:space="preserve">O pagamento deverá ocorrer após:</w:t>
      </w:r>
    </w:p>
    <w:p>
      <w:pPr>
        <w:pStyle w:val="Compact"/>
        <w:numPr>
          <w:ilvl w:val="0"/>
          <w:numId w:val="1119"/>
        </w:numPr>
      </w:pPr>
      <w:r>
        <w:t xml:space="preserve">entrega;</w:t>
      </w:r>
    </w:p>
    <w:p>
      <w:pPr>
        <w:pStyle w:val="Compact"/>
        <w:numPr>
          <w:ilvl w:val="0"/>
          <w:numId w:val="1119"/>
        </w:numPr>
      </w:pPr>
      <w:r>
        <w:t xml:space="preserve">testes;</w:t>
      </w:r>
    </w:p>
    <w:p>
      <w:pPr>
        <w:pStyle w:val="Compact"/>
        <w:numPr>
          <w:ilvl w:val="0"/>
          <w:numId w:val="1119"/>
        </w:numPr>
      </w:pPr>
      <w:r>
        <w:t xml:space="preserve">aceite;</w:t>
      </w:r>
    </w:p>
    <w:p>
      <w:pPr>
        <w:pStyle w:val="Compact"/>
        <w:numPr>
          <w:ilvl w:val="0"/>
          <w:numId w:val="1119"/>
        </w:numPr>
      </w:pPr>
      <w:r>
        <w:t xml:space="preserve">documentação;</w:t>
      </w:r>
    </w:p>
    <w:p>
      <w:pPr>
        <w:pStyle w:val="Compact"/>
        <w:numPr>
          <w:ilvl w:val="0"/>
          <w:numId w:val="1119"/>
        </w:numPr>
      </w:pPr>
      <w:r>
        <w:t xml:space="preserve">correção de pendências impeditivas;</w:t>
      </w:r>
    </w:p>
    <w:p>
      <w:pPr>
        <w:pStyle w:val="Compact"/>
        <w:numPr>
          <w:ilvl w:val="0"/>
          <w:numId w:val="1119"/>
        </w:numPr>
      </w:pPr>
      <w:r>
        <w:t xml:space="preserve">emissão da medição;</w:t>
      </w:r>
    </w:p>
    <w:p>
      <w:pPr>
        <w:pStyle w:val="Compact"/>
        <w:numPr>
          <w:ilvl w:val="0"/>
          <w:numId w:val="1119"/>
        </w:numPr>
      </w:pPr>
      <w:r>
        <w:t xml:space="preserve">cumprimento das condições fiscais.</w:t>
      </w:r>
    </w:p>
    <w:bookmarkEnd w:id="169"/>
    <w:bookmarkStart w:id="170" w:name="matriz-sugerida-de-medição"/>
    <w:p>
      <w:pPr>
        <w:pStyle w:val="Heading2"/>
      </w:pPr>
      <w:r>
        <w:t xml:space="preserve">31.2 Matriz sugerida de medição</w:t>
      </w:r>
    </w:p>
    <w:p>
      <w:pPr>
        <w:pStyle w:val="FirstParagraph"/>
      </w:pPr>
      <w:r>
        <w:t xml:space="preserve">Os pesos abaixo são apenas referenciais e deverão ser calibrados após o ETP e a pesquisa de preços.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Peso de referência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Descoberta e arquitetura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Fundação e segurança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Ingestão, séries e qualidade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Alertas, ocorrências e protocolos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Portais e relatórios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Testes, documentação e capacitação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Operação assistida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15%</w:t>
            </w:r>
          </w:p>
        </w:tc>
      </w:tr>
    </w:tbl>
    <w:bookmarkEnd w:id="170"/>
    <w:bookmarkStart w:id="171" w:name="restrições-1"/>
    <w:p>
      <w:pPr>
        <w:pStyle w:val="Heading2"/>
      </w:pPr>
      <w:r>
        <w:t xml:space="preserve">31.3 Restrições</w:t>
      </w:r>
    </w:p>
    <w:p>
      <w:pPr>
        <w:pStyle w:val="FirstParagraph"/>
      </w:pPr>
      <w:r>
        <w:t xml:space="preserve">Não deverá haver pagamento integral por:</w:t>
      </w:r>
    </w:p>
    <w:p>
      <w:pPr>
        <w:pStyle w:val="Compact"/>
        <w:numPr>
          <w:ilvl w:val="0"/>
          <w:numId w:val="1120"/>
        </w:numPr>
      </w:pPr>
      <w:r>
        <w:t xml:space="preserve">código sem implantação;</w:t>
      </w:r>
    </w:p>
    <w:p>
      <w:pPr>
        <w:pStyle w:val="Compact"/>
        <w:numPr>
          <w:ilvl w:val="0"/>
          <w:numId w:val="1120"/>
        </w:numPr>
      </w:pPr>
      <w:r>
        <w:t xml:space="preserve">tela sem integração;</w:t>
      </w:r>
    </w:p>
    <w:p>
      <w:pPr>
        <w:pStyle w:val="Compact"/>
        <w:numPr>
          <w:ilvl w:val="0"/>
          <w:numId w:val="1120"/>
        </w:numPr>
      </w:pPr>
      <w:r>
        <w:t xml:space="preserve">documento genérico;</w:t>
      </w:r>
    </w:p>
    <w:p>
      <w:pPr>
        <w:pStyle w:val="Compact"/>
        <w:numPr>
          <w:ilvl w:val="0"/>
          <w:numId w:val="1120"/>
        </w:numPr>
      </w:pPr>
      <w:r>
        <w:t xml:space="preserve">sprint encerrada;</w:t>
      </w:r>
    </w:p>
    <w:p>
      <w:pPr>
        <w:pStyle w:val="Compact"/>
        <w:numPr>
          <w:ilvl w:val="0"/>
          <w:numId w:val="1120"/>
        </w:numPr>
      </w:pPr>
      <w:r>
        <w:t xml:space="preserve">profissional alocado;</w:t>
      </w:r>
    </w:p>
    <w:p>
      <w:pPr>
        <w:pStyle w:val="Compact"/>
        <w:numPr>
          <w:ilvl w:val="0"/>
          <w:numId w:val="1120"/>
        </w:numPr>
      </w:pPr>
      <w:r>
        <w:t xml:space="preserve">reunião;</w:t>
      </w:r>
    </w:p>
    <w:p>
      <w:pPr>
        <w:pStyle w:val="Compact"/>
        <w:numPr>
          <w:ilvl w:val="0"/>
          <w:numId w:val="1120"/>
        </w:numPr>
      </w:pPr>
      <w:r>
        <w:t xml:space="preserve">funcionalidade sem teste;</w:t>
      </w:r>
    </w:p>
    <w:p>
      <w:pPr>
        <w:pStyle w:val="Compact"/>
        <w:numPr>
          <w:ilvl w:val="0"/>
          <w:numId w:val="1120"/>
        </w:numPr>
      </w:pPr>
      <w:r>
        <w:t xml:space="preserve">infraestrutura não utilizada;</w:t>
      </w:r>
    </w:p>
    <w:p>
      <w:pPr>
        <w:pStyle w:val="Compact"/>
        <w:numPr>
          <w:ilvl w:val="0"/>
          <w:numId w:val="1120"/>
        </w:numPr>
      </w:pPr>
      <w:r>
        <w:t xml:space="preserve">licença não ativada.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estimativa-de-preços"/>
    <w:p>
      <w:pPr>
        <w:pStyle w:val="Heading1"/>
      </w:pPr>
      <w:r>
        <w:t xml:space="preserve">32. Estimativa de preços</w:t>
      </w:r>
    </w:p>
    <w:p>
      <w:pPr>
        <w:pStyle w:val="FirstParagraph"/>
      </w:pPr>
      <w:r>
        <w:t xml:space="preserve">A estimativa deverá ser realizada após:</w:t>
      </w:r>
    </w:p>
    <w:p>
      <w:pPr>
        <w:pStyle w:val="Compact"/>
        <w:numPr>
          <w:ilvl w:val="0"/>
          <w:numId w:val="1121"/>
        </w:numPr>
      </w:pPr>
      <w:r>
        <w:t xml:space="preserve">arquitetura preliminar;</w:t>
      </w:r>
    </w:p>
    <w:p>
      <w:pPr>
        <w:pStyle w:val="Compact"/>
        <w:numPr>
          <w:ilvl w:val="0"/>
          <w:numId w:val="1121"/>
        </w:numPr>
      </w:pPr>
      <w:r>
        <w:t xml:space="preserve">dimensionamento;</w:t>
      </w:r>
    </w:p>
    <w:p>
      <w:pPr>
        <w:pStyle w:val="Compact"/>
        <w:numPr>
          <w:ilvl w:val="0"/>
          <w:numId w:val="1121"/>
        </w:numPr>
      </w:pPr>
      <w:r>
        <w:t xml:space="preserve">levantamento de mercado;</w:t>
      </w:r>
    </w:p>
    <w:p>
      <w:pPr>
        <w:pStyle w:val="Compact"/>
        <w:numPr>
          <w:ilvl w:val="0"/>
          <w:numId w:val="1121"/>
        </w:numPr>
      </w:pPr>
      <w:r>
        <w:t xml:space="preserve">consulta a contratações similares;</w:t>
      </w:r>
    </w:p>
    <w:p>
      <w:pPr>
        <w:pStyle w:val="Compact"/>
        <w:numPr>
          <w:ilvl w:val="0"/>
          <w:numId w:val="1121"/>
        </w:numPr>
      </w:pPr>
      <w:r>
        <w:t xml:space="preserve">cotações;</w:t>
      </w:r>
    </w:p>
    <w:p>
      <w:pPr>
        <w:pStyle w:val="Compact"/>
        <w:numPr>
          <w:ilvl w:val="0"/>
          <w:numId w:val="1121"/>
        </w:numPr>
      </w:pPr>
      <w:r>
        <w:t xml:space="preserve">análise de custos recorrentes;</w:t>
      </w:r>
    </w:p>
    <w:p>
      <w:pPr>
        <w:pStyle w:val="Compact"/>
        <w:numPr>
          <w:ilvl w:val="0"/>
          <w:numId w:val="1121"/>
        </w:numPr>
      </w:pPr>
      <w:r>
        <w:t xml:space="preserve">separação de implantação e sustentação.</w:t>
      </w:r>
    </w:p>
    <w:p>
      <w:pPr>
        <w:pStyle w:val="FirstParagraph"/>
      </w:pPr>
      <w:r>
        <w:t xml:space="preserve">Deverão ser discriminados:</w:t>
      </w:r>
    </w:p>
    <w:p>
      <w:pPr>
        <w:pStyle w:val="Compact"/>
        <w:numPr>
          <w:ilvl w:val="0"/>
          <w:numId w:val="1122"/>
        </w:numPr>
      </w:pPr>
      <w:r>
        <w:t xml:space="preserve">desenvolvimento;</w:t>
      </w:r>
    </w:p>
    <w:p>
      <w:pPr>
        <w:pStyle w:val="Compact"/>
        <w:numPr>
          <w:ilvl w:val="0"/>
          <w:numId w:val="1122"/>
        </w:numPr>
      </w:pPr>
      <w:r>
        <w:t xml:space="preserve">implantação;</w:t>
      </w:r>
    </w:p>
    <w:p>
      <w:pPr>
        <w:pStyle w:val="Compact"/>
        <w:numPr>
          <w:ilvl w:val="0"/>
          <w:numId w:val="1122"/>
        </w:numPr>
      </w:pPr>
      <w:r>
        <w:t xml:space="preserve">integrações;</w:t>
      </w:r>
    </w:p>
    <w:p>
      <w:pPr>
        <w:pStyle w:val="Compact"/>
        <w:numPr>
          <w:ilvl w:val="0"/>
          <w:numId w:val="1122"/>
        </w:numPr>
      </w:pPr>
      <w:r>
        <w:t xml:space="preserve">infraestrutura;</w:t>
      </w:r>
    </w:p>
    <w:p>
      <w:pPr>
        <w:pStyle w:val="Compact"/>
        <w:numPr>
          <w:ilvl w:val="0"/>
          <w:numId w:val="1122"/>
        </w:numPr>
      </w:pPr>
      <w:r>
        <w:t xml:space="preserve">licenças;</w:t>
      </w:r>
    </w:p>
    <w:p>
      <w:pPr>
        <w:pStyle w:val="Compact"/>
        <w:numPr>
          <w:ilvl w:val="0"/>
          <w:numId w:val="1122"/>
        </w:numPr>
      </w:pPr>
      <w:r>
        <w:t xml:space="preserve">capacitação;</w:t>
      </w:r>
    </w:p>
    <w:p>
      <w:pPr>
        <w:pStyle w:val="Compact"/>
        <w:numPr>
          <w:ilvl w:val="0"/>
          <w:numId w:val="1122"/>
        </w:numPr>
      </w:pPr>
      <w:r>
        <w:t xml:space="preserve">operação assistida;</w:t>
      </w:r>
    </w:p>
    <w:p>
      <w:pPr>
        <w:pStyle w:val="Compact"/>
        <w:numPr>
          <w:ilvl w:val="0"/>
          <w:numId w:val="1122"/>
        </w:numPr>
      </w:pPr>
      <w:r>
        <w:t xml:space="preserve">suporte;</w:t>
      </w:r>
    </w:p>
    <w:p>
      <w:pPr>
        <w:pStyle w:val="Compact"/>
        <w:numPr>
          <w:ilvl w:val="0"/>
          <w:numId w:val="1122"/>
        </w:numPr>
      </w:pPr>
      <w:r>
        <w:t xml:space="preserve">segurança;</w:t>
      </w:r>
    </w:p>
    <w:p>
      <w:pPr>
        <w:pStyle w:val="Compact"/>
        <w:numPr>
          <w:ilvl w:val="0"/>
          <w:numId w:val="1122"/>
        </w:numPr>
      </w:pPr>
      <w:r>
        <w:t xml:space="preserve">manutenção.</w:t>
      </w:r>
    </w:p>
    <w:p>
      <w:pPr>
        <w:pStyle w:val="FirstParagraph"/>
      </w:pPr>
      <w:r>
        <w:t xml:space="preserve">Não deverá ser utilizado orçamento global sem memória de cálculo.</w:t>
      </w:r>
    </w:p>
    <w:p>
      <w:r>
        <w:pict>
          <v:rect style="width:0;height:1.5pt" o:hralign="center" o:hrstd="t" o:hr="t"/>
        </w:pict>
      </w:r>
    </w:p>
    <w:bookmarkEnd w:id="173"/>
    <w:bookmarkStart w:id="174" w:name="vigência"/>
    <w:p>
      <w:pPr>
        <w:pStyle w:val="Heading1"/>
      </w:pPr>
      <w:r>
        <w:t xml:space="preserve">33. Vigência</w:t>
      </w:r>
    </w:p>
    <w:p>
      <w:pPr>
        <w:pStyle w:val="FirstParagraph"/>
      </w:pPr>
      <w:r>
        <w:t xml:space="preserve">A vigência deverá considerar:</w:t>
      </w:r>
    </w:p>
    <w:p>
      <w:pPr>
        <w:pStyle w:val="Compact"/>
        <w:numPr>
          <w:ilvl w:val="0"/>
          <w:numId w:val="1123"/>
        </w:numPr>
      </w:pPr>
      <w:r>
        <w:t xml:space="preserve">implantação;</w:t>
      </w:r>
    </w:p>
    <w:p>
      <w:pPr>
        <w:pStyle w:val="Compact"/>
        <w:numPr>
          <w:ilvl w:val="0"/>
          <w:numId w:val="1123"/>
        </w:numPr>
      </w:pPr>
      <w:r>
        <w:t xml:space="preserve">homologação;</w:t>
      </w:r>
    </w:p>
    <w:p>
      <w:pPr>
        <w:pStyle w:val="Compact"/>
        <w:numPr>
          <w:ilvl w:val="0"/>
          <w:numId w:val="1123"/>
        </w:numPr>
      </w:pPr>
      <w:r>
        <w:t xml:space="preserve">operação assistida;</w:t>
      </w:r>
    </w:p>
    <w:p>
      <w:pPr>
        <w:pStyle w:val="Compact"/>
        <w:numPr>
          <w:ilvl w:val="0"/>
          <w:numId w:val="1123"/>
        </w:numPr>
      </w:pPr>
      <w:r>
        <w:t xml:space="preserve">garantia;</w:t>
      </w:r>
    </w:p>
    <w:p>
      <w:pPr>
        <w:pStyle w:val="Compact"/>
        <w:numPr>
          <w:ilvl w:val="0"/>
          <w:numId w:val="1123"/>
        </w:numPr>
      </w:pPr>
      <w:r>
        <w:t xml:space="preserve">transição.</w:t>
      </w:r>
    </w:p>
    <w:p>
      <w:pPr>
        <w:pStyle w:val="FirstParagraph"/>
      </w:pPr>
      <w:r>
        <w:t xml:space="preserve">Sugestão a ser validada:</w:t>
      </w:r>
    </w:p>
    <w:p>
      <w:pPr>
        <w:pStyle w:val="Compact"/>
        <w:numPr>
          <w:ilvl w:val="0"/>
          <w:numId w:val="1124"/>
        </w:numPr>
      </w:pPr>
      <w:r>
        <w:t xml:space="preserve">implantação: 9 a 12 meses;</w:t>
      </w:r>
    </w:p>
    <w:p>
      <w:pPr>
        <w:pStyle w:val="Compact"/>
        <w:numPr>
          <w:ilvl w:val="0"/>
          <w:numId w:val="1124"/>
        </w:numPr>
      </w:pPr>
      <w:r>
        <w:t xml:space="preserve">operação assistida: 3 a 6 meses;</w:t>
      </w:r>
    </w:p>
    <w:p>
      <w:pPr>
        <w:pStyle w:val="Compact"/>
        <w:numPr>
          <w:ilvl w:val="0"/>
          <w:numId w:val="1124"/>
        </w:numPr>
      </w:pPr>
      <w:r>
        <w:t xml:space="preserve">garantia: 12 meses a partir do aceite definitivo;</w:t>
      </w:r>
    </w:p>
    <w:p>
      <w:pPr>
        <w:pStyle w:val="Compact"/>
        <w:numPr>
          <w:ilvl w:val="0"/>
          <w:numId w:val="1124"/>
        </w:numPr>
      </w:pPr>
      <w:r>
        <w:t xml:space="preserve">sustentação: contratação específica ou item contínuo.</w:t>
      </w:r>
    </w:p>
    <w:p>
      <w:pPr>
        <w:pStyle w:val="FirstParagraph"/>
      </w:pPr>
      <w:r>
        <w:t xml:space="preserve">A Lei nº 14.133/2021 permite diferentes durações conforme a natureza do objeto, mas a vantajosidade e a caracterização de serviço contínuo deverão ser demonstradas no processo.</w:t>
      </w:r>
    </w:p>
    <w:p>
      <w:r>
        <w:pict>
          <v:rect style="width:0;height:1.5pt" o:hralign="center" o:hrstd="t" o:hr="t"/>
        </w:pict>
      </w:r>
    </w:p>
    <w:bookmarkEnd w:id="174"/>
    <w:bookmarkStart w:id="175" w:name="garantia"/>
    <w:p>
      <w:pPr>
        <w:pStyle w:val="Heading1"/>
      </w:pPr>
      <w:r>
        <w:t xml:space="preserve">34. Garantia</w:t>
      </w:r>
    </w:p>
    <w:p>
      <w:pPr>
        <w:pStyle w:val="FirstParagraph"/>
      </w:pPr>
      <w:r>
        <w:t xml:space="preserve">Durante a garantia, a contratada deverá corrigir, sem custo adicional:</w:t>
      </w:r>
    </w:p>
    <w:p>
      <w:pPr>
        <w:pStyle w:val="Compact"/>
        <w:numPr>
          <w:ilvl w:val="0"/>
          <w:numId w:val="1125"/>
        </w:numPr>
      </w:pPr>
      <w:r>
        <w:t xml:space="preserve">defeitos;</w:t>
      </w:r>
    </w:p>
    <w:p>
      <w:pPr>
        <w:pStyle w:val="Compact"/>
        <w:numPr>
          <w:ilvl w:val="0"/>
          <w:numId w:val="1125"/>
        </w:numPr>
      </w:pPr>
      <w:r>
        <w:t xml:space="preserve">falhas de segurança decorrentes da implementação;</w:t>
      </w:r>
    </w:p>
    <w:p>
      <w:pPr>
        <w:pStyle w:val="Compact"/>
        <w:numPr>
          <w:ilvl w:val="0"/>
          <w:numId w:val="1125"/>
        </w:numPr>
      </w:pPr>
      <w:r>
        <w:t xml:space="preserve">inconsistências;</w:t>
      </w:r>
    </w:p>
    <w:p>
      <w:pPr>
        <w:pStyle w:val="Compact"/>
        <w:numPr>
          <w:ilvl w:val="0"/>
          <w:numId w:val="1125"/>
        </w:numPr>
      </w:pPr>
      <w:r>
        <w:t xml:space="preserve">erros de documentação;</w:t>
      </w:r>
    </w:p>
    <w:p>
      <w:pPr>
        <w:pStyle w:val="Compact"/>
        <w:numPr>
          <w:ilvl w:val="0"/>
          <w:numId w:val="1125"/>
        </w:numPr>
      </w:pPr>
      <w:r>
        <w:t xml:space="preserve">falhas de integração conforme especificação;</w:t>
      </w:r>
    </w:p>
    <w:p>
      <w:pPr>
        <w:pStyle w:val="Compact"/>
        <w:numPr>
          <w:ilvl w:val="0"/>
          <w:numId w:val="1125"/>
        </w:numPr>
      </w:pPr>
      <w:r>
        <w:t xml:space="preserve">regressões.</w:t>
      </w:r>
    </w:p>
    <w:p>
      <w:pPr>
        <w:pStyle w:val="FirstParagraph"/>
      </w:pPr>
      <w:r>
        <w:t xml:space="preserve">A garantia não abrange automaticamente:</w:t>
      </w:r>
    </w:p>
    <w:p>
      <w:pPr>
        <w:pStyle w:val="Compact"/>
        <w:numPr>
          <w:ilvl w:val="0"/>
          <w:numId w:val="1126"/>
        </w:numPr>
      </w:pPr>
      <w:r>
        <w:t xml:space="preserve">nova funcionalidade;</w:t>
      </w:r>
    </w:p>
    <w:p>
      <w:pPr>
        <w:pStyle w:val="Compact"/>
        <w:numPr>
          <w:ilvl w:val="0"/>
          <w:numId w:val="1126"/>
        </w:numPr>
      </w:pPr>
      <w:r>
        <w:t xml:space="preserve">mudança de legislação;</w:t>
      </w:r>
    </w:p>
    <w:p>
      <w:pPr>
        <w:pStyle w:val="Compact"/>
        <w:numPr>
          <w:ilvl w:val="0"/>
          <w:numId w:val="1126"/>
        </w:numPr>
      </w:pPr>
      <w:r>
        <w:t xml:space="preserve">fonte externa redesenhada;</w:t>
      </w:r>
    </w:p>
    <w:p>
      <w:pPr>
        <w:pStyle w:val="Compact"/>
        <w:numPr>
          <w:ilvl w:val="0"/>
          <w:numId w:val="1126"/>
        </w:numPr>
      </w:pPr>
      <w:r>
        <w:t xml:space="preserve">aumento de escopo;</w:t>
      </w:r>
    </w:p>
    <w:p>
      <w:pPr>
        <w:pStyle w:val="Compact"/>
        <w:numPr>
          <w:ilvl w:val="0"/>
          <w:numId w:val="1126"/>
        </w:numPr>
      </w:pPr>
      <w:r>
        <w:t xml:space="preserve">infraestrutura alterada sem participação da contratada.</w:t>
      </w:r>
    </w:p>
    <w:p>
      <w:r>
        <w:pict>
          <v:rect style="width:0;height:1.5pt" o:hralign="center" o:hrstd="t" o:hr="t"/>
        </w:pict>
      </w:r>
    </w:p>
    <w:bookmarkEnd w:id="175"/>
    <w:bookmarkStart w:id="176" w:name="gestão-de-riscos"/>
    <w:p>
      <w:pPr>
        <w:pStyle w:val="Heading1"/>
      </w:pPr>
      <w:r>
        <w:t xml:space="preserve">35. Gestão de riscos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Risco</w:t>
            </w:r>
          </w:p>
        </w:tc>
        <w:tc>
          <w:tcPr/>
          <w:p>
            <w:pPr>
              <w:pStyle w:val="Compact"/>
            </w:pPr>
            <w:r>
              <w:t xml:space="preserve">Prevenção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Dependência do fornecedor</w:t>
            </w:r>
          </w:p>
        </w:tc>
        <w:tc>
          <w:tcPr/>
          <w:p>
            <w:pPr>
              <w:pStyle w:val="Compact"/>
            </w:pPr>
            <w:r>
              <w:t xml:space="preserve">código, documentação, repositório e transição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Fonte externa indisponível</w:t>
            </w:r>
          </w:p>
        </w:tc>
        <w:tc>
          <w:tcPr/>
          <w:p>
            <w:pPr>
              <w:pStyle w:val="Compact"/>
            </w:pPr>
            <w:r>
              <w:t xml:space="preserve">desacoplamento e monitoramento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 excessivo</w:t>
            </w:r>
          </w:p>
        </w:tc>
        <w:tc>
          <w:tcPr/>
          <w:p>
            <w:pPr>
              <w:pStyle w:val="Compact"/>
            </w:pPr>
            <w:r>
              <w:t xml:space="preserve">validação pelo ETP e consulta ao mercado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sem qualidade</w:t>
            </w:r>
          </w:p>
        </w:tc>
        <w:tc>
          <w:tcPr/>
          <w:p>
            <w:pPr>
              <w:pStyle w:val="Compact"/>
            </w:pPr>
            <w:r>
              <w:t xml:space="preserve">flags, revisão e proveniência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Vazamento</w:t>
            </w:r>
          </w:p>
        </w:tc>
        <w:tc>
          <w:tcPr/>
          <w:p>
            <w:pPr>
              <w:pStyle w:val="Compact"/>
            </w:pPr>
            <w:r>
              <w:t xml:space="preserve">segregação, criptografia e auditoria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Escopo descontrolado</w:t>
            </w:r>
          </w:p>
        </w:tc>
        <w:tc>
          <w:tcPr/>
          <w:p>
            <w:pPr>
              <w:pStyle w:val="Compact"/>
            </w:pPr>
            <w:r>
              <w:t xml:space="preserve">backlog e mudança formal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Pagamento sem resultado</w:t>
            </w:r>
          </w:p>
        </w:tc>
        <w:tc>
          <w:tcPr/>
          <w:p>
            <w:pPr>
              <w:pStyle w:val="Compact"/>
            </w:pPr>
            <w:r>
              <w:t xml:space="preserve">aceite por evidência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opaco</w:t>
            </w:r>
          </w:p>
        </w:tc>
        <w:tc>
          <w:tcPr/>
          <w:p>
            <w:pPr>
              <w:pStyle w:val="Compact"/>
            </w:pPr>
            <w:r>
              <w:t xml:space="preserve">módulo opcional e governança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Infraestrutura cara</w:t>
            </w:r>
          </w:p>
        </w:tc>
        <w:tc>
          <w:tcPr/>
          <w:p>
            <w:pPr>
              <w:pStyle w:val="Compact"/>
            </w:pPr>
            <w:r>
              <w:t xml:space="preserve">custo total e monitoramento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Falta de servidores</w:t>
            </w:r>
          </w:p>
        </w:tc>
        <w:tc>
          <w:tcPr/>
          <w:p>
            <w:pPr>
              <w:pStyle w:val="Compact"/>
            </w:pPr>
            <w:r>
              <w:t xml:space="preserve">capacitação e operação assistida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Portal inacessível</w:t>
            </w:r>
          </w:p>
        </w:tc>
        <w:tc>
          <w:tcPr/>
          <w:p>
            <w:pPr>
              <w:pStyle w:val="Compact"/>
            </w:pPr>
            <w:r>
              <w:t xml:space="preserve">testes manuais e automáticos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Dados públicos privatizados</w:t>
            </w:r>
          </w:p>
        </w:tc>
        <w:tc>
          <w:tcPr/>
          <w:p>
            <w:pPr>
              <w:pStyle w:val="Compact"/>
            </w:pPr>
            <w:r>
              <w:t xml:space="preserve">cláusula de abertura e portabilidade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Abandono após implantação</w:t>
            </w:r>
          </w:p>
        </w:tc>
        <w:tc>
          <w:tcPr/>
          <w:p>
            <w:pPr>
              <w:pStyle w:val="Compact"/>
            </w:pPr>
            <w:r>
              <w:t xml:space="preserve">sustentação e transição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inexistente apresentado como operacional</w:t>
            </w:r>
          </w:p>
        </w:tc>
        <w:tc>
          <w:tcPr/>
          <w:p>
            <w:pPr>
              <w:pStyle w:val="Compact"/>
            </w:pPr>
            <w:r>
              <w:t xml:space="preserve">auditoria por variável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Notícia tratada como dado</w:t>
            </w:r>
          </w:p>
        </w:tc>
        <w:tc>
          <w:tcPr/>
          <w:p>
            <w:pPr>
              <w:pStyle w:val="Compact"/>
            </w:pPr>
            <w:r>
              <w:t xml:space="preserve">classes de evidência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6"/>
    <w:bookmarkStart w:id="177" w:name="sanções-e-descumprimentos"/>
    <w:p>
      <w:pPr>
        <w:pStyle w:val="Heading1"/>
      </w:pPr>
      <w:r>
        <w:t xml:space="preserve">36. Sanções e descumprimentos</w:t>
      </w:r>
    </w:p>
    <w:p>
      <w:pPr>
        <w:pStyle w:val="FirstParagraph"/>
      </w:pPr>
      <w:r>
        <w:t xml:space="preserve">As sanções deverão observar a Lei nº 14.133/2021, o edital, o contrato, proporcionalidade, contraditório e ampla defesa.</w:t>
      </w:r>
    </w:p>
    <w:p>
      <w:pPr>
        <w:pStyle w:val="BodyText"/>
      </w:pPr>
      <w:r>
        <w:t xml:space="preserve">Poderão caracterizar descumprimentos graves:</w:t>
      </w:r>
    </w:p>
    <w:p>
      <w:pPr>
        <w:pStyle w:val="Compact"/>
        <w:numPr>
          <w:ilvl w:val="0"/>
          <w:numId w:val="1127"/>
        </w:numPr>
      </w:pPr>
      <w:r>
        <w:t xml:space="preserve">vazamento decorrente de negligência;</w:t>
      </w:r>
    </w:p>
    <w:p>
      <w:pPr>
        <w:pStyle w:val="Compact"/>
        <w:numPr>
          <w:ilvl w:val="0"/>
          <w:numId w:val="1127"/>
        </w:numPr>
      </w:pPr>
      <w:r>
        <w:t xml:space="preserve">ocultação de incidente;</w:t>
      </w:r>
    </w:p>
    <w:p>
      <w:pPr>
        <w:pStyle w:val="Compact"/>
        <w:numPr>
          <w:ilvl w:val="0"/>
          <w:numId w:val="1127"/>
        </w:numPr>
      </w:pPr>
      <w:r>
        <w:t xml:space="preserve">perda de dados;</w:t>
      </w:r>
    </w:p>
    <w:p>
      <w:pPr>
        <w:pStyle w:val="Compact"/>
        <w:numPr>
          <w:ilvl w:val="0"/>
          <w:numId w:val="1127"/>
        </w:numPr>
      </w:pPr>
      <w:r>
        <w:t xml:space="preserve">uso indevido de informações;</w:t>
      </w:r>
    </w:p>
    <w:p>
      <w:pPr>
        <w:pStyle w:val="Compact"/>
        <w:numPr>
          <w:ilvl w:val="0"/>
          <w:numId w:val="1127"/>
        </w:numPr>
      </w:pPr>
      <w:r>
        <w:t xml:space="preserve">descumprimento deliberado de acesso;</w:t>
      </w:r>
    </w:p>
    <w:p>
      <w:pPr>
        <w:pStyle w:val="Compact"/>
        <w:numPr>
          <w:ilvl w:val="0"/>
          <w:numId w:val="1127"/>
        </w:numPr>
      </w:pPr>
      <w:r>
        <w:t xml:space="preserve">abandono;</w:t>
      </w:r>
    </w:p>
    <w:p>
      <w:pPr>
        <w:pStyle w:val="Compact"/>
        <w:numPr>
          <w:ilvl w:val="0"/>
          <w:numId w:val="1127"/>
        </w:numPr>
      </w:pPr>
      <w:r>
        <w:t xml:space="preserve">falsificação de evidência;</w:t>
      </w:r>
    </w:p>
    <w:p>
      <w:pPr>
        <w:pStyle w:val="Compact"/>
        <w:numPr>
          <w:ilvl w:val="0"/>
          <w:numId w:val="1127"/>
        </w:numPr>
      </w:pPr>
      <w:r>
        <w:t xml:space="preserve">retenção indevida do código;</w:t>
      </w:r>
    </w:p>
    <w:p>
      <w:pPr>
        <w:pStyle w:val="Compact"/>
        <w:numPr>
          <w:ilvl w:val="0"/>
          <w:numId w:val="1127"/>
        </w:numPr>
      </w:pPr>
      <w:r>
        <w:t xml:space="preserve">impedimento de portabilidade;</w:t>
      </w:r>
    </w:p>
    <w:p>
      <w:pPr>
        <w:pStyle w:val="Compact"/>
        <w:numPr>
          <w:ilvl w:val="0"/>
          <w:numId w:val="1127"/>
        </w:numPr>
      </w:pPr>
      <w:r>
        <w:t xml:space="preserve">publicação não autorizada;</w:t>
      </w:r>
    </w:p>
    <w:p>
      <w:pPr>
        <w:pStyle w:val="Compact"/>
        <w:numPr>
          <w:ilvl w:val="0"/>
          <w:numId w:val="1127"/>
        </w:numPr>
      </w:pPr>
      <w:r>
        <w:t xml:space="preserve">repetição de indisponibilidade sem correção.</w:t>
      </w:r>
    </w:p>
    <w:p>
      <w:pPr>
        <w:pStyle w:val="FirstParagraph"/>
      </w:pPr>
      <w:r>
        <w:t xml:space="preserve">As sanções não devem ser confundidas com glosas decorrentes do IMR.</w:t>
      </w:r>
    </w:p>
    <w:p>
      <w:r>
        <w:pict>
          <v:rect style="width:0;height:1.5pt" o:hralign="center" o:hrstd="t" o:hr="t"/>
        </w:pict>
      </w:r>
    </w:p>
    <w:bookmarkEnd w:id="177"/>
    <w:bookmarkStart w:id="178" w:name="encerramento-e-transição"/>
    <w:p>
      <w:pPr>
        <w:pStyle w:val="Heading1"/>
      </w:pPr>
      <w:r>
        <w:t xml:space="preserve">37. Encerramento e transição</w:t>
      </w:r>
    </w:p>
    <w:p>
      <w:pPr>
        <w:pStyle w:val="FirstParagraph"/>
      </w:pPr>
      <w:r>
        <w:t xml:space="preserve">Antes do encerramento, a contratada deverá entregar:</w:t>
      </w:r>
    </w:p>
    <w:p>
      <w:pPr>
        <w:pStyle w:val="Compact"/>
        <w:numPr>
          <w:ilvl w:val="0"/>
          <w:numId w:val="1128"/>
        </w:numPr>
      </w:pPr>
      <w:r>
        <w:t xml:space="preserve">código atualizado;</w:t>
      </w:r>
    </w:p>
    <w:p>
      <w:pPr>
        <w:pStyle w:val="Compact"/>
        <w:numPr>
          <w:ilvl w:val="0"/>
          <w:numId w:val="1128"/>
        </w:numPr>
      </w:pPr>
      <w:r>
        <w:t xml:space="preserve">banco;</w:t>
      </w:r>
    </w:p>
    <w:p>
      <w:pPr>
        <w:pStyle w:val="Compact"/>
        <w:numPr>
          <w:ilvl w:val="0"/>
          <w:numId w:val="1128"/>
        </w:numPr>
      </w:pPr>
      <w:r>
        <w:t xml:space="preserve">arquivos;</w:t>
      </w:r>
    </w:p>
    <w:p>
      <w:pPr>
        <w:pStyle w:val="Compact"/>
        <w:numPr>
          <w:ilvl w:val="0"/>
          <w:numId w:val="1128"/>
        </w:numPr>
      </w:pPr>
      <w:r>
        <w:t xml:space="preserve">documentação;</w:t>
      </w:r>
    </w:p>
    <w:p>
      <w:pPr>
        <w:pStyle w:val="Compact"/>
        <w:numPr>
          <w:ilvl w:val="0"/>
          <w:numId w:val="1128"/>
        </w:numPr>
      </w:pPr>
      <w:r>
        <w:t xml:space="preserve">credenciais institucionais;</w:t>
      </w:r>
    </w:p>
    <w:p>
      <w:pPr>
        <w:pStyle w:val="Compact"/>
        <w:numPr>
          <w:ilvl w:val="0"/>
          <w:numId w:val="1128"/>
        </w:numPr>
      </w:pPr>
      <w:r>
        <w:t xml:space="preserve">inventário;</w:t>
      </w:r>
    </w:p>
    <w:p>
      <w:pPr>
        <w:pStyle w:val="Compact"/>
        <w:numPr>
          <w:ilvl w:val="0"/>
          <w:numId w:val="1128"/>
        </w:numPr>
      </w:pPr>
      <w:r>
        <w:t xml:space="preserve">pendências;</w:t>
      </w:r>
    </w:p>
    <w:p>
      <w:pPr>
        <w:pStyle w:val="Compact"/>
        <w:numPr>
          <w:ilvl w:val="0"/>
          <w:numId w:val="1128"/>
        </w:numPr>
      </w:pPr>
      <w:r>
        <w:t xml:space="preserve">riscos;</w:t>
      </w:r>
    </w:p>
    <w:p>
      <w:pPr>
        <w:pStyle w:val="Compact"/>
        <w:numPr>
          <w:ilvl w:val="0"/>
          <w:numId w:val="1128"/>
        </w:numPr>
      </w:pPr>
      <w:r>
        <w:t xml:space="preserve">histórico;</w:t>
      </w:r>
    </w:p>
    <w:p>
      <w:pPr>
        <w:pStyle w:val="Compact"/>
        <w:numPr>
          <w:ilvl w:val="0"/>
          <w:numId w:val="1128"/>
        </w:numPr>
      </w:pPr>
      <w:r>
        <w:t xml:space="preserve">backup;</w:t>
      </w:r>
    </w:p>
    <w:p>
      <w:pPr>
        <w:pStyle w:val="Compact"/>
        <w:numPr>
          <w:ilvl w:val="0"/>
          <w:numId w:val="1128"/>
        </w:numPr>
      </w:pPr>
      <w:r>
        <w:t xml:space="preserve">teste de restauração;</w:t>
      </w:r>
    </w:p>
    <w:p>
      <w:pPr>
        <w:pStyle w:val="Compact"/>
        <w:numPr>
          <w:ilvl w:val="0"/>
          <w:numId w:val="1128"/>
        </w:numPr>
      </w:pPr>
      <w:r>
        <w:t xml:space="preserve">treinamento;</w:t>
      </w:r>
    </w:p>
    <w:p>
      <w:pPr>
        <w:pStyle w:val="Compact"/>
        <w:numPr>
          <w:ilvl w:val="0"/>
          <w:numId w:val="1128"/>
        </w:numPr>
      </w:pPr>
      <w:r>
        <w:t xml:space="preserve">relatório;</w:t>
      </w:r>
    </w:p>
    <w:p>
      <w:pPr>
        <w:pStyle w:val="Compact"/>
        <w:numPr>
          <w:ilvl w:val="0"/>
          <w:numId w:val="1128"/>
        </w:numPr>
      </w:pPr>
      <w:r>
        <w:t xml:space="preserve">plano de continuidade.</w:t>
      </w:r>
    </w:p>
    <w:p>
      <w:pPr>
        <w:pStyle w:val="FirstParagraph"/>
      </w:pPr>
      <w:r>
        <w:t xml:space="preserve">A Administração deverá conseguir:</w:t>
      </w:r>
    </w:p>
    <w:p>
      <w:pPr>
        <w:pStyle w:val="Compact"/>
        <w:numPr>
          <w:ilvl w:val="0"/>
          <w:numId w:val="1129"/>
        </w:numPr>
      </w:pPr>
      <w:r>
        <w:t xml:space="preserve">implantar a solução;</w:t>
      </w:r>
    </w:p>
    <w:p>
      <w:pPr>
        <w:pStyle w:val="Compact"/>
        <w:numPr>
          <w:ilvl w:val="0"/>
          <w:numId w:val="1129"/>
        </w:numPr>
      </w:pPr>
      <w:r>
        <w:t xml:space="preserve">operar;</w:t>
      </w:r>
    </w:p>
    <w:p>
      <w:pPr>
        <w:pStyle w:val="Compact"/>
        <w:numPr>
          <w:ilvl w:val="0"/>
          <w:numId w:val="1129"/>
        </w:numPr>
      </w:pPr>
      <w:r>
        <w:t xml:space="preserve">contratar terceiro;</w:t>
      </w:r>
    </w:p>
    <w:p>
      <w:pPr>
        <w:pStyle w:val="Compact"/>
        <w:numPr>
          <w:ilvl w:val="0"/>
          <w:numId w:val="1129"/>
        </w:numPr>
      </w:pPr>
      <w:r>
        <w:t xml:space="preserve">exportar;</w:t>
      </w:r>
    </w:p>
    <w:p>
      <w:pPr>
        <w:pStyle w:val="Compact"/>
        <w:numPr>
          <w:ilvl w:val="0"/>
          <w:numId w:val="1129"/>
        </w:numPr>
      </w:pPr>
      <w:r>
        <w:t xml:space="preserve">migrar;</w:t>
      </w:r>
    </w:p>
    <w:p>
      <w:pPr>
        <w:pStyle w:val="Compact"/>
        <w:numPr>
          <w:ilvl w:val="0"/>
          <w:numId w:val="1129"/>
        </w:numPr>
      </w:pPr>
      <w:r>
        <w:t xml:space="preserve">reconstruir ambientes.</w:t>
      </w:r>
    </w:p>
    <w:p>
      <w:r>
        <w:pict>
          <v:rect style="width:0;height:1.5pt" o:hralign="center" o:hrstd="t" o:hr="t"/>
        </w:pict>
      </w:r>
    </w:p>
    <w:bookmarkEnd w:id="178"/>
    <w:bookmarkStart w:id="191" w:name="artefatos-anexos-recomendados"/>
    <w:p>
      <w:pPr>
        <w:pStyle w:val="Heading1"/>
      </w:pPr>
      <w:r>
        <w:t xml:space="preserve">38. Artefatos anexos recomendados</w:t>
      </w:r>
    </w:p>
    <w:bookmarkStart w:id="179" w:name="anexo-i-arquitetura-c4"/>
    <w:p>
      <w:pPr>
        <w:pStyle w:val="Heading2"/>
      </w:pPr>
      <w:r>
        <w:t xml:space="preserve">Anexo I — Arquitetura C4</w:t>
      </w:r>
    </w:p>
    <w:p>
      <w:pPr>
        <w:pStyle w:val="Compact"/>
        <w:numPr>
          <w:ilvl w:val="0"/>
          <w:numId w:val="1130"/>
        </w:numPr>
      </w:pPr>
      <w:r>
        <w:t xml:space="preserve">contexto;</w:t>
      </w:r>
    </w:p>
    <w:p>
      <w:pPr>
        <w:pStyle w:val="Compact"/>
        <w:numPr>
          <w:ilvl w:val="0"/>
          <w:numId w:val="1130"/>
        </w:numPr>
      </w:pPr>
      <w:r>
        <w:t xml:space="preserve">contêineres;</w:t>
      </w:r>
    </w:p>
    <w:p>
      <w:pPr>
        <w:pStyle w:val="Compact"/>
        <w:numPr>
          <w:ilvl w:val="0"/>
          <w:numId w:val="1130"/>
        </w:numPr>
      </w:pPr>
      <w:r>
        <w:t xml:space="preserve">componentes;</w:t>
      </w:r>
    </w:p>
    <w:p>
      <w:pPr>
        <w:pStyle w:val="Compact"/>
        <w:numPr>
          <w:ilvl w:val="0"/>
          <w:numId w:val="1130"/>
        </w:numPr>
      </w:pPr>
      <w:r>
        <w:t xml:space="preserve">implantação.</w:t>
      </w:r>
    </w:p>
    <w:bookmarkEnd w:id="179"/>
    <w:bookmarkStart w:id="180" w:name="anexo-ii-backlog-do-mvp"/>
    <w:p>
      <w:pPr>
        <w:pStyle w:val="Heading2"/>
      </w:pPr>
      <w:r>
        <w:t xml:space="preserve">Anexo II — Backlog do MVP</w:t>
      </w:r>
    </w:p>
    <w:p>
      <w:pPr>
        <w:pStyle w:val="Compact"/>
        <w:numPr>
          <w:ilvl w:val="0"/>
          <w:numId w:val="1131"/>
        </w:numPr>
      </w:pPr>
      <w:r>
        <w:t xml:space="preserve">épicos;</w:t>
      </w:r>
    </w:p>
    <w:p>
      <w:pPr>
        <w:pStyle w:val="Compact"/>
        <w:numPr>
          <w:ilvl w:val="0"/>
          <w:numId w:val="1131"/>
        </w:numPr>
      </w:pPr>
      <w:r>
        <w:t xml:space="preserve">histórias;</w:t>
      </w:r>
    </w:p>
    <w:p>
      <w:pPr>
        <w:pStyle w:val="Compact"/>
        <w:numPr>
          <w:ilvl w:val="0"/>
          <w:numId w:val="1131"/>
        </w:numPr>
      </w:pPr>
      <w:r>
        <w:t xml:space="preserve">prioridade;</w:t>
      </w:r>
    </w:p>
    <w:p>
      <w:pPr>
        <w:pStyle w:val="Compact"/>
        <w:numPr>
          <w:ilvl w:val="0"/>
          <w:numId w:val="1131"/>
        </w:numPr>
      </w:pPr>
      <w:r>
        <w:t xml:space="preserve">critérios de aceite.</w:t>
      </w:r>
    </w:p>
    <w:bookmarkEnd w:id="180"/>
    <w:bookmarkStart w:id="181" w:name="anexo-iii-modelo-de-dados"/>
    <w:p>
      <w:pPr>
        <w:pStyle w:val="Heading2"/>
      </w:pPr>
      <w:r>
        <w:t xml:space="preserve">Anexo III — Modelo de dados</w:t>
      </w:r>
    </w:p>
    <w:p>
      <w:pPr>
        <w:pStyle w:val="Compact"/>
        <w:numPr>
          <w:ilvl w:val="0"/>
          <w:numId w:val="1132"/>
        </w:numPr>
      </w:pPr>
      <w:r>
        <w:t xml:space="preserve">entidades;</w:t>
      </w:r>
    </w:p>
    <w:p>
      <w:pPr>
        <w:pStyle w:val="Compact"/>
        <w:numPr>
          <w:ilvl w:val="0"/>
          <w:numId w:val="1132"/>
        </w:numPr>
      </w:pPr>
      <w:r>
        <w:t xml:space="preserve">relacionamentos;</w:t>
      </w:r>
    </w:p>
    <w:p>
      <w:pPr>
        <w:pStyle w:val="Compact"/>
        <w:numPr>
          <w:ilvl w:val="0"/>
          <w:numId w:val="1132"/>
        </w:numPr>
      </w:pPr>
      <w:r>
        <w:t xml:space="preserve">dicionário;</w:t>
      </w:r>
    </w:p>
    <w:p>
      <w:pPr>
        <w:pStyle w:val="Compact"/>
        <w:numPr>
          <w:ilvl w:val="0"/>
          <w:numId w:val="1132"/>
        </w:numPr>
      </w:pPr>
      <w:r>
        <w:t xml:space="preserve">classificação.</w:t>
      </w:r>
    </w:p>
    <w:bookmarkEnd w:id="181"/>
    <w:bookmarkStart w:id="182" w:name="anexo-iv-matriz-de-permissões"/>
    <w:p>
      <w:pPr>
        <w:pStyle w:val="Heading2"/>
      </w:pPr>
      <w:r>
        <w:t xml:space="preserve">Anexo IV — Matriz de permissões</w:t>
      </w:r>
    </w:p>
    <w:p>
      <w:pPr>
        <w:pStyle w:val="Compact"/>
        <w:numPr>
          <w:ilvl w:val="0"/>
          <w:numId w:val="1133"/>
        </w:numPr>
      </w:pPr>
      <w:r>
        <w:t xml:space="preserve">perfis;</w:t>
      </w:r>
    </w:p>
    <w:p>
      <w:pPr>
        <w:pStyle w:val="Compact"/>
        <w:numPr>
          <w:ilvl w:val="0"/>
          <w:numId w:val="1133"/>
        </w:numPr>
      </w:pPr>
      <w:r>
        <w:t xml:space="preserve">recursos;</w:t>
      </w:r>
    </w:p>
    <w:p>
      <w:pPr>
        <w:pStyle w:val="Compact"/>
        <w:numPr>
          <w:ilvl w:val="0"/>
          <w:numId w:val="1133"/>
        </w:numPr>
      </w:pPr>
      <w:r>
        <w:t xml:space="preserve">ações;</w:t>
      </w:r>
    </w:p>
    <w:p>
      <w:pPr>
        <w:pStyle w:val="Compact"/>
        <w:numPr>
          <w:ilvl w:val="0"/>
          <w:numId w:val="1133"/>
        </w:numPr>
      </w:pPr>
      <w:r>
        <w:t xml:space="preserve">segregação.</w:t>
      </w:r>
    </w:p>
    <w:bookmarkEnd w:id="182"/>
    <w:bookmarkStart w:id="183" w:name="anexo-v-plano-de-testes"/>
    <w:p>
      <w:pPr>
        <w:pStyle w:val="Heading2"/>
      </w:pPr>
      <w:r>
        <w:t xml:space="preserve">Anexo V — Plano de testes</w:t>
      </w:r>
    </w:p>
    <w:p>
      <w:pPr>
        <w:pStyle w:val="Compact"/>
        <w:numPr>
          <w:ilvl w:val="0"/>
          <w:numId w:val="1134"/>
        </w:numPr>
      </w:pPr>
      <w:r>
        <w:t xml:space="preserve">roteiros;</w:t>
      </w:r>
    </w:p>
    <w:p>
      <w:pPr>
        <w:pStyle w:val="Compact"/>
        <w:numPr>
          <w:ilvl w:val="0"/>
          <w:numId w:val="1134"/>
        </w:numPr>
      </w:pPr>
      <w:r>
        <w:t xml:space="preserve">evidências;</w:t>
      </w:r>
    </w:p>
    <w:p>
      <w:pPr>
        <w:pStyle w:val="Compact"/>
        <w:numPr>
          <w:ilvl w:val="0"/>
          <w:numId w:val="1134"/>
        </w:numPr>
      </w:pPr>
      <w:r>
        <w:t xml:space="preserve">dados;</w:t>
      </w:r>
    </w:p>
    <w:p>
      <w:pPr>
        <w:pStyle w:val="Compact"/>
        <w:numPr>
          <w:ilvl w:val="0"/>
          <w:numId w:val="1134"/>
        </w:numPr>
      </w:pPr>
      <w:r>
        <w:t xml:space="preserve">responsáveis.</w:t>
      </w:r>
    </w:p>
    <w:bookmarkEnd w:id="183"/>
    <w:bookmarkStart w:id="184" w:name="anexo-vi-prova-de-conceito"/>
    <w:p>
      <w:pPr>
        <w:pStyle w:val="Heading2"/>
      </w:pPr>
      <w:r>
        <w:t xml:space="preserve">Anexo VI — Prova de conceito</w:t>
      </w:r>
    </w:p>
    <w:p>
      <w:pPr>
        <w:pStyle w:val="Compact"/>
        <w:numPr>
          <w:ilvl w:val="0"/>
          <w:numId w:val="1135"/>
        </w:numPr>
      </w:pPr>
      <w:r>
        <w:t xml:space="preserve">ambiente;</w:t>
      </w:r>
    </w:p>
    <w:p>
      <w:pPr>
        <w:pStyle w:val="Compact"/>
        <w:numPr>
          <w:ilvl w:val="0"/>
          <w:numId w:val="1135"/>
        </w:numPr>
      </w:pPr>
      <w:r>
        <w:t xml:space="preserve">critérios;</w:t>
      </w:r>
    </w:p>
    <w:p>
      <w:pPr>
        <w:pStyle w:val="Compact"/>
        <w:numPr>
          <w:ilvl w:val="0"/>
          <w:numId w:val="1135"/>
        </w:numPr>
      </w:pPr>
      <w:r>
        <w:t xml:space="preserve">pontuação;</w:t>
      </w:r>
    </w:p>
    <w:p>
      <w:pPr>
        <w:pStyle w:val="Compact"/>
        <w:numPr>
          <w:ilvl w:val="0"/>
          <w:numId w:val="1135"/>
        </w:numPr>
      </w:pPr>
      <w:r>
        <w:t xml:space="preserve">aprovação;</w:t>
      </w:r>
    </w:p>
    <w:p>
      <w:pPr>
        <w:pStyle w:val="Compact"/>
        <w:numPr>
          <w:ilvl w:val="0"/>
          <w:numId w:val="1135"/>
        </w:numPr>
      </w:pPr>
      <w:r>
        <w:t xml:space="preserve">eliminação.</w:t>
      </w:r>
    </w:p>
    <w:bookmarkEnd w:id="184"/>
    <w:bookmarkStart w:id="185" w:name="anexo-vii-imr"/>
    <w:p>
      <w:pPr>
        <w:pStyle w:val="Heading2"/>
      </w:pPr>
      <w:r>
        <w:t xml:space="preserve">Anexo VII — IMR</w:t>
      </w:r>
    </w:p>
    <w:p>
      <w:pPr>
        <w:pStyle w:val="Compact"/>
        <w:numPr>
          <w:ilvl w:val="0"/>
          <w:numId w:val="1136"/>
        </w:numPr>
      </w:pPr>
      <w:r>
        <w:t xml:space="preserve">indicadores;</w:t>
      </w:r>
    </w:p>
    <w:p>
      <w:pPr>
        <w:pStyle w:val="Compact"/>
        <w:numPr>
          <w:ilvl w:val="0"/>
          <w:numId w:val="1136"/>
        </w:numPr>
      </w:pPr>
      <w:r>
        <w:t xml:space="preserve">fórmulas;</w:t>
      </w:r>
    </w:p>
    <w:p>
      <w:pPr>
        <w:pStyle w:val="Compact"/>
        <w:numPr>
          <w:ilvl w:val="0"/>
          <w:numId w:val="1136"/>
        </w:numPr>
      </w:pPr>
      <w:r>
        <w:t xml:space="preserve">metas;</w:t>
      </w:r>
    </w:p>
    <w:p>
      <w:pPr>
        <w:pStyle w:val="Compact"/>
        <w:numPr>
          <w:ilvl w:val="0"/>
          <w:numId w:val="1136"/>
        </w:numPr>
      </w:pPr>
      <w:r>
        <w:t xml:space="preserve">glosas;</w:t>
      </w:r>
    </w:p>
    <w:p>
      <w:pPr>
        <w:pStyle w:val="Compact"/>
        <w:numPr>
          <w:ilvl w:val="0"/>
          <w:numId w:val="1136"/>
        </w:numPr>
      </w:pPr>
      <w:r>
        <w:t xml:space="preserve">exceções.</w:t>
      </w:r>
    </w:p>
    <w:bookmarkEnd w:id="185"/>
    <w:bookmarkStart w:id="186" w:name="anexo-viii-segurança"/>
    <w:p>
      <w:pPr>
        <w:pStyle w:val="Heading2"/>
      </w:pPr>
      <w:r>
        <w:t xml:space="preserve">Anexo VIII — Segurança</w:t>
      </w:r>
    </w:p>
    <w:p>
      <w:pPr>
        <w:pStyle w:val="Compact"/>
        <w:numPr>
          <w:ilvl w:val="0"/>
          <w:numId w:val="1137"/>
        </w:numPr>
      </w:pPr>
      <w:r>
        <w:t xml:space="preserve">requisitos ASVS;</w:t>
      </w:r>
    </w:p>
    <w:p>
      <w:pPr>
        <w:pStyle w:val="Compact"/>
        <w:numPr>
          <w:ilvl w:val="0"/>
          <w:numId w:val="1137"/>
        </w:numPr>
      </w:pPr>
      <w:r>
        <w:t xml:space="preserve">identidade;</w:t>
      </w:r>
    </w:p>
    <w:p>
      <w:pPr>
        <w:pStyle w:val="Compact"/>
        <w:numPr>
          <w:ilvl w:val="0"/>
          <w:numId w:val="1137"/>
        </w:numPr>
      </w:pPr>
      <w:r>
        <w:t xml:space="preserve">criptografia;</w:t>
      </w:r>
    </w:p>
    <w:p>
      <w:pPr>
        <w:pStyle w:val="Compact"/>
        <w:numPr>
          <w:ilvl w:val="0"/>
          <w:numId w:val="1137"/>
        </w:numPr>
      </w:pPr>
      <w:r>
        <w:t xml:space="preserve">incidentes;</w:t>
      </w:r>
    </w:p>
    <w:p>
      <w:pPr>
        <w:pStyle w:val="Compact"/>
        <w:numPr>
          <w:ilvl w:val="0"/>
          <w:numId w:val="1137"/>
        </w:numPr>
      </w:pPr>
      <w:r>
        <w:t xml:space="preserve">logs.</w:t>
      </w:r>
    </w:p>
    <w:bookmarkEnd w:id="186"/>
    <w:bookmarkStart w:id="187" w:name="anexo-ix-integrações"/>
    <w:p>
      <w:pPr>
        <w:pStyle w:val="Heading2"/>
      </w:pPr>
      <w:r>
        <w:t xml:space="preserve">Anexo IX — Integrações</w:t>
      </w:r>
    </w:p>
    <w:p>
      <w:pPr>
        <w:pStyle w:val="Compact"/>
        <w:numPr>
          <w:ilvl w:val="0"/>
          <w:numId w:val="1138"/>
        </w:numPr>
      </w:pPr>
      <w:r>
        <w:t xml:space="preserve">fonte;</w:t>
      </w:r>
    </w:p>
    <w:p>
      <w:pPr>
        <w:pStyle w:val="Compact"/>
        <w:numPr>
          <w:ilvl w:val="0"/>
          <w:numId w:val="1138"/>
        </w:numPr>
      </w:pPr>
      <w:r>
        <w:t xml:space="preserve">produto;</w:t>
      </w:r>
    </w:p>
    <w:p>
      <w:pPr>
        <w:pStyle w:val="Compact"/>
        <w:numPr>
          <w:ilvl w:val="0"/>
          <w:numId w:val="1138"/>
        </w:numPr>
      </w:pPr>
      <w:r>
        <w:t xml:space="preserve">frequência;</w:t>
      </w:r>
    </w:p>
    <w:p>
      <w:pPr>
        <w:pStyle w:val="Compact"/>
        <w:numPr>
          <w:ilvl w:val="0"/>
          <w:numId w:val="1138"/>
        </w:numPr>
      </w:pPr>
      <w:r>
        <w:t xml:space="preserve">método;</w:t>
      </w:r>
    </w:p>
    <w:p>
      <w:pPr>
        <w:pStyle w:val="Compact"/>
        <w:numPr>
          <w:ilvl w:val="0"/>
          <w:numId w:val="1138"/>
        </w:numPr>
      </w:pPr>
      <w:r>
        <w:t xml:space="preserve">autenticação;</w:t>
      </w:r>
    </w:p>
    <w:p>
      <w:pPr>
        <w:pStyle w:val="Compact"/>
        <w:numPr>
          <w:ilvl w:val="0"/>
          <w:numId w:val="1138"/>
        </w:numPr>
      </w:pPr>
      <w:r>
        <w:t xml:space="preserve">limitações.</w:t>
      </w:r>
    </w:p>
    <w:bookmarkEnd w:id="187"/>
    <w:bookmarkStart w:id="188" w:name="anexo-x-dados-abertos"/>
    <w:p>
      <w:pPr>
        <w:pStyle w:val="Heading2"/>
      </w:pPr>
      <w:r>
        <w:t xml:space="preserve">Anexo X — Dados abertos</w:t>
      </w:r>
    </w:p>
    <w:p>
      <w:pPr>
        <w:pStyle w:val="Compact"/>
        <w:numPr>
          <w:ilvl w:val="0"/>
          <w:numId w:val="1139"/>
        </w:numPr>
      </w:pPr>
      <w:r>
        <w:t xml:space="preserve">conjuntos;</w:t>
      </w:r>
    </w:p>
    <w:p>
      <w:pPr>
        <w:pStyle w:val="Compact"/>
        <w:numPr>
          <w:ilvl w:val="0"/>
          <w:numId w:val="1139"/>
        </w:numPr>
      </w:pPr>
      <w:r>
        <w:t xml:space="preserve">formatos;</w:t>
      </w:r>
    </w:p>
    <w:p>
      <w:pPr>
        <w:pStyle w:val="Compact"/>
        <w:numPr>
          <w:ilvl w:val="0"/>
          <w:numId w:val="1139"/>
        </w:numPr>
      </w:pPr>
      <w:r>
        <w:t xml:space="preserve">licença;</w:t>
      </w:r>
    </w:p>
    <w:p>
      <w:pPr>
        <w:pStyle w:val="Compact"/>
        <w:numPr>
          <w:ilvl w:val="0"/>
          <w:numId w:val="1139"/>
        </w:numPr>
      </w:pPr>
      <w:r>
        <w:t xml:space="preserve">periodicidade;</w:t>
      </w:r>
    </w:p>
    <w:p>
      <w:pPr>
        <w:pStyle w:val="Compact"/>
        <w:numPr>
          <w:ilvl w:val="0"/>
          <w:numId w:val="1139"/>
        </w:numPr>
      </w:pPr>
      <w:r>
        <w:t xml:space="preserve">anonimização.</w:t>
      </w:r>
    </w:p>
    <w:bookmarkEnd w:id="188"/>
    <w:bookmarkStart w:id="189" w:name="anexo-xi-operação-assistida"/>
    <w:p>
      <w:pPr>
        <w:pStyle w:val="Heading2"/>
      </w:pPr>
      <w:r>
        <w:t xml:space="preserve">Anexo XI — Operação assistida</w:t>
      </w:r>
    </w:p>
    <w:p>
      <w:pPr>
        <w:pStyle w:val="Compact"/>
        <w:numPr>
          <w:ilvl w:val="0"/>
          <w:numId w:val="1140"/>
        </w:numPr>
      </w:pPr>
      <w:r>
        <w:t xml:space="preserve">suporte;</w:t>
      </w:r>
    </w:p>
    <w:p>
      <w:pPr>
        <w:pStyle w:val="Compact"/>
        <w:numPr>
          <w:ilvl w:val="0"/>
          <w:numId w:val="1140"/>
        </w:numPr>
      </w:pPr>
      <w:r>
        <w:t xml:space="preserve">horários;</w:t>
      </w:r>
    </w:p>
    <w:p>
      <w:pPr>
        <w:pStyle w:val="Compact"/>
        <w:numPr>
          <w:ilvl w:val="0"/>
          <w:numId w:val="1140"/>
        </w:numPr>
      </w:pPr>
      <w:r>
        <w:t xml:space="preserve">escalonamento;</w:t>
      </w:r>
    </w:p>
    <w:p>
      <w:pPr>
        <w:pStyle w:val="Compact"/>
        <w:numPr>
          <w:ilvl w:val="0"/>
          <w:numId w:val="1140"/>
        </w:numPr>
      </w:pPr>
      <w:r>
        <w:t xml:space="preserve">transição.</w:t>
      </w:r>
    </w:p>
    <w:bookmarkEnd w:id="189"/>
    <w:bookmarkStart w:id="190" w:name="anexo-xii-matriz-de-riscos"/>
    <w:p>
      <w:pPr>
        <w:pStyle w:val="Heading2"/>
      </w:pPr>
      <w:r>
        <w:t xml:space="preserve">Anexo XII — Matriz de riscos</w:t>
      </w:r>
    </w:p>
    <w:p>
      <w:pPr>
        <w:pStyle w:val="Compact"/>
        <w:numPr>
          <w:ilvl w:val="0"/>
          <w:numId w:val="1141"/>
        </w:numPr>
      </w:pPr>
      <w:r>
        <w:t xml:space="preserve">probabilidade;</w:t>
      </w:r>
    </w:p>
    <w:p>
      <w:pPr>
        <w:pStyle w:val="Compact"/>
        <w:numPr>
          <w:ilvl w:val="0"/>
          <w:numId w:val="1141"/>
        </w:numPr>
      </w:pPr>
      <w:r>
        <w:t xml:space="preserve">impacto;</w:t>
      </w:r>
    </w:p>
    <w:p>
      <w:pPr>
        <w:pStyle w:val="Compact"/>
        <w:numPr>
          <w:ilvl w:val="0"/>
          <w:numId w:val="1141"/>
        </w:numPr>
      </w:pPr>
      <w:r>
        <w:t xml:space="preserve">tratamento;</w:t>
      </w:r>
    </w:p>
    <w:p>
      <w:pPr>
        <w:pStyle w:val="Compact"/>
        <w:numPr>
          <w:ilvl w:val="0"/>
          <w:numId w:val="1141"/>
        </w:numPr>
      </w:pPr>
      <w:r>
        <w:t xml:space="preserve">responsável;</w:t>
      </w:r>
    </w:p>
    <w:p>
      <w:pPr>
        <w:pStyle w:val="Compact"/>
        <w:numPr>
          <w:ilvl w:val="0"/>
          <w:numId w:val="1141"/>
        </w:numPr>
      </w:pPr>
      <w:r>
        <w:t xml:space="preserve">gatilho.</w:t>
      </w:r>
    </w:p>
    <w:p>
      <w:r>
        <w:pict>
          <v:rect style="width:0;height:1.5pt" o:hralign="center" o:hrstd="t" o:hr="t"/>
        </w:pict>
      </w:r>
    </w:p>
    <w:bookmarkEnd w:id="190"/>
    <w:bookmarkEnd w:id="191"/>
    <w:bookmarkStart w:id="192" w:name="condições-essenciais-antes-da-publicação"/>
    <w:p>
      <w:pPr>
        <w:pStyle w:val="Heading1"/>
      </w:pPr>
      <w:r>
        <w:t xml:space="preserve">39. Condições essenciais antes da publicação</w:t>
      </w:r>
    </w:p>
    <w:p>
      <w:pPr>
        <w:pStyle w:val="FirstParagraph"/>
      </w:pPr>
      <w:r>
        <w:t xml:space="preserve">O edital somente deverá ser publicado depois que a Administração tiver:</w:t>
      </w:r>
    </w:p>
    <w:p>
      <w:pPr>
        <w:pStyle w:val="Compact"/>
        <w:numPr>
          <w:ilvl w:val="0"/>
          <w:numId w:val="1142"/>
        </w:numPr>
      </w:pPr>
      <w:r>
        <w:t xml:space="preserve">aprovado o ETP;</w:t>
      </w:r>
    </w:p>
    <w:p>
      <w:pPr>
        <w:pStyle w:val="Compact"/>
        <w:numPr>
          <w:ilvl w:val="0"/>
          <w:numId w:val="1142"/>
        </w:numPr>
      </w:pPr>
      <w:r>
        <w:t xml:space="preserve">definido o órgão responsável;</w:t>
      </w:r>
    </w:p>
    <w:p>
      <w:pPr>
        <w:pStyle w:val="Compact"/>
        <w:numPr>
          <w:ilvl w:val="0"/>
          <w:numId w:val="1142"/>
        </w:numPr>
      </w:pPr>
      <w:r>
        <w:t xml:space="preserve">definido o modelo de contratação;</w:t>
      </w:r>
    </w:p>
    <w:p>
      <w:pPr>
        <w:pStyle w:val="Compact"/>
        <w:numPr>
          <w:ilvl w:val="0"/>
          <w:numId w:val="1142"/>
        </w:numPr>
      </w:pPr>
      <w:r>
        <w:t xml:space="preserve">confirmado as fontes;</w:t>
      </w:r>
    </w:p>
    <w:p>
      <w:pPr>
        <w:pStyle w:val="Compact"/>
        <w:numPr>
          <w:ilvl w:val="0"/>
          <w:numId w:val="1142"/>
        </w:numPr>
      </w:pPr>
      <w:r>
        <w:t xml:space="preserve">realizado pesquisa de mercado;</w:t>
      </w:r>
    </w:p>
    <w:p>
      <w:pPr>
        <w:pStyle w:val="Compact"/>
        <w:numPr>
          <w:ilvl w:val="0"/>
          <w:numId w:val="1142"/>
        </w:numPr>
      </w:pPr>
      <w:r>
        <w:t xml:space="preserve">definido infraestrutura;</w:t>
      </w:r>
    </w:p>
    <w:p>
      <w:pPr>
        <w:pStyle w:val="Compact"/>
        <w:numPr>
          <w:ilvl w:val="0"/>
          <w:numId w:val="1142"/>
        </w:numPr>
      </w:pPr>
      <w:r>
        <w:t xml:space="preserve">definido requisitos de segurança;</w:t>
      </w:r>
    </w:p>
    <w:p>
      <w:pPr>
        <w:pStyle w:val="Compact"/>
        <w:numPr>
          <w:ilvl w:val="0"/>
          <w:numId w:val="1142"/>
        </w:numPr>
      </w:pPr>
      <w:r>
        <w:t xml:space="preserve">definido tratamento de dados;</w:t>
      </w:r>
    </w:p>
    <w:p>
      <w:pPr>
        <w:pStyle w:val="Compact"/>
        <w:numPr>
          <w:ilvl w:val="0"/>
          <w:numId w:val="1142"/>
        </w:numPr>
      </w:pPr>
      <w:r>
        <w:t xml:space="preserve">aprovado critérios de aceite;</w:t>
      </w:r>
    </w:p>
    <w:p>
      <w:pPr>
        <w:pStyle w:val="Compact"/>
        <w:numPr>
          <w:ilvl w:val="0"/>
          <w:numId w:val="1142"/>
        </w:numPr>
      </w:pPr>
      <w:r>
        <w:t xml:space="preserve">calibrado SLAs;</w:t>
      </w:r>
    </w:p>
    <w:p>
      <w:pPr>
        <w:pStyle w:val="Compact"/>
        <w:numPr>
          <w:ilvl w:val="0"/>
          <w:numId w:val="1142"/>
        </w:numPr>
      </w:pPr>
      <w:r>
        <w:t xml:space="preserve">definido medição;</w:t>
      </w:r>
    </w:p>
    <w:p>
      <w:pPr>
        <w:pStyle w:val="Compact"/>
        <w:numPr>
          <w:ilvl w:val="0"/>
          <w:numId w:val="1142"/>
        </w:numPr>
      </w:pPr>
      <w:r>
        <w:t xml:space="preserve">elaborado matriz de riscos;</w:t>
      </w:r>
    </w:p>
    <w:p>
      <w:pPr>
        <w:pStyle w:val="Compact"/>
        <w:numPr>
          <w:ilvl w:val="0"/>
          <w:numId w:val="1142"/>
        </w:numPr>
      </w:pPr>
      <w:r>
        <w:t xml:space="preserve">submetido à análise jurídica;</w:t>
      </w:r>
    </w:p>
    <w:p>
      <w:pPr>
        <w:pStyle w:val="Compact"/>
        <w:numPr>
          <w:ilvl w:val="0"/>
          <w:numId w:val="1142"/>
        </w:numPr>
      </w:pPr>
      <w:r>
        <w:t xml:space="preserve">verificado compatibilidade orçamentária;</w:t>
      </w:r>
    </w:p>
    <w:p>
      <w:pPr>
        <w:pStyle w:val="Compact"/>
        <w:numPr>
          <w:ilvl w:val="0"/>
          <w:numId w:val="1142"/>
        </w:numPr>
      </w:pPr>
      <w:r>
        <w:t xml:space="preserve">definido propriedade intelectual;</w:t>
      </w:r>
    </w:p>
    <w:p>
      <w:pPr>
        <w:pStyle w:val="Compact"/>
        <w:numPr>
          <w:ilvl w:val="0"/>
          <w:numId w:val="1142"/>
        </w:numPr>
      </w:pPr>
      <w:r>
        <w:t xml:space="preserve">aprovado o plano de transição;</w:t>
      </w:r>
    </w:p>
    <w:p>
      <w:pPr>
        <w:pStyle w:val="Compact"/>
        <w:numPr>
          <w:ilvl w:val="0"/>
          <w:numId w:val="1142"/>
        </w:numPr>
      </w:pPr>
      <w:r>
        <w:t xml:space="preserve">revisado exigências de qualificação;</w:t>
      </w:r>
    </w:p>
    <w:p>
      <w:pPr>
        <w:pStyle w:val="Compact"/>
        <w:numPr>
          <w:ilvl w:val="0"/>
          <w:numId w:val="1142"/>
        </w:numPr>
      </w:pPr>
      <w:r>
        <w:t xml:space="preserve">avaliado parcelamento;</w:t>
      </w:r>
    </w:p>
    <w:p>
      <w:pPr>
        <w:pStyle w:val="Compact"/>
        <w:numPr>
          <w:ilvl w:val="0"/>
          <w:numId w:val="1142"/>
        </w:numPr>
      </w:pPr>
      <w:r>
        <w:t xml:space="preserve">realizado consulta técnica às secretarias;</w:t>
      </w:r>
    </w:p>
    <w:p>
      <w:pPr>
        <w:pStyle w:val="Compact"/>
        <w:numPr>
          <w:ilvl w:val="0"/>
          <w:numId w:val="1142"/>
        </w:numPr>
      </w:pPr>
      <w:r>
        <w:t xml:space="preserve">registrado todas as justificativas.</w:t>
      </w:r>
    </w:p>
    <w:p>
      <w:r>
        <w:pict>
          <v:rect style="width:0;height:1.5pt" o:hralign="center" o:hrstd="t" o:hr="t"/>
        </w:pict>
      </w:r>
    </w:p>
    <w:bookmarkEnd w:id="192"/>
    <w:bookmarkStart w:id="193" w:name="diretriz-final"/>
    <w:p>
      <w:pPr>
        <w:pStyle w:val="Heading1"/>
      </w:pPr>
      <w:r>
        <w:t xml:space="preserve">40. Diretriz final</w:t>
      </w:r>
    </w:p>
    <w:p>
      <w:pPr>
        <w:pStyle w:val="FirstParagraph"/>
      </w:pPr>
      <w:r>
        <w:t xml:space="preserve">A contratação deverá produzir uma capacidade institucional permanente, e não apenas um software.</w:t>
      </w:r>
    </w:p>
    <w:p>
      <w:pPr>
        <w:pStyle w:val="BodyText"/>
      </w:pPr>
      <w:r>
        <w:t xml:space="preserve">O sucesso não será medido pelo número de telas, mapas ou tecnologias instaladas. Será medido pela capacidade de o Município:</w:t>
      </w:r>
    </w:p>
    <w:p>
      <w:pPr>
        <w:pStyle w:val="Compact"/>
        <w:numPr>
          <w:ilvl w:val="0"/>
          <w:numId w:val="1143"/>
        </w:numPr>
      </w:pPr>
      <w:r>
        <w:t xml:space="preserve">saber de onde veio cada informação;</w:t>
      </w:r>
    </w:p>
    <w:p>
      <w:pPr>
        <w:pStyle w:val="Compact"/>
        <w:numPr>
          <w:ilvl w:val="0"/>
          <w:numId w:val="1143"/>
        </w:numPr>
      </w:pPr>
      <w:r>
        <w:t xml:space="preserve">verificar sua qualidade;</w:t>
      </w:r>
    </w:p>
    <w:p>
      <w:pPr>
        <w:pStyle w:val="Compact"/>
        <w:numPr>
          <w:ilvl w:val="0"/>
          <w:numId w:val="1143"/>
        </w:numPr>
      </w:pPr>
      <w:r>
        <w:t xml:space="preserve">diferenciar fato de inferência;</w:t>
      </w:r>
    </w:p>
    <w:p>
      <w:pPr>
        <w:pStyle w:val="Compact"/>
        <w:numPr>
          <w:ilvl w:val="0"/>
          <w:numId w:val="1143"/>
        </w:numPr>
      </w:pPr>
      <w:r>
        <w:t xml:space="preserve">registrar decisões;</w:t>
      </w:r>
    </w:p>
    <w:p>
      <w:pPr>
        <w:pStyle w:val="Compact"/>
        <w:numPr>
          <w:ilvl w:val="0"/>
          <w:numId w:val="1143"/>
        </w:numPr>
      </w:pPr>
      <w:r>
        <w:t xml:space="preserve">coordenar respostas;</w:t>
      </w:r>
    </w:p>
    <w:p>
      <w:pPr>
        <w:pStyle w:val="Compact"/>
        <w:numPr>
          <w:ilvl w:val="0"/>
          <w:numId w:val="1143"/>
        </w:numPr>
      </w:pPr>
      <w:r>
        <w:t xml:space="preserve">prestar contas;</w:t>
      </w:r>
    </w:p>
    <w:p>
      <w:pPr>
        <w:pStyle w:val="Compact"/>
        <w:numPr>
          <w:ilvl w:val="0"/>
          <w:numId w:val="1143"/>
        </w:numPr>
      </w:pPr>
      <w:r>
        <w:t xml:space="preserve">avaliar resultados;</w:t>
      </w:r>
    </w:p>
    <w:p>
      <w:pPr>
        <w:pStyle w:val="Compact"/>
        <w:numPr>
          <w:ilvl w:val="0"/>
          <w:numId w:val="1143"/>
        </w:numPr>
      </w:pPr>
      <w:r>
        <w:t xml:space="preserve">continuar operando sem dependência exclusiva da contratada.</w:t>
      </w:r>
    </w:p>
    <w:p>
      <w:pPr>
        <w:pStyle w:val="FirstParagraph"/>
      </w:pPr>
      <w:r>
        <w:t xml:space="preserve">A presente minuta mantém os princípios de integridade, rastreabilidade, distinção entre observação, previsão e inferência e uso responsável de dados meteorológicos e climáticos estabelecidos no documento técnico fornecido.</w:t>
      </w:r>
    </w:p>
    <w:bookmarkEnd w:id="1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1"/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2026-07-13T20:43:11Z</dcterms:created>
  <dcterms:modified xsi:type="dcterms:W3CDTF">2026-07-13T20:43:11Z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