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pace Grotesk" w:hAnsi="Space Grotesk"/>
          <w:b/>
          <w:color w:val="0E1216"/>
          <w:sz w:val="56"/>
        </w:rPr>
        <w:t>GLAZIA</w:t>
      </w:r>
    </w:p>
    <w:p>
      <w:pPr>
        <w:jc w:val="center"/>
      </w:pPr>
      <w:r>
        <w:rPr>
          <w:rFonts w:ascii="Space Grotesk" w:hAnsi="Space Grotesk"/>
          <w:b/>
          <w:color w:val="1A2026"/>
          <w:sz w:val="42"/>
        </w:rPr>
        <w:t>Dashboard Background + UI Asset Design Specification</w:t>
      </w:r>
    </w:p>
    <w:p>
      <w:pPr>
        <w:jc w:val="center"/>
      </w:pPr>
      <w:r>
        <w:rPr>
          <w:color w:val="656B70"/>
          <w:sz w:val="20"/>
        </w:rPr>
        <w:t>Source-based handoff for the supplied Glazia dashboard background and exported SVG components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7901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a66627-3035-4066-8e47-d72e912a68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90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Background source image: 1641 × 958 px • RGBA/PNG source shown as RGB for analysis</w:t>
      </w:r>
    </w:p>
    <w:p>
      <w:r>
        <w:br w:type="page"/>
      </w:r>
    </w:p>
    <w:p>
      <w:pPr>
        <w:pStyle w:val="Heading1"/>
      </w:pPr>
      <w:r>
        <w:t>1. Background Image — Exact Source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7"/>
              </w:rPr>
              <w:t>Property</w:t>
            </w:r>
          </w:p>
        </w:tc>
        <w:tc>
          <w:tcPr>
            <w:tcW w:type="dxa" w:w="3504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7"/>
              </w:rPr>
              <w:t>Value</w:t>
            </w:r>
          </w:p>
        </w:tc>
        <w:tc>
          <w:tcPr>
            <w:tcW w:type="dxa" w:w="3504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7"/>
              </w:rPr>
              <w:t>Implementation note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Filename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c7a66627-3035-4066-8e47-d72e912a6810.png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Use the supplied file as the primary raster background.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Canvas size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1641 × 958 px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Maintain the source aspect ratio unless the dashboard frame requires cropping.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Aspect ratio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1.7129:1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≈ 1.713:1 landscape.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Color mode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RGBA source (displayed after RGB conversion)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Alpha channel is present in source PNG; visible scene itself reads as opaque.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Mean RGB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(np.float64(232.6), np.float64(220.0), np.float64(206.3))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Overall image average; useful for background tuning only.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Visual treatment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Warm ivory/cream interior, soft blur, broad sunlight, geometric window shadows, low-detail edges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Designed to sit behind glass/white UI cards.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Visual focus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Negative space in center/right wall and floor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Keeps UI legible over the scene.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Recommended UI overlay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White/cream translucent cards + dark charcoal text + muted semantic status colors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Matches supplied dashboard SVG exports.</w:t>
            </w:r>
          </w:p>
        </w:tc>
      </w:tr>
    </w:tbl>
    <w:p>
      <w:pPr>
        <w:pStyle w:val="Heading2"/>
      </w:pPr>
      <w:r>
        <w:t>Background palette — observed dominant quantized colors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7"/>
              </w:rPr>
              <w:t>RGB (16-step quantized)</w:t>
            </w:r>
          </w:p>
        </w:tc>
        <w:tc>
          <w:tcPr>
            <w:tcW w:type="dxa" w:w="3504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7"/>
              </w:rPr>
              <w:t>Approx HEX</w:t>
            </w:r>
          </w:p>
        </w:tc>
        <w:tc>
          <w:tcPr>
            <w:tcW w:type="dxa" w:w="3504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7"/>
              </w:rPr>
              <w:t>Relative frequency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(240, 224, 208)</w:t>
            </w:r>
          </w:p>
        </w:tc>
        <w:tc>
          <w:tcPr>
            <w:tcW w:type="dxa" w:w="3504"/>
            <w:vAlign w:val="center"/>
            <w:shd w:fill="F0E0D0"/>
          </w:tcPr>
          <w:p>
            <w:r/>
            <w:r>
              <w:rPr>
                <w:rFonts w:ascii="Inter" w:hAnsi="Inter"/>
                <w:b/>
                <w:sz w:val="16"/>
              </w:rPr>
              <w:t>#F0E0D0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19.38%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(240, 240, 224)</w:t>
            </w:r>
          </w:p>
        </w:tc>
        <w:tc>
          <w:tcPr>
            <w:tcW w:type="dxa" w:w="3504"/>
            <w:vAlign w:val="center"/>
            <w:shd w:fill="F0F0E0"/>
          </w:tcPr>
          <w:p>
            <w:r/>
            <w:r>
              <w:rPr>
                <w:rFonts w:ascii="Inter" w:hAnsi="Inter"/>
                <w:b/>
                <w:sz w:val="16"/>
              </w:rPr>
              <w:t>#F0F0E0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19.34%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(224, 208, 192)</w:t>
            </w:r>
          </w:p>
        </w:tc>
        <w:tc>
          <w:tcPr>
            <w:tcW w:type="dxa" w:w="3504"/>
            <w:vAlign w:val="center"/>
            <w:shd w:fill="E0D0C0"/>
          </w:tcPr>
          <w:p>
            <w:r/>
            <w:r>
              <w:rPr>
                <w:rFonts w:ascii="Inter" w:hAnsi="Inter"/>
                <w:b/>
                <w:sz w:val="16"/>
              </w:rPr>
              <w:t>#E0D0C0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16.10%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(208, 208, 192)</w:t>
            </w:r>
          </w:p>
        </w:tc>
        <w:tc>
          <w:tcPr>
            <w:tcW w:type="dxa" w:w="3504"/>
            <w:vAlign w:val="center"/>
            <w:shd w:fill="D0D0C0"/>
          </w:tcPr>
          <w:p>
            <w:r/>
            <w:r>
              <w:rPr>
                <w:rFonts w:ascii="Inter" w:hAnsi="Inter"/>
                <w:b/>
                <w:sz w:val="16"/>
              </w:rPr>
              <w:t>#D0D0C0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14.88%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(208, 192, 192)</w:t>
            </w:r>
          </w:p>
        </w:tc>
        <w:tc>
          <w:tcPr>
            <w:tcW w:type="dxa" w:w="3504"/>
            <w:vAlign w:val="center"/>
            <w:shd w:fill="D0C0C0"/>
          </w:tcPr>
          <w:p>
            <w:r/>
            <w:r>
              <w:rPr>
                <w:rFonts w:ascii="Inter" w:hAnsi="Inter"/>
                <w:b/>
                <w:sz w:val="16"/>
              </w:rPr>
              <w:t>#D0C0C0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10.76%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(208, 192, 176)</w:t>
            </w:r>
          </w:p>
        </w:tc>
        <w:tc>
          <w:tcPr>
            <w:tcW w:type="dxa" w:w="3504"/>
            <w:vAlign w:val="center"/>
            <w:shd w:fill="D0C0B0"/>
          </w:tcPr>
          <w:p>
            <w:r/>
            <w:r>
              <w:rPr>
                <w:rFonts w:ascii="Inter" w:hAnsi="Inter"/>
                <w:b/>
                <w:sz w:val="16"/>
              </w:rPr>
              <w:t>#D0C0B0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2.54%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(240, 224, 224)</w:t>
            </w:r>
          </w:p>
        </w:tc>
        <w:tc>
          <w:tcPr>
            <w:tcW w:type="dxa" w:w="3504"/>
            <w:vAlign w:val="center"/>
            <w:shd w:fill="F0E0E0"/>
          </w:tcPr>
          <w:p>
            <w:r/>
            <w:r>
              <w:rPr>
                <w:rFonts w:ascii="Inter" w:hAnsi="Inter"/>
                <w:b/>
                <w:sz w:val="16"/>
              </w:rPr>
              <w:t>#F0E0E0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2.39%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(224, 208, 208)</w:t>
            </w:r>
          </w:p>
        </w:tc>
        <w:tc>
          <w:tcPr>
            <w:tcW w:type="dxa" w:w="3504"/>
            <w:vAlign w:val="center"/>
            <w:shd w:fill="E0D0D0"/>
          </w:tcPr>
          <w:p>
            <w:r/>
            <w:r>
              <w:rPr>
                <w:rFonts w:ascii="Inter" w:hAnsi="Inter"/>
                <w:b/>
                <w:sz w:val="16"/>
              </w:rPr>
              <w:t>#E0D0D0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1.72%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(192, 176, 160)</w:t>
            </w:r>
          </w:p>
        </w:tc>
        <w:tc>
          <w:tcPr>
            <w:tcW w:type="dxa" w:w="3504"/>
            <w:vAlign w:val="center"/>
            <w:shd w:fill="C0B0A0"/>
          </w:tcPr>
          <w:p>
            <w:r/>
            <w:r>
              <w:rPr>
                <w:rFonts w:ascii="Inter" w:hAnsi="Inter"/>
                <w:b/>
                <w:sz w:val="16"/>
              </w:rPr>
              <w:t>#C0B0A0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1.28%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(224, 224, 208)</w:t>
            </w:r>
          </w:p>
        </w:tc>
        <w:tc>
          <w:tcPr>
            <w:tcW w:type="dxa" w:w="3504"/>
            <w:vAlign w:val="center"/>
            <w:shd w:fill="E0E0D0"/>
          </w:tcPr>
          <w:p>
            <w:r/>
            <w:r>
              <w:rPr>
                <w:rFonts w:ascii="Inter" w:hAnsi="Inter"/>
                <w:b/>
                <w:sz w:val="16"/>
              </w:rPr>
              <w:t>#E0E0D0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6"/>
              </w:rPr>
              <w:t>1.25%</w:t>
            </w:r>
          </w:p>
        </w:tc>
      </w:tr>
    </w:tbl>
    <w:p>
      <w:r>
        <w:t>Important: these are sampled/quantized image colors, not UI token colors. They should not replace the explicit SVG UI colors.</w:t>
      </w:r>
    </w:p>
    <w:p>
      <w:r>
        <w:br w:type="page"/>
      </w:r>
    </w:p>
    <w:p>
      <w:pPr>
        <w:pStyle w:val="Heading1"/>
      </w:pPr>
      <w:r>
        <w:t>2. Dashboard / Asset Dimensions</w:t>
      </w:r>
    </w:p>
    <w:p>
      <w:r>
        <w:t>The supplied individual dashboard assets are exported as separate SVGs. Their source dimensions below are taken directly from each SVG width/height/viewBox.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5"/>
              </w:rPr>
              <w:t>Asset</w:t>
            </w:r>
          </w:p>
        </w:tc>
        <w:tc>
          <w:tcPr>
            <w:tcW w:type="dxa" w:w="1752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5"/>
              </w:rPr>
              <w:t>W</w:t>
            </w:r>
          </w:p>
        </w:tc>
        <w:tc>
          <w:tcPr>
            <w:tcW w:type="dxa" w:w="1752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5"/>
              </w:rPr>
              <w:t>H</w:t>
            </w:r>
          </w:p>
        </w:tc>
        <w:tc>
          <w:tcPr>
            <w:tcW w:type="dxa" w:w="1752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5"/>
              </w:rPr>
              <w:t>ViewBox</w:t>
            </w:r>
          </w:p>
        </w:tc>
        <w:tc>
          <w:tcPr>
            <w:tcW w:type="dxa" w:w="1752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5"/>
              </w:rPr>
              <w:t>Elements</w:t>
            </w:r>
          </w:p>
        </w:tc>
        <w:tc>
          <w:tcPr>
            <w:tcW w:type="dxa" w:w="1752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5"/>
              </w:rPr>
              <w:t>Purpose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top-controls(1).svg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192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37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0 0 192 37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7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Wi‑Fi, info, settings and theme controls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Vector(3).svg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66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38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0 0 66 38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1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Top control pill/background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Vector-1(2).svg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23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22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0 0 23 22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1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Info/control icon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Vector-2(2).svg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12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11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0 0 12 11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1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Green status dot / indicator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Vector-3(2).svg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298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64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0 0 298 64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1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System-status card shell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Vector-4(2).svg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36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35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0 0 36 35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1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Home icon background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Vector-5(2).svg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21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19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0 0 21 19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1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Home icon detail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Vector-6(1).svg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115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96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0 0 115 96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1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GLAZIA logo artwork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Vector-7(1).svg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9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9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0 0 9 9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1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Online/status dot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Vector-8(1).svg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15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8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0 0 15 8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1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Home text/icon detail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Welcome, User.svg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162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20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0 0 162 20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1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Welcome heading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391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381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0 0 391 381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35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 quality metric card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All systems normal(1).svg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102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11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0 0 102 11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1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System normal message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footer(3).svg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1190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12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0 0 1190 12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3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Footer rule + microcopy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Home(1).svg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27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8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0 0 27 8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1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Home label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389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381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0 0 389 381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29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 metric card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Online(1).svg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29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8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0 0 29 8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1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Online label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page-title(1).svg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454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64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0 0 454 64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2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Dashboard title + subtitle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389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381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0 0 389 381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paths 43 / rects 0 / circles 0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 metric card</w:t>
            </w:r>
          </w:p>
        </w:tc>
      </w:tr>
    </w:tbl>
    <w:p>
      <w:r>
        <w:t>Source note: the SVGs in this set are primarily outlined vector artwork; font-family/font-size metadata are not embedded in the files. Exact typography therefore cannot be recovered reliably from the SVG metadata alone.</w:t>
      </w:r>
    </w:p>
    <w:p>
      <w:r>
        <w:br w:type="page"/>
      </w:r>
    </w:p>
    <w:p>
      <w:pPr>
        <w:pStyle w:val="Heading1"/>
      </w:pPr>
      <w:r>
        <w:t>3. UI Colors Extracted from Supplied SVGs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7"/>
              </w:rPr>
              <w:t>HEX</w:t>
            </w:r>
          </w:p>
        </w:tc>
        <w:tc>
          <w:tcPr>
            <w:tcW w:type="dxa" w:w="3504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7"/>
              </w:rPr>
              <w:t>Found in</w:t>
            </w:r>
          </w:p>
        </w:tc>
        <w:tc>
          <w:tcPr>
            <w:tcW w:type="dxa" w:w="3504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7"/>
              </w:rPr>
              <w:t>Suggested semantic reading</w:t>
            </w:r>
          </w:p>
        </w:tc>
      </w:tr>
      <w:tr>
        <w:tc>
          <w:tcPr>
            <w:tcW w:type="dxa" w:w="3504"/>
            <w:vAlign w:val="center"/>
            <w:shd w:fill="1A2024"/>
          </w:tcPr>
          <w:p>
            <w:r/>
            <w:r>
              <w:rPr>
                <w:rFonts w:ascii="Inter" w:hAnsi="Inter"/>
                <w:b/>
                <w:sz w:val="16"/>
              </w:rPr>
              <w:t>#1A2024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air-quality-card(1).svg, humidity-card(1).svg, 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Card heading</w:t>
            </w:r>
          </w:p>
        </w:tc>
      </w:tr>
      <w:tr>
        <w:tc>
          <w:tcPr>
            <w:tcW w:type="dxa" w:w="3504"/>
            <w:vAlign w:val="center"/>
            <w:shd w:fill="8C9296"/>
          </w:tcPr>
          <w:p>
            <w:r/>
            <w:r>
              <w:rPr>
                <w:rFonts w:ascii="Inter" w:hAnsi="Inter"/>
                <w:b/>
                <w:sz w:val="16"/>
              </w:rPr>
              <w:t>#8C9296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air-quality-card(1).svg, humidity-card(1).svg, 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17AE82"/>
          </w:tcPr>
          <w:p>
            <w:r/>
            <w:r>
              <w:rPr>
                <w:rFonts w:ascii="Inter" w:hAnsi="Inter"/>
                <w:b/>
                <w:sz w:val="16"/>
              </w:rPr>
              <w:t>#17AE82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top-controls(1).svg, Vector-7(1).svg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Online/success green</w:t>
            </w:r>
          </w:p>
        </w:tc>
      </w:tr>
      <w:tr>
        <w:tc>
          <w:tcPr>
            <w:tcW w:type="dxa" w:w="3504"/>
            <w:vAlign w:val="center"/>
            <w:shd w:fill="8A959B"/>
          </w:tcPr>
          <w:p>
            <w:r/>
            <w:r>
              <w:rPr>
                <w:rFonts w:ascii="Inter" w:hAnsi="Inter"/>
                <w:b/>
                <w:sz w:val="16"/>
              </w:rPr>
              <w:t>#8A959B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air-quality-card(1).svg, humidity-card(1).svg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EAF9F3"/>
          </w:tcPr>
          <w:p>
            <w:r/>
            <w:r>
              <w:rPr>
                <w:rFonts w:ascii="Inter" w:hAnsi="Inter"/>
                <w:b/>
                <w:sz w:val="16"/>
              </w:rPr>
              <w:t>#EAF9F3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air-quality-card(1).svg, humidity-card(1).svg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Comfortable/success surface</w:t>
            </w:r>
          </w:p>
        </w:tc>
      </w:tr>
      <w:tr>
        <w:tc>
          <w:tcPr>
            <w:tcW w:type="dxa" w:w="3504"/>
            <w:vAlign w:val="center"/>
            <w:shd w:fill="656B70"/>
          </w:tcPr>
          <w:p>
            <w:r/>
            <w:r>
              <w:rPr>
                <w:rFonts w:ascii="Inter" w:hAnsi="Inter"/>
                <w:b/>
                <w:sz w:val="16"/>
              </w:rPr>
              <w:t>#656B70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Home(1).svg, Online(1).svg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0F1725"/>
          </w:tcPr>
          <w:p>
            <w:r/>
            <w:r>
              <w:rPr>
                <w:rFonts w:ascii="Inter" w:hAnsi="Inter"/>
                <w:b/>
                <w:sz w:val="16"/>
              </w:rPr>
              <w:t>#0F1725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humidity-card(1).svg, 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Primary metric value</w:t>
            </w:r>
          </w:p>
        </w:tc>
      </w:tr>
      <w:tr>
        <w:tc>
          <w:tcPr>
            <w:tcW w:type="dxa" w:w="3504"/>
            <w:vAlign w:val="center"/>
            <w:shd w:fill="1D2428"/>
          </w:tcPr>
          <w:p>
            <w:r/>
            <w:r>
              <w:rPr>
                <w:rFonts w:ascii="Inter" w:hAnsi="Inter"/>
                <w:b/>
                <w:sz w:val="16"/>
              </w:rPr>
              <w:t>#1D2428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humidity-card(1).svg, 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92989B"/>
          </w:tcPr>
          <w:p>
            <w:r/>
            <w:r>
              <w:rPr>
                <w:rFonts w:ascii="Inter" w:hAnsi="Inter"/>
                <w:b/>
                <w:sz w:val="16"/>
              </w:rPr>
              <w:t>#92989B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humidity-card(1).svg, 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E0E3E3"/>
          </w:tcPr>
          <w:p>
            <w:r/>
            <w:r>
              <w:rPr>
                <w:rFonts w:ascii="Inter" w:hAnsi="Inter"/>
                <w:b/>
                <w:sz w:val="16"/>
              </w:rPr>
              <w:t>#E0E3E3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humidity-card(1).svg, 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202327"/>
          </w:tcPr>
          <w:p>
            <w:r/>
            <w:r>
              <w:rPr>
                <w:rFonts w:ascii="Inter" w:hAnsi="Inter"/>
                <w:b/>
                <w:sz w:val="16"/>
              </w:rPr>
              <w:t>#202327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top-controls(1).svg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292C30"/>
          </w:tcPr>
          <w:p>
            <w:r/>
            <w:r>
              <w:rPr>
                <w:rFonts w:ascii="Inter" w:hAnsi="Inter"/>
                <w:b/>
                <w:sz w:val="16"/>
              </w:rPr>
              <w:t>#292C30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top-controls(1).svg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DDF6EF"/>
          </w:tcPr>
          <w:p>
            <w:r/>
            <w:r>
              <w:rPr>
                <w:rFonts w:ascii="Inter" w:hAnsi="Inter"/>
                <w:b/>
                <w:sz w:val="16"/>
              </w:rPr>
              <w:t>#DDF6EF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Vector(3).svg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132C3B"/>
          </w:tcPr>
          <w:p>
            <w:r/>
            <w:r>
              <w:rPr>
                <w:rFonts w:ascii="Inter" w:hAnsi="Inter"/>
                <w:b/>
                <w:sz w:val="16"/>
              </w:rPr>
              <w:t>#132C3B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Vector-1(2).svg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14C79B"/>
          </w:tcPr>
          <w:p>
            <w:r/>
            <w:r>
              <w:rPr>
                <w:rFonts w:ascii="Inter" w:hAnsi="Inter"/>
                <w:b/>
                <w:sz w:val="16"/>
              </w:rPr>
              <w:t>#14C79B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Vector-2(2).svg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F0E3D5"/>
          </w:tcPr>
          <w:p>
            <w:r/>
            <w:r>
              <w:rPr>
                <w:rFonts w:ascii="Inter" w:hAnsi="Inter"/>
                <w:b/>
                <w:sz w:val="16"/>
              </w:rPr>
              <w:t>#F0E3D5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Vector-4(2).svg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3B2A1C"/>
          </w:tcPr>
          <w:p>
            <w:r/>
            <w:r>
              <w:rPr>
                <w:rFonts w:ascii="Inter" w:hAnsi="Inter"/>
                <w:b/>
                <w:sz w:val="16"/>
              </w:rPr>
              <w:t>#3B2A1C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Vector-5(2).svg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0A0B10"/>
          </w:tcPr>
          <w:p>
            <w:r/>
            <w:r>
              <w:rPr>
                <w:rFonts w:ascii="Inter" w:hAnsi="Inter"/>
                <w:b/>
                <w:sz w:val="16"/>
              </w:rPr>
              <w:t>#0A0B10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Vector-6(1).svg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0D1215"/>
          </w:tcPr>
          <w:p>
            <w:r/>
            <w:r>
              <w:rPr>
                <w:rFonts w:ascii="Inter" w:hAnsi="Inter"/>
                <w:b/>
                <w:sz w:val="16"/>
              </w:rPr>
              <w:t>#0D1215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Vector-8(1).svg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111317"/>
          </w:tcPr>
          <w:p>
            <w:r/>
            <w:r>
              <w:rPr>
                <w:rFonts w:ascii="Inter" w:hAnsi="Inter"/>
                <w:b/>
                <w:sz w:val="16"/>
              </w:rPr>
              <w:t>#111317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Welcome, User.svg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Primary dark heading</w:t>
            </w:r>
          </w:p>
        </w:tc>
      </w:tr>
      <w:tr>
        <w:tc>
          <w:tcPr>
            <w:tcW w:type="dxa" w:w="3504"/>
            <w:vAlign w:val="center"/>
            <w:shd w:fill="101A2B"/>
          </w:tcPr>
          <w:p>
            <w:r/>
            <w:r>
              <w:rPr>
                <w:rFonts w:ascii="Inter" w:hAnsi="Inter"/>
                <w:b/>
                <w:sz w:val="16"/>
              </w:rPr>
              <w:t>#101A2B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 primary value</w:t>
            </w:r>
          </w:p>
        </w:tc>
      </w:tr>
      <w:tr>
        <w:tc>
          <w:tcPr>
            <w:tcW w:type="dxa" w:w="3504"/>
            <w:vAlign w:val="center"/>
            <w:shd w:fill="172135"/>
          </w:tcPr>
          <w:p>
            <w:r/>
            <w:r>
              <w:rPr>
                <w:rFonts w:ascii="Inter" w:hAnsi="Inter"/>
                <w:b/>
                <w:sz w:val="16"/>
              </w:rPr>
              <w:t>#172135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Secondary dark metric</w:t>
            </w:r>
          </w:p>
        </w:tc>
      </w:tr>
      <w:tr>
        <w:tc>
          <w:tcPr>
            <w:tcW w:type="dxa" w:w="3504"/>
            <w:vAlign w:val="center"/>
            <w:shd w:fill="18A67C"/>
          </w:tcPr>
          <w:p>
            <w:r/>
            <w:r>
              <w:rPr>
                <w:rFonts w:ascii="Inter" w:hAnsi="Inter"/>
                <w:b/>
                <w:sz w:val="16"/>
              </w:rPr>
              <w:t>#18A67C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18AE84"/>
          </w:tcPr>
          <w:p>
            <w:r/>
            <w:r>
              <w:rPr>
                <w:rFonts w:ascii="Inter" w:hAnsi="Inter"/>
                <w:b/>
                <w:sz w:val="16"/>
              </w:rPr>
              <w:t>#18AE84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 icon green</w:t>
            </w:r>
          </w:p>
        </w:tc>
      </w:tr>
      <w:tr>
        <w:tc>
          <w:tcPr>
            <w:tcW w:type="dxa" w:w="3504"/>
            <w:vAlign w:val="center"/>
            <w:shd w:fill="1F735E"/>
          </w:tcPr>
          <w:p>
            <w:r/>
            <w:r>
              <w:rPr>
                <w:rFonts w:ascii="Inter" w:hAnsi="Inter"/>
                <w:b/>
                <w:sz w:val="16"/>
              </w:rPr>
              <w:t>#1F735E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61717C"/>
          </w:tcPr>
          <w:p>
            <w:r/>
            <w:r>
              <w:rPr>
                <w:rFonts w:ascii="Inter" w:hAnsi="Inter"/>
                <w:b/>
                <w:sz w:val="16"/>
              </w:rPr>
              <w:t>#61717C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65727A"/>
          </w:tcPr>
          <w:p>
            <w:r/>
            <w:r>
              <w:rPr>
                <w:rFonts w:ascii="Inter" w:hAnsi="Inter"/>
                <w:b/>
                <w:sz w:val="16"/>
              </w:rPr>
              <w:t>#65727A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809198"/>
          </w:tcPr>
          <w:p>
            <w:r/>
            <w:r>
              <w:rPr>
                <w:rFonts w:ascii="Inter" w:hAnsi="Inter"/>
                <w:b/>
                <w:sz w:val="16"/>
              </w:rPr>
              <w:t>#809198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89969E"/>
          </w:tcPr>
          <w:p>
            <w:r/>
            <w:r>
              <w:rPr>
                <w:rFonts w:ascii="Inter" w:hAnsi="Inter"/>
                <w:b/>
                <w:sz w:val="16"/>
              </w:rPr>
              <w:t>#89969E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8E979C"/>
          </w:tcPr>
          <w:p>
            <w:r/>
            <w:r>
              <w:rPr>
                <w:rFonts w:ascii="Inter" w:hAnsi="Inter"/>
                <w:b/>
                <w:sz w:val="16"/>
              </w:rPr>
              <w:t>#8E979C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C68413"/>
          </w:tcPr>
          <w:p>
            <w:r/>
            <w:r>
              <w:rPr>
                <w:rFonts w:ascii="Inter" w:hAnsi="Inter"/>
                <w:b/>
                <w:sz w:val="16"/>
              </w:rPr>
              <w:t>#C68413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Amber text</w:t>
            </w:r>
          </w:p>
        </w:tc>
      </w:tr>
      <w:tr>
        <w:tc>
          <w:tcPr>
            <w:tcW w:type="dxa" w:w="3504"/>
            <w:vAlign w:val="center"/>
            <w:shd w:fill="D38C16"/>
          </w:tcPr>
          <w:p>
            <w:r/>
            <w:r>
              <w:rPr>
                <w:rFonts w:ascii="Inter" w:hAnsi="Inter"/>
                <w:b/>
                <w:sz w:val="16"/>
              </w:rPr>
              <w:t>#D38C16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Amber value</w:t>
            </w:r>
          </w:p>
        </w:tc>
      </w:tr>
      <w:tr>
        <w:tc>
          <w:tcPr>
            <w:tcW w:type="dxa" w:w="3504"/>
            <w:vAlign w:val="center"/>
            <w:shd w:fill="E1F5EC"/>
          </w:tcPr>
          <w:p>
            <w:r/>
            <w:r>
              <w:rPr>
                <w:rFonts w:ascii="Inter" w:hAnsi="Inter"/>
                <w:b/>
                <w:sz w:val="16"/>
              </w:rPr>
              <w:t>#E1F5EC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E5EBE8"/>
          </w:tcPr>
          <w:p>
            <w:r/>
            <w:r>
              <w:rPr>
                <w:rFonts w:ascii="Inter" w:hAnsi="Inter"/>
                <w:b/>
                <w:sz w:val="16"/>
              </w:rPr>
              <w:t>#E5EBE8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 border</w:t>
            </w:r>
          </w:p>
        </w:tc>
      </w:tr>
      <w:tr>
        <w:tc>
          <w:tcPr>
            <w:tcW w:type="dxa" w:w="3504"/>
            <w:vAlign w:val="center"/>
            <w:shd w:fill="E7EBEB"/>
          </w:tcPr>
          <w:p>
            <w:r/>
            <w:r>
              <w:rPr>
                <w:rFonts w:ascii="Inter" w:hAnsi="Inter"/>
                <w:b/>
                <w:sz w:val="16"/>
              </w:rPr>
              <w:t>#E7EBEB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 neutral track</w:t>
            </w:r>
          </w:p>
        </w:tc>
      </w:tr>
      <w:tr>
        <w:tc>
          <w:tcPr>
            <w:tcW w:type="dxa" w:w="3504"/>
            <w:vAlign w:val="center"/>
            <w:shd w:fill="F0FAF5"/>
          </w:tcPr>
          <w:p>
            <w:r/>
            <w:r>
              <w:rPr>
                <w:rFonts w:ascii="Inter" w:hAnsi="Inter"/>
                <w:b/>
                <w:sz w:val="16"/>
              </w:rPr>
              <w:t>#F0FAF5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 surface</w:t>
            </w:r>
          </w:p>
        </w:tc>
      </w:tr>
      <w:tr>
        <w:tc>
          <w:tcPr>
            <w:tcW w:type="dxa" w:w="3504"/>
            <w:vAlign w:val="center"/>
            <w:shd w:fill="F1A31F"/>
          </w:tcPr>
          <w:p>
            <w:r/>
            <w:r>
              <w:rPr>
                <w:rFonts w:ascii="Inter" w:hAnsi="Inter"/>
                <w:b/>
                <w:sz w:val="16"/>
              </w:rPr>
              <w:t>#F1A31F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Moderate amber</w:t>
            </w:r>
          </w:p>
        </w:tc>
      </w:tr>
      <w:tr>
        <w:tc>
          <w:tcPr>
            <w:tcW w:type="dxa" w:w="3504"/>
            <w:vAlign w:val="center"/>
            <w:shd w:fill="F9FBFA"/>
          </w:tcPr>
          <w:p>
            <w:r/>
            <w:r>
              <w:rPr>
                <w:rFonts w:ascii="Inter" w:hAnsi="Inter"/>
                <w:b/>
                <w:sz w:val="16"/>
              </w:rPr>
              <w:t>#F9FBFA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 inner surface</w:t>
            </w:r>
          </w:p>
        </w:tc>
      </w:tr>
      <w:tr>
        <w:tc>
          <w:tcPr>
            <w:tcW w:type="dxa" w:w="3504"/>
            <w:vAlign w:val="center"/>
            <w:shd w:fill="FFF6E7"/>
          </w:tcPr>
          <w:p>
            <w:r/>
            <w:r>
              <w:rPr>
                <w:rFonts w:ascii="Inter" w:hAnsi="Inter"/>
                <w:b/>
                <w:sz w:val="16"/>
              </w:rPr>
              <w:t>#FFF6E7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air-quality-card(1).svg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Moderate status surface</w:t>
            </w:r>
          </w:p>
        </w:tc>
      </w:tr>
      <w:tr>
        <w:tc>
          <w:tcPr>
            <w:tcW w:type="dxa" w:w="3504"/>
            <w:vAlign w:val="center"/>
            <w:shd w:fill="202326"/>
          </w:tcPr>
          <w:p>
            <w:r/>
            <w:r>
              <w:rPr>
                <w:rFonts w:ascii="Inter" w:hAnsi="Inter"/>
                <w:b/>
                <w:sz w:val="16"/>
              </w:rPr>
              <w:t>#202326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All systems normal(1).svg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System status text</w:t>
            </w:r>
          </w:p>
        </w:tc>
      </w:tr>
      <w:tr>
        <w:tc>
          <w:tcPr>
            <w:tcW w:type="dxa" w:w="3504"/>
            <w:vAlign w:val="center"/>
            <w:shd w:fill="342F2A"/>
          </w:tcPr>
          <w:p>
            <w:r/>
            <w:r>
              <w:rPr>
                <w:rFonts w:ascii="Inter" w:hAnsi="Inter"/>
                <w:b/>
                <w:sz w:val="16"/>
              </w:rPr>
              <w:t>#342F2A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footer(3).svg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574F48"/>
          </w:tcPr>
          <w:p>
            <w:r/>
            <w:r>
              <w:rPr>
                <w:rFonts w:ascii="Inter" w:hAnsi="Inter"/>
                <w:b/>
                <w:sz w:val="16"/>
              </w:rPr>
              <w:t>#574F48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footer(3).svg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5A534D"/>
          </w:tcPr>
          <w:p>
            <w:r/>
            <w:r>
              <w:rPr>
                <w:rFonts w:ascii="Inter" w:hAnsi="Inter"/>
                <w:b/>
                <w:sz w:val="16"/>
              </w:rPr>
              <w:t>#5A534D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footer(3).svg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19916F"/>
          </w:tcPr>
          <w:p>
            <w:r/>
            <w:r>
              <w:rPr>
                <w:rFonts w:ascii="Inter" w:hAnsi="Inter"/>
                <w:b/>
                <w:sz w:val="16"/>
              </w:rPr>
              <w:t>#19916F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1EAE83"/>
          </w:tcPr>
          <w:p>
            <w:r/>
            <w:r>
              <w:rPr>
                <w:rFonts w:ascii="Inter" w:hAnsi="Inter"/>
                <w:b/>
                <w:sz w:val="16"/>
              </w:rPr>
              <w:t>#1EAE83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Comfortable green</w:t>
            </w:r>
          </w:p>
        </w:tc>
      </w:tr>
      <w:tr>
        <w:tc>
          <w:tcPr>
            <w:tcW w:type="dxa" w:w="3504"/>
            <w:vAlign w:val="center"/>
            <w:shd w:fill="23A57C"/>
          </w:tcPr>
          <w:p>
            <w:r/>
            <w:r>
              <w:rPr>
                <w:rFonts w:ascii="Inter" w:hAnsi="Inter"/>
                <w:b/>
                <w:sz w:val="16"/>
              </w:rPr>
              <w:t>#23A57C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Comfort/green accent</w:t>
            </w:r>
          </w:p>
        </w:tc>
      </w:tr>
      <w:tr>
        <w:tc>
          <w:tcPr>
            <w:tcW w:type="dxa" w:w="3504"/>
            <w:vAlign w:val="center"/>
            <w:shd w:fill="2C93F5"/>
          </w:tcPr>
          <w:p>
            <w:r/>
            <w:r>
              <w:rPr>
                <w:rFonts w:ascii="Inter" w:hAnsi="Inter"/>
                <w:b/>
                <w:sz w:val="16"/>
              </w:rPr>
              <w:t>#2C93F5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 blue</w:t>
            </w:r>
          </w:p>
        </w:tc>
      </w:tr>
      <w:tr>
        <w:tc>
          <w:tcPr>
            <w:tcW w:type="dxa" w:w="3504"/>
            <w:vAlign w:val="center"/>
            <w:shd w:fill="4E9AF2"/>
          </w:tcPr>
          <w:p>
            <w:r/>
            <w:r>
              <w:rPr>
                <w:rFonts w:ascii="Inter" w:hAnsi="Inter"/>
                <w:b/>
                <w:sz w:val="16"/>
              </w:rPr>
              <w:t>#4E9AF2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 marker blue</w:t>
            </w:r>
          </w:p>
        </w:tc>
      </w:tr>
      <w:tr>
        <w:tc>
          <w:tcPr>
            <w:tcW w:type="dxa" w:w="3504"/>
            <w:vAlign w:val="center"/>
            <w:shd w:fill="57A6F8"/>
          </w:tcPr>
          <w:p>
            <w:r/>
            <w:r>
              <w:rPr>
                <w:rFonts w:ascii="Inter" w:hAnsi="Inter"/>
                <w:b/>
                <w:sz w:val="16"/>
              </w:rPr>
              <w:t>#57A6F8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 line blue</w:t>
            </w:r>
          </w:p>
        </w:tc>
      </w:tr>
      <w:tr>
        <w:tc>
          <w:tcPr>
            <w:tcW w:type="dxa" w:w="3504"/>
            <w:vAlign w:val="center"/>
            <w:shd w:fill="879198"/>
          </w:tcPr>
          <w:p>
            <w:r/>
            <w:r>
              <w:rPr>
                <w:rFonts w:ascii="Inter" w:hAnsi="Inter"/>
                <w:b/>
                <w:sz w:val="16"/>
              </w:rPr>
              <w:t>#879198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9BD0FF"/>
          </w:tcPr>
          <w:p>
            <w:r/>
            <w:r>
              <w:rPr>
                <w:rFonts w:ascii="Inter" w:hAnsi="Inter"/>
                <w:b/>
                <w:sz w:val="16"/>
              </w:rPr>
              <w:t>#9BD0FF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A7BFD6"/>
          </w:tcPr>
          <w:p>
            <w:r/>
            <w:r>
              <w:rPr>
                <w:rFonts w:ascii="Inter" w:hAnsi="Inter"/>
                <w:b/>
                <w:sz w:val="16"/>
              </w:rPr>
              <w:t>#A7BFD6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ECF6FF"/>
          </w:tcPr>
          <w:p>
            <w:r/>
            <w:r>
              <w:rPr>
                <w:rFonts w:ascii="Inter" w:hAnsi="Inter"/>
                <w:b/>
                <w:sz w:val="16"/>
              </w:rPr>
              <w:t>#ECF6FF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F6F8F8"/>
          </w:tcPr>
          <w:p>
            <w:r/>
            <w:r>
              <w:rPr>
                <w:rFonts w:ascii="Inter" w:hAnsi="Inter"/>
                <w:b/>
                <w:sz w:val="16"/>
              </w:rPr>
              <w:t>#F6F8F8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humidity-card(1).svg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121416"/>
          </w:tcPr>
          <w:p>
            <w:r/>
            <w:r>
              <w:rPr>
                <w:rFonts w:ascii="Inter" w:hAnsi="Inter"/>
                <w:b/>
                <w:sz w:val="16"/>
              </w:rPr>
              <w:t>#121416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page-title(1).svg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726E69"/>
          </w:tcPr>
          <w:p>
            <w:r/>
            <w:r>
              <w:rPr>
                <w:rFonts w:ascii="Inter" w:hAnsi="Inter"/>
                <w:b/>
                <w:sz w:val="16"/>
              </w:rPr>
              <w:t>#726E69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page-title(1).svg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20262B"/>
          </w:tcPr>
          <w:p>
            <w:r/>
            <w:r>
              <w:rPr>
                <w:rFonts w:ascii="Inter" w:hAnsi="Inter"/>
                <w:b/>
                <w:sz w:val="16"/>
              </w:rPr>
              <w:t>#20262B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78828A"/>
          </w:tcPr>
          <w:p>
            <w:r/>
            <w:r>
              <w:rPr>
                <w:rFonts w:ascii="Inter" w:hAnsi="Inter"/>
                <w:b/>
                <w:sz w:val="16"/>
              </w:rPr>
              <w:t>#78828A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7E8589"/>
          </w:tcPr>
          <w:p>
            <w:r/>
            <w:r>
              <w:rPr>
                <w:rFonts w:ascii="Inter" w:hAnsi="Inter"/>
                <w:b/>
                <w:sz w:val="16"/>
              </w:rPr>
              <w:t>#7E8589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8B9297"/>
          </w:tcPr>
          <w:p>
            <w:r/>
            <w:r>
              <w:rPr>
                <w:rFonts w:ascii="Inter" w:hAnsi="Inter"/>
                <w:b/>
                <w:sz w:val="16"/>
              </w:rPr>
              <w:t>#8B9297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C8DCF3"/>
          </w:tcPr>
          <w:p>
            <w:r/>
            <w:r>
              <w:rPr>
                <w:rFonts w:ascii="Inter" w:hAnsi="Inter"/>
                <w:b/>
                <w:sz w:val="16"/>
              </w:rPr>
              <w:t>#C8DCF3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E5E9EA"/>
          </w:tcPr>
          <w:p>
            <w:r/>
            <w:r>
              <w:rPr>
                <w:rFonts w:ascii="Inter" w:hAnsi="Inter"/>
                <w:b/>
                <w:sz w:val="16"/>
              </w:rPr>
              <w:t>#E5E9EA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E85C50"/>
          </w:tcPr>
          <w:p>
            <w:r/>
            <w:r>
              <w:rPr>
                <w:rFonts w:ascii="Inter" w:hAnsi="Inter"/>
                <w:b/>
                <w:sz w:val="16"/>
              </w:rPr>
              <w:t>#E85C50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F4F6F6"/>
          </w:tcPr>
          <w:p>
            <w:r/>
            <w:r>
              <w:rPr>
                <w:rFonts w:ascii="Inter" w:hAnsi="Inter"/>
                <w:b/>
                <w:sz w:val="16"/>
              </w:rPr>
              <w:t>#F4F6F6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F66A59"/>
          </w:tcPr>
          <w:p>
            <w:r/>
            <w:r>
              <w:rPr>
                <w:rFonts w:ascii="Inter" w:hAnsi="Inter"/>
                <w:b/>
                <w:sz w:val="16"/>
              </w:rPr>
              <w:t>#F66A59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Thermal accent</w:t>
            </w:r>
          </w:p>
        </w:tc>
      </w:tr>
      <w:tr>
        <w:tc>
          <w:tcPr>
            <w:tcW w:type="dxa" w:w="3504"/>
            <w:vAlign w:val="center"/>
            <w:shd w:fill="F6F7F6"/>
          </w:tcPr>
          <w:p>
            <w:r/>
            <w:r>
              <w:rPr>
                <w:rFonts w:ascii="Inter" w:hAnsi="Inter"/>
                <w:b/>
                <w:sz w:val="16"/>
              </w:rPr>
              <w:t>#F6F7F6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Metric/stat surface</w:t>
            </w:r>
          </w:p>
        </w:tc>
      </w:tr>
      <w:tr>
        <w:tc>
          <w:tcPr>
            <w:tcW w:type="dxa" w:w="3504"/>
            <w:vAlign w:val="center"/>
            <w:shd w:fill="FF6254"/>
          </w:tcPr>
          <w:p>
            <w:r/>
            <w:r>
              <w:rPr>
                <w:rFonts w:ascii="Inter" w:hAnsi="Inter"/>
                <w:b/>
                <w:sz w:val="16"/>
              </w:rPr>
              <w:t>#FF6254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 value</w:t>
            </w:r>
          </w:p>
        </w:tc>
      </w:tr>
      <w:tr>
        <w:tc>
          <w:tcPr>
            <w:tcW w:type="dxa" w:w="3504"/>
            <w:vAlign w:val="center"/>
            <w:shd w:fill="FF6A55"/>
          </w:tcPr>
          <w:p>
            <w:r/>
            <w:r>
              <w:rPr>
                <w:rFonts w:ascii="Inter" w:hAnsi="Inter"/>
                <w:b/>
                <w:sz w:val="16"/>
              </w:rPr>
              <w:t>#FF6A55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FF6A5C"/>
          </w:tcPr>
          <w:p>
            <w:r/>
            <w:r>
              <w:rPr>
                <w:rFonts w:ascii="Inter" w:hAnsi="Inter"/>
                <w:b/>
                <w:sz w:val="16"/>
              </w:rPr>
              <w:t>#FF6A5C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 red-orange</w:t>
            </w:r>
          </w:p>
        </w:tc>
      </w:tr>
      <w:tr>
        <w:tc>
          <w:tcPr>
            <w:tcW w:type="dxa" w:w="3504"/>
            <w:vAlign w:val="center"/>
            <w:shd w:fill="FF6B5D"/>
          </w:tcPr>
          <w:p>
            <w:r/>
            <w:r>
              <w:rPr>
                <w:rFonts w:ascii="Inter" w:hAnsi="Inter"/>
                <w:b/>
                <w:sz w:val="16"/>
              </w:rPr>
              <w:t>#FF6B5D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FF7A4E"/>
          </w:tcPr>
          <w:p>
            <w:r/>
            <w:r>
              <w:rPr>
                <w:rFonts w:ascii="Inter" w:hAnsi="Inter"/>
                <w:b/>
                <w:sz w:val="16"/>
              </w:rPr>
              <w:t>#FF7A4E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FF9957"/>
          </w:tcPr>
          <w:p>
            <w:r/>
            <w:r>
              <w:rPr>
                <w:rFonts w:ascii="Inter" w:hAnsi="Inter"/>
                <w:b/>
                <w:sz w:val="16"/>
              </w:rPr>
              <w:t>#FF9957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FFC06A"/>
          </w:tcPr>
          <w:p>
            <w:r/>
            <w:r>
              <w:rPr>
                <w:rFonts w:ascii="Inter" w:hAnsi="Inter"/>
                <w:b/>
                <w:sz w:val="16"/>
              </w:rPr>
              <w:t>#FFC06A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FFD68C"/>
          </w:tcPr>
          <w:p>
            <w:r/>
            <w:r>
              <w:rPr>
                <w:rFonts w:ascii="Inter" w:hAnsi="Inter"/>
                <w:b/>
                <w:sz w:val="16"/>
              </w:rPr>
              <w:t>#FFD68C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  <w:tr>
        <w:tc>
          <w:tcPr>
            <w:tcW w:type="dxa" w:w="3504"/>
            <w:vAlign w:val="center"/>
            <w:shd w:fill="FFF0EC"/>
          </w:tcPr>
          <w:p>
            <w:r/>
            <w:r>
              <w:rPr>
                <w:rFonts w:ascii="Inter" w:hAnsi="Inter"/>
                <w:b/>
                <w:sz w:val="16"/>
              </w:rPr>
              <w:t>#FFF0EC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Hot status surface</w:t>
            </w:r>
          </w:p>
        </w:tc>
      </w:tr>
      <w:tr>
        <w:tc>
          <w:tcPr>
            <w:tcW w:type="dxa" w:w="3504"/>
            <w:vAlign w:val="center"/>
            <w:shd w:fill="FFF4F0"/>
          </w:tcPr>
          <w:p>
            <w:r/>
            <w:r>
              <w:rPr>
                <w:rFonts w:ascii="Inter" w:hAnsi="Inter"/>
                <w:b/>
                <w:sz w:val="16"/>
              </w:rPr>
              <w:t>#FFF4F0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temperature-card(1).svg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rFonts w:ascii="Inter" w:hAnsi="Inter"/>
                <w:b w:val="0"/>
                <w:sz w:val="14"/>
              </w:rPr>
              <w:t>Source-defined vector color</w:t>
            </w:r>
          </w:p>
        </w:tc>
      </w:tr>
    </w:tbl>
    <w:p>
      <w:r>
        <w:br w:type="page"/>
      </w:r>
    </w:p>
    <w:p>
      <w:pPr>
        <w:pStyle w:val="Heading1"/>
      </w:pPr>
      <w:r>
        <w:t>4. Typography &amp; Layout Guidance</w:t>
      </w:r>
    </w:p>
    <w:p>
      <w:r>
        <w:t>Measured font metadata is not present in the supplied SVG exports because the visible text has been converted to vector paths. The following is therefore a reconstruction guideline, not a claim that the SVGs contain those font declarations.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6"/>
              </w:rPr>
              <w:t>UI role</w:t>
            </w:r>
          </w:p>
        </w:tc>
        <w:tc>
          <w:tcPr>
            <w:tcW w:type="dxa" w:w="2102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6"/>
              </w:rPr>
              <w:t>Suggested font</w:t>
            </w:r>
          </w:p>
        </w:tc>
        <w:tc>
          <w:tcPr>
            <w:tcW w:type="dxa" w:w="2102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6"/>
              </w:rPr>
              <w:t>Approx. size</w:t>
            </w:r>
          </w:p>
        </w:tc>
        <w:tc>
          <w:tcPr>
            <w:tcW w:type="dxa" w:w="2102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6"/>
              </w:rPr>
              <w:t>Weight</w:t>
            </w:r>
          </w:p>
        </w:tc>
        <w:tc>
          <w:tcPr>
            <w:tcW w:type="dxa" w:w="2102"/>
            <w:vAlign w:val="center"/>
            <w:shd w:fill="E8EDF0"/>
          </w:tcPr>
          <w:p>
            <w:r/>
            <w:r>
              <w:rPr>
                <w:rFonts w:ascii="Inter" w:hAnsi="Inter"/>
                <w:b/>
                <w:sz w:val="16"/>
              </w:rPr>
              <w:t>Color from source set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Main dashboard title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Space Grotesk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~30–32 px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700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#121416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Welcome heading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Space Grotesk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~22 px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700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#111317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Subtitle/body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Inter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~14 px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400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#726E69 / #656B70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Card headings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Inter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~14 px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700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#1A2024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Primary metric values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Space Grotesk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~40–58 px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700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#0F1725 / #101A2B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Small labels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Inter / IBM Plex Mono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~8–10 px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400–600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#8A959B / #92989B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Footer microcopy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IBM Plex Mono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~8–9 px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500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Inter" w:hAnsi="Inter"/>
                <w:b w:val="0"/>
                <w:sz w:val="15"/>
              </w:rPr>
              <w:t>#574F48 / #5A534D</w:t>
            </w:r>
          </w:p>
        </w:tc>
      </w:tr>
    </w:tbl>
    <w:p>
      <w:pPr>
        <w:pStyle w:val="Heading2"/>
      </w:pPr>
      <w:r>
        <w:t>Suggested spacing system</w:t>
      </w:r>
    </w:p>
    <w:p>
      <w:pPr>
        <w:pStyle w:val="ListBullet"/>
      </w:pPr>
      <w:r>
        <w:t>Base rhythm: 8 px; secondary increments 4 px.</w:t>
      </w:r>
    </w:p>
    <w:p>
      <w:pPr>
        <w:pStyle w:val="ListBullet"/>
      </w:pPr>
      <w:r>
        <w:t>Card radius: approximately 16–18 px in the supplied dashboard composition.</w:t>
      </w:r>
    </w:p>
    <w:p>
      <w:pPr>
        <w:pStyle w:val="ListBullet"/>
      </w:pPr>
      <w:r>
        <w:t>Status pills: approximately 14–16 px radius with compact horizontal padding.</w:t>
      </w:r>
    </w:p>
    <w:p>
      <w:pPr>
        <w:pStyle w:val="ListBullet"/>
      </w:pPr>
      <w:r>
        <w:t>UI cards use very light translucent/white surfaces over the photographic background, with restrained shadows.</w:t>
      </w:r>
    </w:p>
    <w:p>
      <w:pPr>
        <w:pStyle w:val="ListBullet"/>
      </w:pPr>
      <w:r>
        <w:t>Keep the background slightly blurred/soft so foreground data remains the dominant reading layer.</w:t>
      </w:r>
    </w:p>
    <w:p>
      <w:r>
        <w:br w:type="page"/>
      </w:r>
    </w:p>
    <w:p>
      <w:pPr>
        <w:pStyle w:val="Heading1"/>
      </w:pPr>
      <w:r>
        <w:t>5. Asset-by-Asset Notes</w:t>
      </w:r>
    </w:p>
    <w:p>
      <w:r>
        <w:rPr>
          <w:rFonts w:ascii="Space Grotesk" w:hAnsi="Space Grotesk"/>
          <w:b/>
          <w:sz w:val="21"/>
        </w:rPr>
        <w:t>top-controls(1).svg</w:t>
      </w:r>
    </w:p>
    <w:p>
      <w:r>
        <w:t>Source size: 192 × 37 px | viewBox: 0 0 192 37 | Wi‑Fi, info, settings and theme controls</w:t>
      </w:r>
    </w:p>
    <w:p>
      <w:r>
        <w:t>Colors: #17AE82, #202327, #292C30</w:t>
      </w:r>
    </w:p>
    <w:p>
      <w:r>
        <w:rPr>
          <w:rFonts w:ascii="Space Grotesk" w:hAnsi="Space Grotesk"/>
          <w:b/>
          <w:sz w:val="21"/>
        </w:rPr>
        <w:t>Vector(3).svg</w:t>
      </w:r>
    </w:p>
    <w:p>
      <w:r>
        <w:t>Source size: 66 × 38 px | viewBox: 0 0 66 38 | Top control pill/background</w:t>
      </w:r>
    </w:p>
    <w:p>
      <w:r>
        <w:t>Colors: #DDF6EF</w:t>
      </w:r>
    </w:p>
    <w:p>
      <w:r>
        <w:rPr>
          <w:rFonts w:ascii="Space Grotesk" w:hAnsi="Space Grotesk"/>
          <w:b/>
          <w:sz w:val="21"/>
        </w:rPr>
        <w:t>Vector-1(2).svg</w:t>
      </w:r>
    </w:p>
    <w:p>
      <w:r>
        <w:t>Source size: 23 × 22 px | viewBox: 0 0 23 22 | Info/control icon</w:t>
      </w:r>
    </w:p>
    <w:p>
      <w:r>
        <w:t>Colors: #132C3B</w:t>
      </w:r>
    </w:p>
    <w:p>
      <w:r>
        <w:rPr>
          <w:rFonts w:ascii="Space Grotesk" w:hAnsi="Space Grotesk"/>
          <w:b/>
          <w:sz w:val="21"/>
        </w:rPr>
        <w:t>Vector-2(2).svg</w:t>
      </w:r>
    </w:p>
    <w:p>
      <w:r>
        <w:t>Source size: 12 × 11 px | viewBox: 0 0 12 11 | Green status dot / indicator</w:t>
      </w:r>
    </w:p>
    <w:p>
      <w:r>
        <w:t>Colors: #14C79B</w:t>
      </w:r>
    </w:p>
    <w:p>
      <w:r>
        <w:rPr>
          <w:rFonts w:ascii="Space Grotesk" w:hAnsi="Space Grotesk"/>
          <w:b/>
          <w:sz w:val="21"/>
        </w:rPr>
        <w:t>Vector-3(2).svg</w:t>
      </w:r>
    </w:p>
    <w:p>
      <w:r>
        <w:t>Source size: 298 × 64 px | viewBox: 0 0 298 64 | System-status card shell</w:t>
      </w:r>
    </w:p>
    <w:p>
      <w:r>
        <w:rPr>
          <w:rFonts w:ascii="Space Grotesk" w:hAnsi="Space Grotesk"/>
          <w:b/>
          <w:sz w:val="21"/>
        </w:rPr>
        <w:t>Vector-4(2).svg</w:t>
      </w:r>
    </w:p>
    <w:p>
      <w:r>
        <w:t>Source size: 36 × 35 px | viewBox: 0 0 36 35 | Home icon background</w:t>
      </w:r>
    </w:p>
    <w:p>
      <w:r>
        <w:t>Colors: #F0E3D5</w:t>
      </w:r>
    </w:p>
    <w:p>
      <w:r>
        <w:rPr>
          <w:rFonts w:ascii="Space Grotesk" w:hAnsi="Space Grotesk"/>
          <w:b/>
          <w:sz w:val="21"/>
        </w:rPr>
        <w:t>Vector-5(2).svg</w:t>
      </w:r>
    </w:p>
    <w:p>
      <w:r>
        <w:t>Source size: 21 × 19 px | viewBox: 0 0 21 19 | Home icon detail</w:t>
      </w:r>
    </w:p>
    <w:p>
      <w:r>
        <w:t>Colors: #3B2A1C</w:t>
      </w:r>
    </w:p>
    <w:p>
      <w:r>
        <w:rPr>
          <w:rFonts w:ascii="Space Grotesk" w:hAnsi="Space Grotesk"/>
          <w:b/>
          <w:sz w:val="21"/>
        </w:rPr>
        <w:t>Vector-6(1).svg</w:t>
      </w:r>
    </w:p>
    <w:p>
      <w:r>
        <w:t>Source size: 115 × 96 px | viewBox: 0 0 115 96 | GLAZIA logo artwork</w:t>
      </w:r>
    </w:p>
    <w:p>
      <w:r>
        <w:t>Colors: #0A0B10</w:t>
      </w:r>
    </w:p>
    <w:p>
      <w:r>
        <w:rPr>
          <w:rFonts w:ascii="Space Grotesk" w:hAnsi="Space Grotesk"/>
          <w:b/>
          <w:sz w:val="21"/>
        </w:rPr>
        <w:t>Vector-7(1).svg</w:t>
      </w:r>
    </w:p>
    <w:p>
      <w:r>
        <w:t>Source size: 9 × 9 px | viewBox: 0 0 9 9 | Online/status dot</w:t>
      </w:r>
    </w:p>
    <w:p>
      <w:r>
        <w:t>Colors: #17AE82</w:t>
      </w:r>
    </w:p>
    <w:p>
      <w:r>
        <w:rPr>
          <w:rFonts w:ascii="Space Grotesk" w:hAnsi="Space Grotesk"/>
          <w:b/>
          <w:sz w:val="21"/>
        </w:rPr>
        <w:t>Vector-8(1).svg</w:t>
      </w:r>
    </w:p>
    <w:p>
      <w:r>
        <w:t>Source size: 15 × 8 px | viewBox: 0 0 15 8 | Home text/icon detail</w:t>
      </w:r>
    </w:p>
    <w:p>
      <w:r>
        <w:t>Colors: #0D1215</w:t>
      </w:r>
    </w:p>
    <w:p>
      <w:r>
        <w:rPr>
          <w:rFonts w:ascii="Space Grotesk" w:hAnsi="Space Grotesk"/>
          <w:b/>
          <w:sz w:val="21"/>
        </w:rPr>
        <w:t>Welcome, User.svg</w:t>
      </w:r>
    </w:p>
    <w:p>
      <w:r>
        <w:t>Source size: 162 × 20 px | viewBox: 0 0 162 20 | Welcome heading</w:t>
      </w:r>
    </w:p>
    <w:p>
      <w:r>
        <w:t>Colors: #111317</w:t>
      </w:r>
    </w:p>
    <w:p>
      <w:r>
        <w:rPr>
          <w:rFonts w:ascii="Space Grotesk" w:hAnsi="Space Grotesk"/>
          <w:b/>
          <w:sz w:val="21"/>
        </w:rPr>
        <w:t>air-quality-card(1).svg</w:t>
      </w:r>
    </w:p>
    <w:p>
      <w:r>
        <w:t>Source size: 391 × 381 px | viewBox: 0 0 391 381 | Air quality metric card</w:t>
      </w:r>
    </w:p>
    <w:p>
      <w:r>
        <w:t>Colors: #101A2B, #172135, #18A67C, #18AE84, #1A2024, #1F735E, #61717C, #65727A, #809198, #89969E, #8A959B, #8C9296, #8E979C, #C68413, #D38C16, #E1F5EC, #E5EBE8, #E7EBEB, #EAF9F3, #F0FAF5, #F1A31F, #F9FBFA, #FFF6E7</w:t>
      </w:r>
    </w:p>
    <w:p>
      <w:r>
        <w:t>These are full metric-card vector exports. Import at source size, then scale as a grouped component only when matching the final dashboard frame.</w:t>
      </w:r>
    </w:p>
    <w:p>
      <w:r>
        <w:rPr>
          <w:rFonts w:ascii="Space Grotesk" w:hAnsi="Space Grotesk"/>
          <w:b/>
          <w:sz w:val="21"/>
        </w:rPr>
        <w:t>All systems normal(1).svg</w:t>
      </w:r>
    </w:p>
    <w:p>
      <w:r>
        <w:t>Source size: 102 × 11 px | viewBox: 0 0 102 11 | System normal message</w:t>
      </w:r>
    </w:p>
    <w:p>
      <w:r>
        <w:t>Colors: #202326</w:t>
      </w:r>
    </w:p>
    <w:p>
      <w:r>
        <w:rPr>
          <w:rFonts w:ascii="Space Grotesk" w:hAnsi="Space Grotesk"/>
          <w:b/>
          <w:sz w:val="21"/>
        </w:rPr>
        <w:t>footer(3).svg</w:t>
      </w:r>
    </w:p>
    <w:p>
      <w:r>
        <w:t>Source size: 1190 × 12 px | viewBox: 0 0 1190 12 | Footer rule + microcopy</w:t>
      </w:r>
    </w:p>
    <w:p>
      <w:r>
        <w:t>Colors: #342F2A, #574F48, #5A534D</w:t>
      </w:r>
    </w:p>
    <w:p>
      <w:r>
        <w:rPr>
          <w:rFonts w:ascii="Space Grotesk" w:hAnsi="Space Grotesk"/>
          <w:b/>
          <w:sz w:val="21"/>
        </w:rPr>
        <w:t>Home(1).svg</w:t>
      </w:r>
    </w:p>
    <w:p>
      <w:r>
        <w:t>Source size: 27 × 8 px | viewBox: 0 0 27 8 | Home label</w:t>
      </w:r>
    </w:p>
    <w:p>
      <w:r>
        <w:t>Colors: #656B70</w:t>
      </w:r>
    </w:p>
    <w:p>
      <w:r>
        <w:rPr>
          <w:rFonts w:ascii="Space Grotesk" w:hAnsi="Space Grotesk"/>
          <w:b/>
          <w:sz w:val="21"/>
        </w:rPr>
        <w:t>humidity-card(1).svg</w:t>
      </w:r>
    </w:p>
    <w:p>
      <w:r>
        <w:t>Source size: 389 × 381 px | viewBox: 0 0 389 381 | Humidity metric card</w:t>
      </w:r>
    </w:p>
    <w:p>
      <w:r>
        <w:t>Colors: #0F1725, #19916F, #1A2024, #1D2428, #1EAE83, #23A57C, #2C93F5, #4E9AF2, #57A6F8, #879198, #8A959B, #8C9296, #92989B, #9BD0FF, #A7BFD6, #E0E3E3, #EAF9F3, #ECF6FF, #F6F8F8</w:t>
      </w:r>
    </w:p>
    <w:p>
      <w:r>
        <w:t>These are full metric-card vector exports. Import at source size, then scale as a grouped component only when matching the final dashboard frame.</w:t>
      </w:r>
    </w:p>
    <w:p>
      <w:r>
        <w:rPr>
          <w:rFonts w:ascii="Space Grotesk" w:hAnsi="Space Grotesk"/>
          <w:b/>
          <w:sz w:val="21"/>
        </w:rPr>
        <w:t>Online(1).svg</w:t>
      </w:r>
    </w:p>
    <w:p>
      <w:r>
        <w:t>Source size: 29 × 8 px | viewBox: 0 0 29 8 | Online label</w:t>
      </w:r>
    </w:p>
    <w:p>
      <w:r>
        <w:t>Colors: #656B70</w:t>
      </w:r>
    </w:p>
    <w:p>
      <w:r>
        <w:rPr>
          <w:rFonts w:ascii="Space Grotesk" w:hAnsi="Space Grotesk"/>
          <w:b/>
          <w:sz w:val="21"/>
        </w:rPr>
        <w:t>page-title(1).svg</w:t>
      </w:r>
    </w:p>
    <w:p>
      <w:r>
        <w:t>Source size: 454 × 64 px | viewBox: 0 0 454 64 | Dashboard title + subtitle</w:t>
      </w:r>
    </w:p>
    <w:p>
      <w:r>
        <w:t>Colors: #121416, #726E69</w:t>
      </w:r>
    </w:p>
    <w:p>
      <w:r>
        <w:rPr>
          <w:rFonts w:ascii="Space Grotesk" w:hAnsi="Space Grotesk"/>
          <w:b/>
          <w:sz w:val="21"/>
        </w:rPr>
        <w:t>temperature-card(1).svg</w:t>
      </w:r>
    </w:p>
    <w:p>
      <w:r>
        <w:t>Source size: 389 × 381 px | viewBox: 0 0 389 381 | Temperature metric card</w:t>
      </w:r>
    </w:p>
    <w:p>
      <w:r>
        <w:t>Colors: #0F1725, #1A2024, #1D2428, #20262B, #78828A, #7E8589, #8B9297, #8C9296, #92989B, #C8DCF3, #E0E3E3, #E5E9EA, #E85C50, #F4F6F6, #F66A59, #F6F7F6, #FF6254, #FF6A55, #FF6A5C, #FF6B5D, #FF7A4E, #FF9957, #FFC06A, #FFD68C, #FFF0EC, #FFF4F0</w:t>
      </w:r>
    </w:p>
    <w:p>
      <w:r>
        <w:t>These are full metric-card vector exports. Import at source size, then scale as a grouped component only when matching the final dashboard frame.</w:t>
      </w:r>
    </w:p>
    <w:p>
      <w:r>
        <w:br w:type="page"/>
      </w:r>
    </w:p>
    <w:p>
      <w:pPr>
        <w:pStyle w:val="Heading1"/>
      </w:pPr>
      <w:r>
        <w:t>6. SVG Asset Preview Sheet</w:t>
      </w:r>
    </w:p>
    <w:p>
      <w:pPr>
        <w:jc w:val="center"/>
      </w:pPr>
      <w:r>
        <w:rPr>
          <w:b/>
          <w:sz w:val="16"/>
        </w:rPr>
        <w:t>top-controls(1).svg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-controls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Vector(3).svg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ctor(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Vector-1(2).svg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ctor-1(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Vector-2(2).svg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ctor-2(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Vector-3(2).svg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ctor-3(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Vector-4(2).svg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ctor-4(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Vector-5(2).svg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ctor-5(2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Vector-6(1).svg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ctor-6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Vector-7(1).svg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ctor-7(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Vector-8(1).svg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ctor-8(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Welcome, User.svg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lcome,_Us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air-quality-card(1).svg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-quality-card(1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All systems normal(1).svg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systems_normal(1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footer(3).svg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er(3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Home(1).svg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(1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humidity-card(1).svg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idity-card(1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Online(1).svg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(1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page-title(1).svg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title(1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temperature-card(1).svg</w:t>
      </w:r>
    </w:p>
    <w:p>
      <w:r>
        <w:drawing>
          <wp:inline xmlns:a="http://schemas.openxmlformats.org/drawingml/2006/main" xmlns:pic="http://schemas.openxmlformats.org/drawingml/2006/picture">
            <wp:extent cx="2926080" cy="177338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-card(1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Figma / Front-End Handoff Rules</w:t>
      </w:r>
    </w:p>
    <w:p>
      <w:pPr>
        <w:pStyle w:val="ListBullet"/>
      </w:pPr>
      <w:r>
        <w:t>Use the supplied background PNG as the image layer; do not redraw the photographic scene in vector.</w:t>
      </w:r>
    </w:p>
    <w:p>
      <w:pPr>
        <w:pStyle w:val="ListBullet"/>
      </w:pPr>
      <w:r>
        <w:t>Use the supplied SVG component files as vectors so icons, cards, gauges, and logo details remain sharp and editable.</w:t>
      </w:r>
    </w:p>
    <w:p>
      <w:pPr>
        <w:pStyle w:val="ListBullet"/>
      </w:pPr>
      <w:r>
        <w:t>Import SVGs at their source dimensions before adjusting layout; this prevents accidental distortion.</w:t>
      </w:r>
    </w:p>
    <w:p>
      <w:pPr>
        <w:pStyle w:val="ListBullet"/>
      </w:pPr>
      <w:r>
        <w:t>Keep card groups, header controls, status card, page title, footer and background as independent layers/components.</w:t>
      </w:r>
    </w:p>
    <w:p>
      <w:pPr>
        <w:pStyle w:val="ListBullet"/>
      </w:pPr>
      <w:r>
        <w:t>For a live-text rebuild, use the typography guidance above, but note that it is a reconstruction guideline because the source exports do not contain font metadata.</w:t>
      </w:r>
    </w:p>
    <w:p>
      <w:pPr>
        <w:pStyle w:val="ListBullet"/>
      </w:pPr>
      <w:r>
        <w:t>For the background scene, preserve the warm low-contrast palette and blur. Avoid adding strong overlays that alter the photographic tone.</w:t>
      </w:r>
    </w:p>
    <w:p>
      <w:pPr>
        <w:pStyle w:val="ListBullet"/>
      </w:pPr>
      <w:r>
        <w:t>For responsive layouts, prefer background-size: cover / preserveAspectRatio behavior while allowing controlled cropping at the edges rather than stretching.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pace Grotesk" w:hAnsi="Space Grotesk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Grotesk" w:hAnsi="Space Grotesk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Grotesk" w:hAnsi="Space Grotesk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pace Grotesk" w:hAnsi="Space Grotesk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